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A033B47">
      <w:pPr>
        <w:keepNext w:val="0"/>
        <w:keepLines w:val="0"/>
        <w:pageBreakBefore w:val="0"/>
        <w:widowControl w:val="0"/>
        <w:tabs>
          <w:tab w:val="left" w:pos="420"/>
        </w:tabs>
        <w:kinsoku/>
        <w:wordWrap/>
        <w:overflowPunct/>
        <w:topLinePunct w:val="0"/>
        <w:autoSpaceDE/>
        <w:autoSpaceDN/>
        <w:bidi w:val="0"/>
        <w:adjustRightInd/>
        <w:snapToGrid/>
        <w:spacing w:before="498" w:beforeLines="150" w:line="360" w:lineRule="auto"/>
        <w:jc w:val="center"/>
        <w:textAlignment w:val="auto"/>
        <w:outlineLvl w:val="9"/>
        <w:rPr>
          <w:rFonts w:hint="eastAsia" w:ascii="宋体" w:hAnsi="宋体"/>
          <w:b/>
          <w:bCs/>
          <w:sz w:val="36"/>
          <w:szCs w:val="36"/>
          <w:highlight w:val="none"/>
          <w:lang w:eastAsia="zh-CN"/>
        </w:rPr>
      </w:pPr>
      <w:r>
        <w:rPr>
          <w:rFonts w:hint="eastAsia" w:ascii="宋体" w:hAnsi="宋体"/>
          <w:b/>
          <w:bCs/>
          <w:sz w:val="36"/>
          <w:szCs w:val="36"/>
          <w:highlight w:val="none"/>
          <w:lang w:eastAsia="zh-CN"/>
        </w:rPr>
        <w:t>诸佛庵中学食堂劳务派遣项目</w:t>
      </w:r>
    </w:p>
    <w:p w14:paraId="0BB6C5F4">
      <w:pPr>
        <w:keepNext w:val="0"/>
        <w:keepLines w:val="0"/>
        <w:pageBreakBefore w:val="0"/>
        <w:widowControl w:val="0"/>
        <w:tabs>
          <w:tab w:val="left" w:pos="420"/>
        </w:tabs>
        <w:kinsoku/>
        <w:wordWrap/>
        <w:overflowPunct/>
        <w:topLinePunct w:val="0"/>
        <w:autoSpaceDE/>
        <w:autoSpaceDN/>
        <w:bidi w:val="0"/>
        <w:adjustRightInd/>
        <w:snapToGrid/>
        <w:spacing w:before="498" w:beforeLines="150" w:line="360" w:lineRule="auto"/>
        <w:jc w:val="center"/>
        <w:textAlignment w:val="auto"/>
        <w:outlineLvl w:val="9"/>
        <w:rPr>
          <w:rFonts w:hint="default" w:ascii="宋体" w:hAnsi="宋体"/>
          <w:b/>
          <w:bCs/>
          <w:sz w:val="36"/>
          <w:szCs w:val="36"/>
          <w:highlight w:val="none"/>
          <w:lang w:eastAsia="zh-CN"/>
        </w:rPr>
      </w:pPr>
    </w:p>
    <w:p w14:paraId="7C2409C2">
      <w:pPr>
        <w:tabs>
          <w:tab w:val="left" w:pos="420"/>
        </w:tabs>
        <w:spacing w:before="498" w:beforeLines="150" w:line="200" w:lineRule="exact"/>
        <w:jc w:val="center"/>
        <w:outlineLvl w:val="9"/>
        <w:rPr>
          <w:rFonts w:hint="eastAsia" w:ascii="宋体" w:hAnsi="宋体"/>
          <w:b/>
          <w:bCs/>
          <w:sz w:val="52"/>
          <w:szCs w:val="52"/>
          <w:highlight w:val="none"/>
        </w:rPr>
      </w:pPr>
    </w:p>
    <w:p w14:paraId="568E6DB8">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竞</w:t>
      </w:r>
    </w:p>
    <w:p w14:paraId="03838C69">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争</w:t>
      </w:r>
    </w:p>
    <w:p w14:paraId="736CF620">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性</w:t>
      </w:r>
    </w:p>
    <w:p w14:paraId="103754FC">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磋</w:t>
      </w:r>
    </w:p>
    <w:p w14:paraId="639A118C">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商</w:t>
      </w:r>
    </w:p>
    <w:p w14:paraId="7BFAD376">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文</w:t>
      </w:r>
    </w:p>
    <w:p w14:paraId="393CDA26">
      <w:pPr>
        <w:keepNext w:val="0"/>
        <w:keepLines w:val="0"/>
        <w:pageBreakBefore w:val="0"/>
        <w:widowControl w:val="0"/>
        <w:tabs>
          <w:tab w:val="left" w:pos="420"/>
        </w:tabs>
        <w:kinsoku/>
        <w:wordWrap/>
        <w:overflowPunct/>
        <w:topLinePunct w:val="0"/>
        <w:autoSpaceDE/>
        <w:autoSpaceDN/>
        <w:bidi w:val="0"/>
        <w:adjustRightInd/>
        <w:snapToGrid/>
        <w:spacing w:line="360" w:lineRule="auto"/>
        <w:jc w:val="center"/>
        <w:textAlignment w:val="auto"/>
        <w:outlineLvl w:val="9"/>
        <w:rPr>
          <w:rFonts w:hint="eastAsia" w:ascii="宋体" w:hAnsi="宋体"/>
          <w:b/>
          <w:bCs/>
          <w:sz w:val="52"/>
          <w:szCs w:val="52"/>
          <w:highlight w:val="none"/>
        </w:rPr>
      </w:pPr>
      <w:r>
        <w:rPr>
          <w:rFonts w:hint="eastAsia" w:ascii="宋体" w:hAnsi="宋体"/>
          <w:b/>
          <w:bCs/>
          <w:sz w:val="52"/>
          <w:szCs w:val="52"/>
          <w:highlight w:val="none"/>
        </w:rPr>
        <w:t>件</w:t>
      </w:r>
    </w:p>
    <w:p w14:paraId="28BCEE31">
      <w:pPr>
        <w:keepNext w:val="0"/>
        <w:keepLines w:val="0"/>
        <w:pageBreakBefore w:val="0"/>
        <w:widowControl w:val="0"/>
        <w:tabs>
          <w:tab w:val="left" w:pos="2410"/>
        </w:tabs>
        <w:kinsoku/>
        <w:wordWrap/>
        <w:overflowPunct/>
        <w:topLinePunct w:val="0"/>
        <w:autoSpaceDE w:val="0"/>
        <w:autoSpaceDN w:val="0"/>
        <w:bidi w:val="0"/>
        <w:adjustRightInd w:val="0"/>
        <w:snapToGrid w:val="0"/>
        <w:spacing w:line="240" w:lineRule="auto"/>
        <w:jc w:val="center"/>
        <w:textAlignment w:val="auto"/>
        <w:outlineLvl w:val="9"/>
        <w:rPr>
          <w:rFonts w:ascii="宋体" w:hAnsi="DotumChe" w:cs="宋体"/>
          <w:b/>
          <w:spacing w:val="20"/>
          <w:kern w:val="0"/>
          <w:sz w:val="32"/>
          <w:szCs w:val="32"/>
          <w:highlight w:val="none"/>
        </w:rPr>
      </w:pPr>
      <w:r>
        <w:rPr>
          <w:rFonts w:hint="eastAsia" w:ascii="仿宋_GB2312" w:eastAsia="仿宋_GB2312"/>
          <w:b w:val="0"/>
          <w:bCs/>
          <w:sz w:val="28"/>
          <w:szCs w:val="28"/>
          <w:highlight w:val="none"/>
        </w:rPr>
        <w:t>（服务类）</w:t>
      </w:r>
    </w:p>
    <w:p w14:paraId="0880D043">
      <w:pPr>
        <w:pStyle w:val="33"/>
        <w:ind w:left="0" w:leftChars="0" w:firstLine="0" w:firstLineChars="0"/>
        <w:outlineLvl w:val="9"/>
        <w:rPr>
          <w:rFonts w:hint="eastAsia"/>
          <w:highlight w:val="none"/>
        </w:rPr>
      </w:pPr>
    </w:p>
    <w:p w14:paraId="2E1EDA89">
      <w:pPr>
        <w:tabs>
          <w:tab w:val="left" w:pos="2410"/>
        </w:tabs>
        <w:autoSpaceDE w:val="0"/>
        <w:autoSpaceDN w:val="0"/>
        <w:adjustRightInd w:val="0"/>
        <w:snapToGrid w:val="0"/>
        <w:spacing w:line="600" w:lineRule="exact"/>
        <w:ind w:left="1050" w:leftChars="500"/>
        <w:jc w:val="left"/>
        <w:outlineLvl w:val="9"/>
        <w:rPr>
          <w:rFonts w:hint="eastAsia" w:ascii="宋体" w:hAnsi="DotumChe" w:cs="宋体"/>
          <w:b/>
          <w:spacing w:val="11"/>
          <w:kern w:val="0"/>
          <w:sz w:val="28"/>
          <w:szCs w:val="28"/>
          <w:highlight w:val="none"/>
        </w:rPr>
      </w:pPr>
    </w:p>
    <w:p w14:paraId="6D8AAACB">
      <w:pPr>
        <w:tabs>
          <w:tab w:val="left" w:pos="2410"/>
        </w:tabs>
        <w:autoSpaceDE w:val="0"/>
        <w:autoSpaceDN w:val="0"/>
        <w:adjustRightInd w:val="0"/>
        <w:snapToGrid w:val="0"/>
        <w:spacing w:line="600" w:lineRule="exact"/>
        <w:ind w:left="1050" w:leftChars="500"/>
        <w:jc w:val="left"/>
        <w:outlineLvl w:val="9"/>
        <w:rPr>
          <w:rFonts w:hint="default" w:ascii="宋体" w:hAnsi="DotumChe" w:cs="宋体"/>
          <w:b/>
          <w:spacing w:val="11"/>
          <w:kern w:val="0"/>
          <w:sz w:val="28"/>
          <w:szCs w:val="28"/>
          <w:highlight w:val="none"/>
        </w:rPr>
      </w:pPr>
      <w:r>
        <w:rPr>
          <w:rFonts w:hint="eastAsia" w:ascii="宋体" w:hAnsi="DotumChe" w:cs="宋体"/>
          <w:b/>
          <w:spacing w:val="11"/>
          <w:kern w:val="0"/>
          <w:sz w:val="28"/>
          <w:szCs w:val="28"/>
          <w:highlight w:val="none"/>
        </w:rPr>
        <w:t>项目名称：</w:t>
      </w:r>
      <w:r>
        <w:rPr>
          <w:rFonts w:hint="eastAsia" w:ascii="宋体" w:hAnsi="DotumChe" w:cs="宋体"/>
          <w:b/>
          <w:spacing w:val="11"/>
          <w:kern w:val="0"/>
          <w:sz w:val="28"/>
          <w:szCs w:val="28"/>
          <w:highlight w:val="none"/>
          <w:lang w:eastAsia="zh-CN"/>
        </w:rPr>
        <w:t>诸佛庵中学食堂劳务派遣项目</w:t>
      </w:r>
    </w:p>
    <w:p w14:paraId="31AB83E2">
      <w:pPr>
        <w:tabs>
          <w:tab w:val="left" w:pos="2410"/>
        </w:tabs>
        <w:autoSpaceDE w:val="0"/>
        <w:autoSpaceDN w:val="0"/>
        <w:adjustRightInd w:val="0"/>
        <w:snapToGrid w:val="0"/>
        <w:spacing w:line="600" w:lineRule="exact"/>
        <w:ind w:left="1050" w:leftChars="500"/>
        <w:jc w:val="left"/>
        <w:outlineLvl w:val="9"/>
        <w:rPr>
          <w:rFonts w:hint="default" w:ascii="宋体" w:hAnsi="DotumChe" w:cs="宋体"/>
          <w:b/>
          <w:spacing w:val="11"/>
          <w:kern w:val="0"/>
          <w:sz w:val="28"/>
          <w:szCs w:val="28"/>
          <w:highlight w:val="none"/>
          <w:lang w:val="en-US"/>
        </w:rPr>
      </w:pPr>
      <w:r>
        <w:rPr>
          <w:rFonts w:hint="eastAsia" w:ascii="宋体" w:hAnsi="DotumChe" w:cs="宋体"/>
          <w:b/>
          <w:spacing w:val="11"/>
          <w:kern w:val="0"/>
          <w:sz w:val="28"/>
          <w:szCs w:val="28"/>
          <w:highlight w:val="none"/>
        </w:rPr>
        <w:t>项目编号：</w:t>
      </w:r>
      <w:r>
        <w:rPr>
          <w:rFonts w:hint="eastAsia" w:ascii="宋体" w:hAnsi="DotumChe" w:cs="宋体"/>
          <w:b/>
          <w:spacing w:val="11"/>
          <w:kern w:val="0"/>
          <w:sz w:val="28"/>
          <w:szCs w:val="28"/>
          <w:highlight w:val="none"/>
          <w:lang w:eastAsia="zh-CN"/>
        </w:rPr>
        <w:t>DBSCG-2024-</w:t>
      </w:r>
      <w:r>
        <w:rPr>
          <w:rFonts w:hint="eastAsia" w:ascii="宋体" w:hAnsi="DotumChe" w:cs="宋体"/>
          <w:b/>
          <w:spacing w:val="11"/>
          <w:kern w:val="0"/>
          <w:sz w:val="28"/>
          <w:szCs w:val="28"/>
          <w:highlight w:val="none"/>
          <w:lang w:val="en-US" w:eastAsia="zh-CN"/>
        </w:rPr>
        <w:t>115</w:t>
      </w:r>
    </w:p>
    <w:p w14:paraId="3FA0D995">
      <w:pPr>
        <w:tabs>
          <w:tab w:val="left" w:pos="2410"/>
        </w:tabs>
        <w:autoSpaceDE w:val="0"/>
        <w:autoSpaceDN w:val="0"/>
        <w:adjustRightInd w:val="0"/>
        <w:snapToGrid w:val="0"/>
        <w:spacing w:line="600" w:lineRule="exact"/>
        <w:ind w:left="1050" w:leftChars="500"/>
        <w:jc w:val="left"/>
        <w:outlineLvl w:val="9"/>
        <w:rPr>
          <w:rFonts w:hint="eastAsia" w:ascii="宋体" w:hAnsi="DotumChe" w:cs="宋体"/>
          <w:b/>
          <w:spacing w:val="11"/>
          <w:kern w:val="0"/>
          <w:sz w:val="28"/>
          <w:szCs w:val="28"/>
          <w:highlight w:val="none"/>
        </w:rPr>
      </w:pPr>
      <w:r>
        <w:rPr>
          <w:rFonts w:hint="eastAsia" w:ascii="宋体" w:hAnsi="DotumChe" w:cs="宋体"/>
          <w:b/>
          <w:spacing w:val="11"/>
          <w:kern w:val="0"/>
          <w:sz w:val="28"/>
          <w:szCs w:val="28"/>
          <w:highlight w:val="none"/>
        </w:rPr>
        <w:t>采 购 人：</w:t>
      </w:r>
      <w:r>
        <w:rPr>
          <w:rFonts w:hint="eastAsia" w:ascii="宋体" w:hAnsi="DotumChe" w:cs="宋体"/>
          <w:b/>
          <w:spacing w:val="11"/>
          <w:kern w:val="0"/>
          <w:sz w:val="28"/>
          <w:szCs w:val="28"/>
          <w:highlight w:val="none"/>
          <w:lang w:val="en-US" w:eastAsia="zh-CN"/>
        </w:rPr>
        <w:t>霍山县诸佛庵中学</w:t>
      </w:r>
    </w:p>
    <w:p w14:paraId="190D34E7">
      <w:pPr>
        <w:tabs>
          <w:tab w:val="left" w:pos="2410"/>
        </w:tabs>
        <w:autoSpaceDE w:val="0"/>
        <w:autoSpaceDN w:val="0"/>
        <w:adjustRightInd w:val="0"/>
        <w:snapToGrid w:val="0"/>
        <w:spacing w:line="600" w:lineRule="exact"/>
        <w:ind w:left="1050" w:leftChars="500"/>
        <w:jc w:val="left"/>
        <w:outlineLvl w:val="9"/>
        <w:rPr>
          <w:rFonts w:hint="eastAsia" w:ascii="宋体" w:hAnsi="DotumChe" w:eastAsia="宋体" w:cs="宋体"/>
          <w:b/>
          <w:spacing w:val="11"/>
          <w:kern w:val="0"/>
          <w:sz w:val="28"/>
          <w:szCs w:val="28"/>
          <w:highlight w:val="none"/>
          <w:lang w:eastAsia="zh-CN"/>
        </w:rPr>
      </w:pPr>
      <w:r>
        <w:rPr>
          <w:rFonts w:hint="eastAsia" w:ascii="宋体" w:hAnsi="DotumChe" w:cs="宋体"/>
          <w:b/>
          <w:spacing w:val="11"/>
          <w:kern w:val="0"/>
          <w:sz w:val="28"/>
          <w:szCs w:val="28"/>
          <w:highlight w:val="none"/>
        </w:rPr>
        <w:t>采购代理机构：</w:t>
      </w:r>
      <w:r>
        <w:rPr>
          <w:rFonts w:hint="eastAsia" w:ascii="宋体" w:hAnsi="DotumChe" w:cs="宋体"/>
          <w:b/>
          <w:spacing w:val="11"/>
          <w:kern w:val="0"/>
          <w:sz w:val="28"/>
          <w:szCs w:val="28"/>
          <w:highlight w:val="none"/>
          <w:lang w:eastAsia="zh-CN"/>
        </w:rPr>
        <w:t>安徽大别山工程咨询有限公司</w:t>
      </w:r>
    </w:p>
    <w:p w14:paraId="223A267E">
      <w:pPr>
        <w:tabs>
          <w:tab w:val="left" w:pos="2410"/>
        </w:tabs>
        <w:autoSpaceDE w:val="0"/>
        <w:autoSpaceDN w:val="0"/>
        <w:adjustRightInd w:val="0"/>
        <w:snapToGrid w:val="0"/>
        <w:spacing w:line="600" w:lineRule="exact"/>
        <w:ind w:left="1050" w:leftChars="500"/>
        <w:jc w:val="left"/>
        <w:outlineLvl w:val="9"/>
        <w:rPr>
          <w:rFonts w:hint="eastAsia" w:ascii="宋体" w:hAnsi="DotumChe" w:cs="宋体"/>
          <w:b/>
          <w:spacing w:val="11"/>
          <w:kern w:val="0"/>
          <w:sz w:val="28"/>
          <w:szCs w:val="28"/>
          <w:highlight w:val="none"/>
        </w:rPr>
      </w:pPr>
      <w:r>
        <w:rPr>
          <w:rFonts w:hint="eastAsia" w:ascii="宋体" w:hAnsi="DotumChe" w:cs="宋体"/>
          <w:b/>
          <w:spacing w:val="11"/>
          <w:kern w:val="0"/>
          <w:sz w:val="28"/>
          <w:szCs w:val="28"/>
          <w:highlight w:val="none"/>
        </w:rPr>
        <w:t>采购时间：202</w:t>
      </w:r>
      <w:r>
        <w:rPr>
          <w:rFonts w:hint="eastAsia" w:ascii="宋体" w:hAnsi="DotumChe" w:cs="宋体"/>
          <w:b/>
          <w:spacing w:val="11"/>
          <w:kern w:val="0"/>
          <w:sz w:val="28"/>
          <w:szCs w:val="28"/>
          <w:highlight w:val="none"/>
          <w:lang w:val="en-US" w:eastAsia="zh-CN"/>
        </w:rPr>
        <w:t>4</w:t>
      </w:r>
      <w:r>
        <w:rPr>
          <w:rFonts w:hint="eastAsia" w:ascii="宋体" w:hAnsi="DotumChe" w:cs="宋体"/>
          <w:b/>
          <w:spacing w:val="11"/>
          <w:kern w:val="0"/>
          <w:sz w:val="28"/>
          <w:szCs w:val="28"/>
          <w:highlight w:val="none"/>
        </w:rPr>
        <w:t>年</w:t>
      </w:r>
      <w:r>
        <w:rPr>
          <w:rFonts w:hint="eastAsia" w:ascii="宋体" w:hAnsi="DotumChe" w:cs="宋体"/>
          <w:b/>
          <w:spacing w:val="11"/>
          <w:kern w:val="0"/>
          <w:sz w:val="28"/>
          <w:szCs w:val="28"/>
          <w:highlight w:val="none"/>
          <w:lang w:val="en-US" w:eastAsia="zh-CN"/>
        </w:rPr>
        <w:t>8</w:t>
      </w:r>
      <w:r>
        <w:rPr>
          <w:rFonts w:hint="eastAsia" w:ascii="宋体" w:hAnsi="DotumChe" w:cs="宋体"/>
          <w:b/>
          <w:spacing w:val="11"/>
          <w:kern w:val="0"/>
          <w:sz w:val="28"/>
          <w:szCs w:val="28"/>
          <w:highlight w:val="none"/>
        </w:rPr>
        <w:t>月</w:t>
      </w:r>
    </w:p>
    <w:p w14:paraId="63E0C343">
      <w:pPr>
        <w:jc w:val="both"/>
        <w:rPr>
          <w:b/>
          <w:sz w:val="28"/>
          <w:szCs w:val="28"/>
          <w:highlight w:val="none"/>
        </w:rPr>
      </w:pPr>
      <w:r>
        <w:rPr>
          <w:rFonts w:hint="eastAsia"/>
          <w:b/>
          <w:sz w:val="28"/>
          <w:szCs w:val="28"/>
          <w:highlight w:val="none"/>
        </w:rPr>
        <w:br w:type="page"/>
      </w:r>
    </w:p>
    <w:sdt>
      <w:sdtPr>
        <w:rPr>
          <w:rFonts w:ascii="宋体" w:hAnsi="宋体" w:eastAsia="宋体" w:cs="Times New Roman"/>
          <w:kern w:val="2"/>
          <w:sz w:val="21"/>
          <w:highlight w:val="none"/>
          <w:lang w:val="en-US" w:eastAsia="zh-CN" w:bidi="ar-SA"/>
        </w:rPr>
        <w:id w:val="147460497"/>
        <w15:color w:val="DBDBDB"/>
        <w:docPartObj>
          <w:docPartGallery w:val="Table of Contents"/>
          <w:docPartUnique/>
        </w:docPartObj>
      </w:sdtPr>
      <w:sdtEndPr>
        <w:rPr>
          <w:rFonts w:ascii="宋体" w:hAnsi="宋体" w:eastAsia="宋体" w:cs="Times New Roman"/>
          <w:kern w:val="2"/>
          <w:sz w:val="21"/>
          <w:highlight w:val="none"/>
          <w:lang w:val="en-US" w:eastAsia="zh-CN" w:bidi="ar-SA"/>
        </w:rPr>
      </w:sdtEndPr>
      <w:sdtContent>
        <w:p w14:paraId="490F1A17">
          <w:pPr>
            <w:spacing w:before="0" w:beforeLines="0" w:after="0" w:afterLines="0" w:line="240" w:lineRule="auto"/>
            <w:ind w:left="0" w:leftChars="0" w:right="0" w:rightChars="0" w:firstLine="0" w:firstLineChars="0"/>
            <w:jc w:val="center"/>
            <w:rPr>
              <w:b/>
              <w:bCs/>
              <w:sz w:val="32"/>
              <w:szCs w:val="32"/>
              <w:highlight w:val="none"/>
            </w:rPr>
          </w:pPr>
          <w:r>
            <w:rPr>
              <w:rFonts w:ascii="宋体" w:hAnsi="宋体" w:eastAsia="宋体"/>
              <w:b/>
              <w:bCs/>
              <w:sz w:val="32"/>
              <w:szCs w:val="32"/>
              <w:highlight w:val="none"/>
            </w:rPr>
            <w:t>目</w:t>
          </w:r>
          <w:r>
            <w:rPr>
              <w:rFonts w:hint="eastAsia" w:ascii="宋体" w:hAnsi="宋体" w:eastAsia="宋体"/>
              <w:b/>
              <w:bCs/>
              <w:sz w:val="32"/>
              <w:szCs w:val="32"/>
              <w:highlight w:val="none"/>
              <w:lang w:val="en-US" w:eastAsia="zh-CN"/>
            </w:rPr>
            <w:t xml:space="preserve">  </w:t>
          </w:r>
          <w:r>
            <w:rPr>
              <w:rFonts w:ascii="宋体" w:hAnsi="宋体" w:eastAsia="宋体"/>
              <w:b/>
              <w:bCs/>
              <w:sz w:val="32"/>
              <w:szCs w:val="32"/>
              <w:highlight w:val="none"/>
            </w:rPr>
            <w:t>录</w:t>
          </w:r>
        </w:p>
        <w:p w14:paraId="02EB6A00">
          <w:pPr>
            <w:pStyle w:val="22"/>
            <w:tabs>
              <w:tab w:val="right" w:leader="dot" w:pos="8844"/>
            </w:tabs>
            <w:rPr>
              <w:rFonts w:hint="eastAsia" w:asciiTheme="minorEastAsia" w:hAnsiTheme="minorEastAsia" w:eastAsiaTheme="minorEastAsia" w:cstheme="minorEastAsia"/>
              <w:b w:val="0"/>
              <w:bCs w:val="0"/>
              <w:sz w:val="28"/>
              <w:szCs w:val="28"/>
              <w:highlight w:val="none"/>
            </w:rPr>
          </w:pPr>
          <w:r>
            <w:rPr>
              <w:highlight w:val="none"/>
            </w:rPr>
            <w:fldChar w:fldCharType="begin"/>
          </w:r>
          <w:r>
            <w:rPr>
              <w:highlight w:val="none"/>
            </w:rPr>
            <w:instrText xml:space="preserve">TOC \o "1-1" \h \u </w:instrText>
          </w:r>
          <w:r>
            <w:rPr>
              <w:highlight w:val="none"/>
            </w:rPr>
            <w:fldChar w:fldCharType="separate"/>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_Toc549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竞争性磋商采购公告</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_Toc549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1</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56D1D4FB">
          <w:pPr>
            <w:pStyle w:val="22"/>
            <w:tabs>
              <w:tab w:val="right" w:leader="dot" w:pos="8844"/>
            </w:tabs>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_Toc15791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一、供应商须知</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_Toc15791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4</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530D8294">
          <w:pPr>
            <w:pStyle w:val="22"/>
            <w:tabs>
              <w:tab w:val="right" w:leader="dot" w:pos="8844"/>
            </w:tabs>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_Toc27341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二、采购合同</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_Toc27341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13</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4BE3526C">
          <w:pPr>
            <w:pStyle w:val="22"/>
            <w:tabs>
              <w:tab w:val="right" w:leader="dot" w:pos="8844"/>
            </w:tabs>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_Toc15847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kern w:val="2"/>
              <w:sz w:val="28"/>
              <w:szCs w:val="28"/>
              <w:highlight w:val="none"/>
              <w:lang w:val="en-US" w:eastAsia="zh-CN" w:bidi="ar-SA"/>
            </w:rPr>
            <w:t>三、</w:t>
          </w:r>
          <w:r>
            <w:rPr>
              <w:rFonts w:hint="eastAsia" w:asciiTheme="minorEastAsia" w:hAnsiTheme="minorEastAsia" w:eastAsiaTheme="minorEastAsia" w:cstheme="minorEastAsia"/>
              <w:b w:val="0"/>
              <w:bCs w:val="0"/>
              <w:sz w:val="28"/>
              <w:szCs w:val="28"/>
              <w:highlight w:val="none"/>
            </w:rPr>
            <w:t>采购需求</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_Toc15847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14</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7129E76E">
          <w:pPr>
            <w:pStyle w:val="22"/>
            <w:tabs>
              <w:tab w:val="right" w:leader="dot" w:pos="8844"/>
            </w:tabs>
            <w:rPr>
              <w:rFonts w:hint="eastAsia" w:asciiTheme="minorEastAsia" w:hAnsiTheme="minorEastAsia" w:eastAsiaTheme="minorEastAsia" w:cstheme="minorEastAsia"/>
              <w:b w:val="0"/>
              <w:bCs w:val="0"/>
              <w:sz w:val="28"/>
              <w:szCs w:val="28"/>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_Toc22919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四、评分标准</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_Toc22919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18</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390C8F0D">
          <w:pPr>
            <w:pStyle w:val="22"/>
            <w:tabs>
              <w:tab w:val="right" w:leader="dot" w:pos="8844"/>
            </w:tabs>
            <w:rPr>
              <w:highlight w:val="none"/>
            </w:rPr>
          </w:pP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HYPERLINK \l _Toc21797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五、响应文件格式</w:t>
          </w:r>
          <w:r>
            <w:rPr>
              <w:rFonts w:hint="eastAsia" w:asciiTheme="minorEastAsia" w:hAnsiTheme="minorEastAsia" w:eastAsiaTheme="minorEastAsia" w:cstheme="minorEastAsia"/>
              <w:b w:val="0"/>
              <w:bCs w:val="0"/>
              <w:sz w:val="28"/>
              <w:szCs w:val="28"/>
              <w:highlight w:val="none"/>
            </w:rPr>
            <w:tab/>
          </w:r>
          <w:r>
            <w:rPr>
              <w:rFonts w:hint="eastAsia" w:asciiTheme="minorEastAsia" w:hAnsiTheme="minorEastAsia" w:eastAsiaTheme="minorEastAsia" w:cstheme="minorEastAsia"/>
              <w:b w:val="0"/>
              <w:bCs w:val="0"/>
              <w:sz w:val="28"/>
              <w:szCs w:val="28"/>
              <w:highlight w:val="none"/>
            </w:rPr>
            <w:fldChar w:fldCharType="begin"/>
          </w:r>
          <w:r>
            <w:rPr>
              <w:rFonts w:hint="eastAsia" w:asciiTheme="minorEastAsia" w:hAnsiTheme="minorEastAsia" w:eastAsiaTheme="minorEastAsia" w:cstheme="minorEastAsia"/>
              <w:b w:val="0"/>
              <w:bCs w:val="0"/>
              <w:sz w:val="28"/>
              <w:szCs w:val="28"/>
              <w:highlight w:val="none"/>
            </w:rPr>
            <w:instrText xml:space="preserve"> PAGEREF _Toc21797 \h </w:instrText>
          </w:r>
          <w:r>
            <w:rPr>
              <w:rFonts w:hint="eastAsia" w:asciiTheme="minorEastAsia" w:hAnsiTheme="minorEastAsia" w:eastAsiaTheme="minorEastAsia" w:cstheme="minorEastAsia"/>
              <w:b w:val="0"/>
              <w:bCs w:val="0"/>
              <w:sz w:val="28"/>
              <w:szCs w:val="28"/>
              <w:highlight w:val="none"/>
            </w:rPr>
            <w:fldChar w:fldCharType="separate"/>
          </w:r>
          <w:r>
            <w:rPr>
              <w:rFonts w:hint="eastAsia" w:asciiTheme="minorEastAsia" w:hAnsiTheme="minorEastAsia" w:eastAsiaTheme="minorEastAsia" w:cstheme="minorEastAsia"/>
              <w:b w:val="0"/>
              <w:bCs w:val="0"/>
              <w:sz w:val="28"/>
              <w:szCs w:val="28"/>
              <w:highlight w:val="none"/>
            </w:rPr>
            <w:t>21</w:t>
          </w:r>
          <w:r>
            <w:rPr>
              <w:rFonts w:hint="eastAsia" w:asciiTheme="minorEastAsia" w:hAnsiTheme="minorEastAsia" w:eastAsiaTheme="minorEastAsia" w:cstheme="minorEastAsia"/>
              <w:b w:val="0"/>
              <w:bCs w:val="0"/>
              <w:sz w:val="28"/>
              <w:szCs w:val="28"/>
              <w:highlight w:val="none"/>
            </w:rPr>
            <w:fldChar w:fldCharType="end"/>
          </w:r>
          <w:r>
            <w:rPr>
              <w:rFonts w:hint="eastAsia" w:asciiTheme="minorEastAsia" w:hAnsiTheme="minorEastAsia" w:eastAsiaTheme="minorEastAsia" w:cstheme="minorEastAsia"/>
              <w:b w:val="0"/>
              <w:bCs w:val="0"/>
              <w:sz w:val="28"/>
              <w:szCs w:val="28"/>
              <w:highlight w:val="none"/>
            </w:rPr>
            <w:fldChar w:fldCharType="end"/>
          </w:r>
        </w:p>
        <w:p w14:paraId="07D23903">
          <w:pPr>
            <w:rPr>
              <w:highlight w:val="none"/>
            </w:rPr>
          </w:pPr>
          <w:r>
            <w:rPr>
              <w:highlight w:val="none"/>
            </w:rPr>
            <w:fldChar w:fldCharType="end"/>
          </w:r>
        </w:p>
      </w:sdtContent>
    </w:sdt>
    <w:p w14:paraId="10460C3A">
      <w:pPr>
        <w:rPr>
          <w:highlight w:val="none"/>
        </w:rPr>
      </w:pPr>
    </w:p>
    <w:p w14:paraId="0893BE09">
      <w:pPr>
        <w:pStyle w:val="2"/>
        <w:spacing w:before="120" w:beforeLines="50" w:after="120" w:afterLines="50" w:line="520" w:lineRule="exact"/>
        <w:jc w:val="center"/>
        <w:outlineLvl w:val="0"/>
        <w:rPr>
          <w:rFonts w:hint="eastAsia" w:ascii="华文中宋" w:hAnsi="华文中宋" w:eastAsia="华文中宋" w:cs="华文中宋"/>
          <w:b w:val="0"/>
          <w:bCs/>
          <w:sz w:val="44"/>
          <w:szCs w:val="44"/>
          <w:highlight w:val="none"/>
          <w:lang w:eastAsia="zh-CN"/>
        </w:rPr>
        <w:sectPr>
          <w:headerReference r:id="rId3" w:type="default"/>
          <w:headerReference r:id="rId4" w:type="even"/>
          <w:footerReference r:id="rId5" w:type="even"/>
          <w:pgSz w:w="11906" w:h="16838"/>
          <w:pgMar w:top="1440" w:right="1531" w:bottom="1440" w:left="1531" w:header="851" w:footer="992" w:gutter="0"/>
          <w:cols w:space="425" w:num="1"/>
          <w:docGrid w:type="lines" w:linePitch="312" w:charSpace="0"/>
        </w:sectPr>
      </w:pPr>
      <w:bookmarkStart w:id="0" w:name="_Toc1863"/>
      <w:bookmarkStart w:id="1" w:name="_Toc30186"/>
      <w:bookmarkStart w:id="2" w:name="_Toc549"/>
    </w:p>
    <w:p w14:paraId="5E93D57B">
      <w:pPr>
        <w:pStyle w:val="2"/>
        <w:spacing w:before="120" w:beforeLines="50" w:after="120" w:afterLines="50" w:line="520" w:lineRule="exact"/>
        <w:jc w:val="center"/>
        <w:outlineLvl w:val="0"/>
        <w:rPr>
          <w:rFonts w:hint="eastAsia" w:ascii="华文中宋" w:hAnsi="华文中宋" w:eastAsia="华文中宋" w:cs="华文中宋"/>
          <w:b w:val="0"/>
          <w:bCs/>
          <w:sz w:val="44"/>
          <w:szCs w:val="44"/>
          <w:highlight w:val="none"/>
        </w:rPr>
      </w:pPr>
      <w:r>
        <w:rPr>
          <w:rFonts w:hint="eastAsia" w:ascii="华文中宋" w:hAnsi="华文中宋" w:eastAsia="华文中宋" w:cs="华文中宋"/>
          <w:b w:val="0"/>
          <w:bCs/>
          <w:sz w:val="44"/>
          <w:szCs w:val="44"/>
          <w:highlight w:val="none"/>
          <w:lang w:eastAsia="zh-CN"/>
        </w:rPr>
        <w:t>诸佛庵中学食堂劳务派遣项目</w:t>
      </w:r>
      <w:r>
        <w:rPr>
          <w:rFonts w:hint="eastAsia" w:ascii="华文中宋" w:hAnsi="华文中宋" w:eastAsia="华文中宋" w:cs="华文中宋"/>
          <w:b w:val="0"/>
          <w:bCs/>
          <w:sz w:val="44"/>
          <w:szCs w:val="44"/>
          <w:highlight w:val="none"/>
        </w:rPr>
        <w:t>竞争性磋商采购公告</w:t>
      </w:r>
      <w:bookmarkEnd w:id="0"/>
      <w:bookmarkEnd w:id="1"/>
      <w:bookmarkEnd w:id="2"/>
    </w:p>
    <w:p w14:paraId="118D2290">
      <w:pPr>
        <w:keepNext w:val="0"/>
        <w:keepLines w:val="0"/>
        <w:pageBreakBefore w:val="0"/>
        <w:widowControl w:val="0"/>
        <w:pBdr>
          <w:top w:val="single" w:color="auto" w:sz="4" w:space="1"/>
          <w:left w:val="single" w:color="auto" w:sz="4" w:space="4"/>
          <w:bottom w:val="single" w:color="auto" w:sz="4" w:space="1"/>
          <w:right w:val="single" w:color="auto" w:sz="4" w:space="4"/>
        </w:pBdr>
        <w:kinsoku/>
        <w:wordWrap/>
        <w:overflowPunct/>
        <w:topLinePunct w:val="0"/>
        <w:autoSpaceDE/>
        <w:autoSpaceDN/>
        <w:bidi w:val="0"/>
        <w:adjustRightInd w:val="0"/>
        <w:snapToGrid w:val="0"/>
        <w:spacing w:line="360" w:lineRule="auto"/>
        <w:ind w:firstLine="560" w:firstLineChars="200"/>
        <w:textAlignment w:val="auto"/>
        <w:rPr>
          <w:rFonts w:ascii="仿宋" w:hAnsi="仿宋" w:eastAsia="仿宋" w:cs="仿宋"/>
          <w:sz w:val="28"/>
          <w:szCs w:val="28"/>
          <w:highlight w:val="none"/>
        </w:rPr>
      </w:pPr>
      <w:r>
        <w:rPr>
          <w:rFonts w:hint="eastAsia" w:ascii="仿宋" w:hAnsi="仿宋" w:eastAsia="仿宋" w:cs="仿宋"/>
          <w:sz w:val="28"/>
          <w:szCs w:val="28"/>
          <w:highlight w:val="none"/>
        </w:rPr>
        <w:t>项目概况：</w:t>
      </w:r>
      <w:r>
        <w:rPr>
          <w:rFonts w:hint="eastAsia" w:ascii="仿宋" w:hAnsi="仿宋" w:eastAsia="仿宋" w:cs="仿宋"/>
          <w:sz w:val="28"/>
          <w:szCs w:val="28"/>
          <w:highlight w:val="none"/>
          <w:u w:val="single"/>
          <w:lang w:eastAsia="zh-CN"/>
        </w:rPr>
        <w:t>诸佛庵中学食堂劳务派遣项目</w:t>
      </w:r>
      <w:r>
        <w:rPr>
          <w:rFonts w:hint="eastAsia" w:ascii="仿宋" w:hAnsi="仿宋" w:eastAsia="仿宋" w:cs="仿宋"/>
          <w:sz w:val="28"/>
          <w:szCs w:val="28"/>
          <w:highlight w:val="none"/>
          <w:u w:val="single"/>
        </w:rPr>
        <w:t>（</w:t>
      </w:r>
      <w:r>
        <w:rPr>
          <w:rFonts w:hint="eastAsia" w:ascii="仿宋" w:hAnsi="仿宋" w:eastAsia="仿宋" w:cs="仿宋"/>
          <w:sz w:val="28"/>
          <w:szCs w:val="28"/>
          <w:highlight w:val="none"/>
          <w:u w:val="single"/>
          <w:lang w:val="en-US" w:eastAsia="zh-CN"/>
        </w:rPr>
        <w:t>DBSCG-2024-115</w:t>
      </w:r>
      <w:r>
        <w:rPr>
          <w:rFonts w:hint="eastAsia" w:ascii="仿宋" w:hAnsi="仿宋" w:eastAsia="仿宋" w:cs="仿宋"/>
          <w:sz w:val="28"/>
          <w:szCs w:val="28"/>
          <w:highlight w:val="none"/>
          <w:u w:val="single"/>
        </w:rPr>
        <w:t>）</w:t>
      </w:r>
      <w:r>
        <w:rPr>
          <w:rFonts w:hint="eastAsia" w:ascii="仿宋" w:hAnsi="仿宋" w:eastAsia="仿宋" w:cs="仿宋"/>
          <w:sz w:val="28"/>
          <w:szCs w:val="28"/>
          <w:highlight w:val="none"/>
        </w:rPr>
        <w:t>的潜在供应商应在</w:t>
      </w:r>
      <w:r>
        <w:rPr>
          <w:rFonts w:hint="eastAsia" w:ascii="仿宋" w:hAnsi="仿宋" w:eastAsia="仿宋" w:cs="仿宋"/>
          <w:sz w:val="28"/>
          <w:szCs w:val="28"/>
          <w:highlight w:val="none"/>
          <w:lang w:val="en-US" w:eastAsia="zh-CN"/>
        </w:rPr>
        <w:t>安徽霍山国有资产投资控股集团有限公司（http：//ahdmig.cn/）</w:t>
      </w:r>
      <w:r>
        <w:rPr>
          <w:rFonts w:hint="eastAsia"/>
          <w:highlight w:val="none"/>
        </w:rPr>
        <w:fldChar w:fldCharType="begin"/>
      </w:r>
      <w:r>
        <w:rPr>
          <w:rFonts w:hint="eastAsia" w:ascii="仿宋" w:hAnsi="仿宋" w:eastAsia="仿宋" w:cs="仿宋"/>
          <w:sz w:val="28"/>
          <w:szCs w:val="28"/>
          <w:highlight w:val="none"/>
        </w:rPr>
        <w:instrText xml:space="preserve"> HYPERLINK "http://ggzy.luan.gov.cn）获取采购文件，并于" </w:instrText>
      </w:r>
      <w:r>
        <w:rPr>
          <w:rFonts w:hint="eastAsia"/>
          <w:highlight w:val="none"/>
        </w:rPr>
        <w:fldChar w:fldCharType="separate"/>
      </w:r>
      <w:r>
        <w:rPr>
          <w:rStyle w:val="40"/>
          <w:rFonts w:hint="eastAsia" w:ascii="仿宋" w:hAnsi="仿宋" w:eastAsia="仿宋" w:cs="仿宋"/>
          <w:sz w:val="28"/>
          <w:szCs w:val="28"/>
          <w:highlight w:val="none"/>
        </w:rPr>
        <w:t>获取采购文件，并于</w:t>
      </w:r>
      <w:r>
        <w:rPr>
          <w:rStyle w:val="40"/>
          <w:rFonts w:hint="eastAsia" w:ascii="仿宋" w:hAnsi="仿宋" w:eastAsia="仿宋" w:cs="仿宋"/>
          <w:sz w:val="28"/>
          <w:szCs w:val="28"/>
          <w:highlight w:val="none"/>
        </w:rPr>
        <w:fldChar w:fldCharType="end"/>
      </w:r>
      <w:r>
        <w:rPr>
          <w:rFonts w:hint="eastAsia" w:ascii="仿宋" w:hAnsi="仿宋" w:eastAsia="仿宋" w:cs="仿宋"/>
          <w:sz w:val="28"/>
          <w:szCs w:val="28"/>
          <w:highlight w:val="none"/>
          <w:lang w:val="en-US" w:eastAsia="zh-CN"/>
        </w:rPr>
        <w:t>2024</w:t>
      </w:r>
      <w:r>
        <w:rPr>
          <w:rFonts w:hint="eastAsia" w:ascii="仿宋" w:hAnsi="仿宋" w:eastAsia="仿宋" w:cs="仿宋"/>
          <w:sz w:val="28"/>
          <w:szCs w:val="28"/>
          <w:highlight w:val="none"/>
        </w:rPr>
        <w:t>年</w:t>
      </w:r>
      <w:r>
        <w:rPr>
          <w:rFonts w:hint="eastAsia" w:ascii="仿宋" w:hAnsi="仿宋" w:eastAsia="仿宋" w:cs="仿宋"/>
          <w:sz w:val="28"/>
          <w:szCs w:val="28"/>
          <w:highlight w:val="none"/>
          <w:u w:val="single"/>
          <w:lang w:val="en-US" w:eastAsia="zh-CN"/>
        </w:rPr>
        <w:t>8</w:t>
      </w:r>
      <w:r>
        <w:rPr>
          <w:rFonts w:hint="eastAsia" w:ascii="仿宋" w:hAnsi="仿宋" w:eastAsia="仿宋" w:cs="仿宋"/>
          <w:sz w:val="28"/>
          <w:szCs w:val="28"/>
          <w:highlight w:val="none"/>
        </w:rPr>
        <w:t>月</w:t>
      </w:r>
      <w:r>
        <w:rPr>
          <w:rFonts w:hint="eastAsia" w:ascii="仿宋" w:hAnsi="仿宋" w:eastAsia="仿宋" w:cs="仿宋"/>
          <w:sz w:val="28"/>
          <w:szCs w:val="28"/>
          <w:highlight w:val="none"/>
          <w:u w:val="single"/>
          <w:lang w:val="en-US" w:eastAsia="zh-CN"/>
        </w:rPr>
        <w:t>30</w:t>
      </w:r>
      <w:r>
        <w:rPr>
          <w:rFonts w:hint="eastAsia" w:ascii="仿宋" w:hAnsi="仿宋" w:eastAsia="仿宋" w:cs="仿宋"/>
          <w:sz w:val="28"/>
          <w:szCs w:val="28"/>
          <w:highlight w:val="none"/>
        </w:rPr>
        <w:t>日</w:t>
      </w:r>
      <w:r>
        <w:rPr>
          <w:rFonts w:hint="eastAsia" w:ascii="仿宋" w:hAnsi="仿宋" w:eastAsia="仿宋" w:cs="仿宋"/>
          <w:sz w:val="28"/>
          <w:szCs w:val="28"/>
          <w:highlight w:val="none"/>
          <w:u w:val="single"/>
          <w:lang w:val="en-US" w:eastAsia="zh-CN"/>
        </w:rPr>
        <w:t>09</w:t>
      </w:r>
      <w:r>
        <w:rPr>
          <w:rFonts w:hint="eastAsia" w:ascii="仿宋" w:hAnsi="仿宋" w:eastAsia="仿宋" w:cs="仿宋"/>
          <w:sz w:val="28"/>
          <w:szCs w:val="28"/>
          <w:highlight w:val="none"/>
        </w:rPr>
        <w:t>点</w:t>
      </w:r>
      <w:r>
        <w:rPr>
          <w:rFonts w:hint="eastAsia" w:ascii="仿宋" w:hAnsi="仿宋" w:eastAsia="仿宋" w:cs="仿宋"/>
          <w:sz w:val="28"/>
          <w:szCs w:val="28"/>
          <w:highlight w:val="none"/>
          <w:u w:val="single"/>
          <w:lang w:val="en-US" w:eastAsia="zh-CN"/>
        </w:rPr>
        <w:t>00</w:t>
      </w:r>
      <w:r>
        <w:rPr>
          <w:rFonts w:hint="eastAsia" w:ascii="仿宋" w:hAnsi="仿宋" w:eastAsia="仿宋" w:cs="仿宋"/>
          <w:sz w:val="28"/>
          <w:szCs w:val="28"/>
          <w:highlight w:val="none"/>
        </w:rPr>
        <w:t>分（北京时间）前提交响应文件。</w:t>
      </w:r>
    </w:p>
    <w:p w14:paraId="4C261F91">
      <w:pPr>
        <w:pStyle w:val="3"/>
        <w:adjustRightInd/>
        <w:spacing w:before="0" w:after="0" w:line="520" w:lineRule="exact"/>
        <w:jc w:val="both"/>
        <w:textAlignment w:val="auto"/>
        <w:outlineLvl w:val="0"/>
        <w:rPr>
          <w:rFonts w:ascii="黑体" w:hAnsi="黑体" w:cs="黑体"/>
          <w:b w:val="0"/>
          <w:bCs/>
          <w:sz w:val="28"/>
          <w:szCs w:val="28"/>
          <w:highlight w:val="none"/>
        </w:rPr>
      </w:pPr>
      <w:bookmarkStart w:id="3" w:name="_Toc28359089"/>
      <w:bookmarkStart w:id="4" w:name="_Toc21060"/>
      <w:bookmarkStart w:id="5" w:name="_Toc28359012"/>
      <w:bookmarkStart w:id="6" w:name="_Toc35393629"/>
      <w:bookmarkStart w:id="7" w:name="_Toc9864"/>
      <w:bookmarkStart w:id="8" w:name="_Toc35393798"/>
      <w:r>
        <w:rPr>
          <w:rFonts w:hint="eastAsia" w:ascii="黑体" w:hAnsi="黑体" w:cs="黑体"/>
          <w:b w:val="0"/>
          <w:bCs/>
          <w:sz w:val="28"/>
          <w:szCs w:val="28"/>
          <w:highlight w:val="none"/>
        </w:rPr>
        <w:t>一、项目基本情况</w:t>
      </w:r>
      <w:bookmarkEnd w:id="3"/>
      <w:bookmarkEnd w:id="4"/>
      <w:bookmarkEnd w:id="5"/>
      <w:bookmarkEnd w:id="6"/>
      <w:bookmarkEnd w:id="7"/>
      <w:bookmarkEnd w:id="8"/>
    </w:p>
    <w:p w14:paraId="1633B2C7">
      <w:pPr>
        <w:spacing w:line="520" w:lineRule="exact"/>
        <w:ind w:firstLine="560" w:firstLineChars="200"/>
        <w:rPr>
          <w:rFonts w:hint="default" w:ascii="宋体" w:hAnsi="宋体" w:eastAsia="宋体" w:cs="宋体"/>
          <w:color w:val="333333"/>
          <w:sz w:val="24"/>
          <w:szCs w:val="24"/>
          <w:highlight w:val="none"/>
          <w:shd w:val="clear" w:color="auto" w:fill="FFFFFF"/>
          <w:lang w:val="en-US" w:bidi="ar"/>
        </w:rPr>
      </w:pPr>
      <w:bookmarkStart w:id="168" w:name="_GoBack"/>
      <w:r>
        <w:rPr>
          <w:rFonts w:hint="eastAsia" w:ascii="仿宋" w:hAnsi="仿宋" w:eastAsia="仿宋" w:cs="仿宋"/>
          <w:sz w:val="28"/>
          <w:szCs w:val="28"/>
          <w:highlight w:val="none"/>
        </w:rPr>
        <w:t>1、项目编号：</w:t>
      </w:r>
      <w:r>
        <w:rPr>
          <w:rFonts w:hint="eastAsia" w:ascii="仿宋" w:hAnsi="仿宋" w:eastAsia="仿宋" w:cs="仿宋"/>
          <w:sz w:val="28"/>
          <w:szCs w:val="28"/>
          <w:highlight w:val="none"/>
          <w:lang w:val="en-US" w:eastAsia="zh-CN"/>
        </w:rPr>
        <w:t>DBSCG-2024-115</w:t>
      </w:r>
    </w:p>
    <w:p w14:paraId="4C8E429D">
      <w:pPr>
        <w:spacing w:line="520" w:lineRule="exact"/>
        <w:ind w:firstLine="560" w:firstLineChars="200"/>
        <w:rPr>
          <w:rFonts w:hint="default" w:ascii="仿宋" w:hAnsi="仿宋" w:eastAsia="仿宋" w:cs="仿宋"/>
          <w:sz w:val="28"/>
          <w:szCs w:val="28"/>
          <w:highlight w:val="none"/>
        </w:rPr>
      </w:pPr>
      <w:r>
        <w:rPr>
          <w:rFonts w:hint="eastAsia" w:ascii="仿宋" w:hAnsi="仿宋" w:eastAsia="仿宋" w:cs="仿宋"/>
          <w:sz w:val="28"/>
          <w:szCs w:val="28"/>
          <w:highlight w:val="none"/>
        </w:rPr>
        <w:t>2、项目名称：</w:t>
      </w:r>
      <w:r>
        <w:rPr>
          <w:rFonts w:hint="eastAsia" w:ascii="仿宋" w:hAnsi="仿宋" w:eastAsia="仿宋" w:cs="仿宋"/>
          <w:sz w:val="28"/>
          <w:szCs w:val="28"/>
          <w:highlight w:val="none"/>
          <w:lang w:eastAsia="zh-CN"/>
        </w:rPr>
        <w:t>诸佛庵中学食堂劳务派遣项目</w:t>
      </w:r>
    </w:p>
    <w:p w14:paraId="414BEE44">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3、项目类型：服务类</w:t>
      </w:r>
    </w:p>
    <w:p w14:paraId="380B736B">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4、采购方式：竞争性磋商</w:t>
      </w:r>
    </w:p>
    <w:p w14:paraId="533B1FA9">
      <w:pPr>
        <w:spacing w:line="520" w:lineRule="exact"/>
        <w:ind w:firstLine="560" w:firstLineChars="200"/>
        <w:rPr>
          <w:rFonts w:hint="eastAsia" w:ascii="仿宋" w:hAnsi="仿宋" w:eastAsia="仿宋" w:cs="仿宋"/>
          <w:sz w:val="28"/>
          <w:szCs w:val="28"/>
          <w:highlight w:val="none"/>
          <w:u w:val="none"/>
          <w:lang w:val="en-US" w:eastAsia="zh-CN"/>
        </w:rPr>
      </w:pPr>
      <w:r>
        <w:rPr>
          <w:rFonts w:hint="eastAsia" w:ascii="仿宋" w:hAnsi="仿宋" w:eastAsia="仿宋" w:cs="仿宋"/>
          <w:sz w:val="28"/>
          <w:szCs w:val="28"/>
          <w:highlight w:val="none"/>
        </w:rPr>
        <w:t>5、预算金额：</w:t>
      </w:r>
      <w:r>
        <w:rPr>
          <w:rFonts w:hint="eastAsia" w:ascii="仿宋" w:hAnsi="仿宋" w:eastAsia="仿宋" w:cs="仿宋"/>
          <w:sz w:val="28"/>
          <w:szCs w:val="28"/>
          <w:highlight w:val="none"/>
          <w:lang w:val="en-US" w:eastAsia="zh-CN"/>
        </w:rPr>
        <w:t>312785.00</w:t>
      </w:r>
      <w:r>
        <w:rPr>
          <w:rFonts w:hint="eastAsia" w:ascii="仿宋" w:hAnsi="仿宋" w:eastAsia="仿宋" w:cs="仿宋"/>
          <w:sz w:val="28"/>
          <w:szCs w:val="28"/>
          <w:highlight w:val="none"/>
          <w:u w:val="none"/>
          <w:lang w:val="en-US" w:eastAsia="zh-CN"/>
        </w:rPr>
        <w:t>元/年</w:t>
      </w:r>
    </w:p>
    <w:p w14:paraId="22C38032">
      <w:pPr>
        <w:spacing w:line="520" w:lineRule="exact"/>
        <w:ind w:firstLine="560" w:firstLineChars="200"/>
        <w:rPr>
          <w:rFonts w:hint="default" w:ascii="仿宋" w:hAnsi="仿宋" w:eastAsia="仿宋" w:cs="仿宋"/>
          <w:sz w:val="28"/>
          <w:szCs w:val="28"/>
          <w:highlight w:val="none"/>
          <w:u w:val="none"/>
          <w:lang w:val="en-US" w:eastAsia="zh-CN"/>
        </w:rPr>
      </w:pPr>
      <w:r>
        <w:rPr>
          <w:rFonts w:hint="eastAsia" w:ascii="仿宋" w:hAnsi="仿宋" w:eastAsia="仿宋" w:cs="仿宋"/>
          <w:sz w:val="28"/>
          <w:szCs w:val="28"/>
          <w:highlight w:val="none"/>
          <w:u w:val="none"/>
          <w:lang w:val="en-US" w:eastAsia="zh-CN"/>
        </w:rPr>
        <w:t>6、资金来源：非财政性资金（师生充卡自费）</w:t>
      </w:r>
    </w:p>
    <w:p w14:paraId="5C201633">
      <w:pPr>
        <w:spacing w:line="520" w:lineRule="exact"/>
        <w:ind w:firstLine="560" w:firstLineChars="200"/>
        <w:rPr>
          <w:rFonts w:hint="eastAsia" w:ascii="仿宋" w:hAnsi="仿宋" w:eastAsia="仿宋" w:cs="仿宋"/>
          <w:sz w:val="28"/>
          <w:szCs w:val="28"/>
          <w:highlight w:val="none"/>
          <w:u w:val="single"/>
          <w:lang w:val="en-US" w:eastAsia="zh-CN"/>
        </w:rPr>
      </w:pPr>
      <w:r>
        <w:rPr>
          <w:rFonts w:hint="eastAsia" w:ascii="仿宋" w:hAnsi="仿宋" w:eastAsia="仿宋" w:cs="仿宋"/>
          <w:sz w:val="28"/>
          <w:szCs w:val="28"/>
          <w:highlight w:val="none"/>
          <w:lang w:val="en-US" w:eastAsia="zh-CN"/>
        </w:rPr>
        <w:t>7</w:t>
      </w:r>
      <w:r>
        <w:rPr>
          <w:rFonts w:hint="eastAsia" w:ascii="仿宋" w:hAnsi="仿宋" w:eastAsia="仿宋" w:cs="仿宋"/>
          <w:sz w:val="28"/>
          <w:szCs w:val="28"/>
          <w:highlight w:val="none"/>
        </w:rPr>
        <w:t>、最高限价：</w:t>
      </w:r>
      <w:r>
        <w:rPr>
          <w:rFonts w:hint="eastAsia" w:ascii="仿宋" w:hAnsi="仿宋" w:eastAsia="仿宋" w:cs="仿宋"/>
          <w:sz w:val="28"/>
          <w:szCs w:val="28"/>
          <w:highlight w:val="none"/>
          <w:lang w:val="en-US" w:eastAsia="zh-CN"/>
        </w:rPr>
        <w:t>312785.00</w:t>
      </w:r>
      <w:r>
        <w:rPr>
          <w:rFonts w:hint="eastAsia" w:ascii="仿宋" w:hAnsi="仿宋" w:eastAsia="仿宋" w:cs="仿宋"/>
          <w:sz w:val="28"/>
          <w:szCs w:val="28"/>
          <w:highlight w:val="none"/>
          <w:u w:val="none"/>
          <w:lang w:val="en-US" w:eastAsia="zh-CN"/>
        </w:rPr>
        <w:t>元/年</w:t>
      </w:r>
    </w:p>
    <w:p w14:paraId="4E9B7392">
      <w:pPr>
        <w:widowControl/>
        <w:spacing w:line="560" w:lineRule="exact"/>
        <w:ind w:firstLine="560" w:firstLineChars="200"/>
        <w:jc w:val="left"/>
        <w:rPr>
          <w:rFonts w:hint="default" w:ascii="宋体" w:hAnsi="宋体" w:eastAsia="仿宋" w:cs="宋体"/>
          <w:color w:val="333333"/>
          <w:kern w:val="0"/>
          <w:sz w:val="24"/>
          <w:szCs w:val="24"/>
          <w:highlight w:val="none"/>
          <w:shd w:val="clear" w:color="auto" w:fill="FFFFFF"/>
          <w:lang w:val="en-US" w:eastAsia="zh-CN"/>
        </w:rPr>
      </w:pPr>
      <w:r>
        <w:rPr>
          <w:rFonts w:hint="eastAsia" w:ascii="仿宋" w:hAnsi="仿宋" w:eastAsia="仿宋" w:cs="仿宋"/>
          <w:sz w:val="28"/>
          <w:szCs w:val="28"/>
          <w:highlight w:val="none"/>
          <w:lang w:val="en-US" w:eastAsia="zh-CN"/>
        </w:rPr>
        <w:t>8</w:t>
      </w:r>
      <w:r>
        <w:rPr>
          <w:rFonts w:hint="eastAsia" w:ascii="仿宋" w:hAnsi="仿宋" w:eastAsia="仿宋" w:cs="仿宋"/>
          <w:sz w:val="28"/>
          <w:szCs w:val="28"/>
          <w:highlight w:val="none"/>
        </w:rPr>
        <w:t>、采购需求：</w:t>
      </w:r>
      <w:r>
        <w:rPr>
          <w:rFonts w:hint="eastAsia" w:ascii="仿宋" w:hAnsi="仿宋" w:eastAsia="仿宋" w:cs="仿宋"/>
          <w:sz w:val="28"/>
          <w:szCs w:val="28"/>
          <w:highlight w:val="none"/>
          <w:lang w:eastAsia="zh-CN"/>
        </w:rPr>
        <w:t>诸佛庵中学食堂劳务派遣项目，霍山县诸佛庵中学提供餐饮设备，现需要选择一家劳务派遣企业经营管理，学校配齐基本运行所需要的用品用具。具体内容详见采购需求。</w:t>
      </w:r>
    </w:p>
    <w:p w14:paraId="6F36896C">
      <w:pPr>
        <w:widowControl/>
        <w:spacing w:line="52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val="en-US" w:eastAsia="zh-CN"/>
        </w:rPr>
        <w:t>9</w:t>
      </w:r>
      <w:r>
        <w:rPr>
          <w:rFonts w:hint="eastAsia" w:ascii="仿宋" w:hAnsi="仿宋" w:eastAsia="仿宋" w:cs="仿宋"/>
          <w:sz w:val="28"/>
          <w:szCs w:val="28"/>
          <w:highlight w:val="none"/>
        </w:rPr>
        <w:t>、合同履行期限：</w:t>
      </w:r>
      <w:r>
        <w:rPr>
          <w:rFonts w:hint="eastAsia" w:ascii="仿宋" w:hAnsi="仿宋" w:eastAsia="仿宋" w:cs="仿宋"/>
          <w:sz w:val="28"/>
          <w:szCs w:val="28"/>
          <w:highlight w:val="none"/>
          <w:lang w:eastAsia="zh-CN"/>
        </w:rPr>
        <w:t>经营管理期限为三年（合同一年一签，年度考核合格方可续签下一年合同）</w:t>
      </w:r>
    </w:p>
    <w:p w14:paraId="7F674ACE">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lang w:val="en-US" w:eastAsia="zh-CN"/>
        </w:rPr>
        <w:t>10</w:t>
      </w:r>
      <w:r>
        <w:rPr>
          <w:rFonts w:hint="eastAsia" w:ascii="仿宋" w:hAnsi="仿宋" w:eastAsia="仿宋" w:cs="仿宋"/>
          <w:sz w:val="28"/>
          <w:szCs w:val="28"/>
          <w:highlight w:val="none"/>
        </w:rPr>
        <w:t>、是否接受联合体：本项目不接受联合体。</w:t>
      </w:r>
    </w:p>
    <w:p w14:paraId="07B7F975">
      <w:pPr>
        <w:pStyle w:val="3"/>
        <w:adjustRightInd/>
        <w:spacing w:before="0" w:after="0" w:line="520" w:lineRule="exact"/>
        <w:jc w:val="both"/>
        <w:textAlignment w:val="auto"/>
        <w:outlineLvl w:val="0"/>
        <w:rPr>
          <w:rFonts w:ascii="黑体" w:hAnsi="黑体" w:cs="黑体"/>
          <w:b w:val="0"/>
          <w:bCs/>
          <w:sz w:val="28"/>
          <w:szCs w:val="28"/>
          <w:highlight w:val="none"/>
        </w:rPr>
      </w:pPr>
      <w:bookmarkStart w:id="9" w:name="_Toc28359090"/>
      <w:bookmarkStart w:id="10" w:name="_Toc35393799"/>
      <w:bookmarkStart w:id="11" w:name="_Toc35393630"/>
      <w:bookmarkStart w:id="12" w:name="_Toc8072"/>
      <w:bookmarkStart w:id="13" w:name="_Toc1356"/>
      <w:bookmarkStart w:id="14" w:name="_Toc28359013"/>
      <w:bookmarkStart w:id="15" w:name="_Toc28359091"/>
      <w:bookmarkStart w:id="16" w:name="_Toc28359014"/>
      <w:r>
        <w:rPr>
          <w:rFonts w:hint="eastAsia" w:ascii="黑体" w:hAnsi="黑体" w:cs="黑体"/>
          <w:b w:val="0"/>
          <w:bCs/>
          <w:sz w:val="28"/>
          <w:szCs w:val="28"/>
          <w:highlight w:val="none"/>
        </w:rPr>
        <w:t>二、申请人的资格要求</w:t>
      </w:r>
      <w:bookmarkEnd w:id="9"/>
      <w:bookmarkEnd w:id="10"/>
      <w:bookmarkEnd w:id="11"/>
      <w:bookmarkEnd w:id="12"/>
      <w:bookmarkEnd w:id="13"/>
      <w:bookmarkEnd w:id="14"/>
    </w:p>
    <w:p w14:paraId="29C6B63D">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1、满足《中华人民共和国政府采购法》第二十二条规定；</w:t>
      </w:r>
    </w:p>
    <w:p w14:paraId="280A30A0">
      <w:pPr>
        <w:spacing w:line="520" w:lineRule="exact"/>
        <w:ind w:firstLine="560" w:firstLineChars="200"/>
        <w:rPr>
          <w:rFonts w:hint="eastAsia" w:ascii="仿宋" w:hAnsi="仿宋" w:eastAsia="仿宋" w:cs="仿宋"/>
          <w:sz w:val="28"/>
          <w:szCs w:val="28"/>
          <w:highlight w:val="none"/>
          <w:lang w:val="en-US" w:eastAsia="zh-CN"/>
        </w:rPr>
      </w:pPr>
      <w:r>
        <w:rPr>
          <w:rFonts w:hint="eastAsia" w:ascii="仿宋" w:hAnsi="仿宋" w:eastAsia="仿宋" w:cs="仿宋"/>
          <w:sz w:val="28"/>
          <w:szCs w:val="28"/>
          <w:highlight w:val="none"/>
        </w:rPr>
        <w:t>2、落实政府采购政策需满足的资格要求</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无；</w:t>
      </w:r>
    </w:p>
    <w:p w14:paraId="56948175">
      <w:pPr>
        <w:spacing w:line="520" w:lineRule="exact"/>
        <w:ind w:firstLine="560" w:firstLineChars="200"/>
        <w:rPr>
          <w:rFonts w:hint="eastAsia" w:ascii="仿宋" w:hAnsi="仿宋" w:eastAsia="仿宋" w:cs="仿宋"/>
          <w:sz w:val="28"/>
          <w:szCs w:val="28"/>
          <w:highlight w:val="none"/>
        </w:rPr>
      </w:pPr>
      <w:r>
        <w:rPr>
          <w:rFonts w:hint="eastAsia" w:ascii="仿宋" w:hAnsi="仿宋" w:eastAsia="仿宋" w:cs="仿宋"/>
          <w:sz w:val="28"/>
          <w:szCs w:val="28"/>
          <w:highlight w:val="none"/>
        </w:rPr>
        <w:t>3、本项目的特定资格要求：具有有效期内的食品</w:t>
      </w:r>
      <w:r>
        <w:rPr>
          <w:rFonts w:hint="eastAsia" w:ascii="仿宋" w:hAnsi="仿宋" w:eastAsia="仿宋" w:cs="仿宋"/>
          <w:sz w:val="28"/>
          <w:szCs w:val="28"/>
          <w:highlight w:val="none"/>
          <w:lang w:val="en-US" w:eastAsia="zh-CN"/>
        </w:rPr>
        <w:t>经营</w:t>
      </w:r>
      <w:r>
        <w:rPr>
          <w:rFonts w:hint="eastAsia" w:ascii="仿宋" w:hAnsi="仿宋" w:eastAsia="仿宋" w:cs="仿宋"/>
          <w:sz w:val="28"/>
          <w:szCs w:val="28"/>
          <w:highlight w:val="none"/>
        </w:rPr>
        <w:t>许可证</w:t>
      </w:r>
      <w:r>
        <w:rPr>
          <w:rFonts w:hint="eastAsia" w:ascii="仿宋" w:hAnsi="仿宋" w:eastAsia="仿宋" w:cs="仿宋"/>
          <w:sz w:val="28"/>
          <w:szCs w:val="28"/>
          <w:highlight w:val="none"/>
          <w:lang w:val="en-US" w:eastAsia="zh-CN"/>
        </w:rPr>
        <w:t>和劳务派遣经营许可证</w:t>
      </w:r>
      <w:r>
        <w:rPr>
          <w:rFonts w:hint="eastAsia" w:ascii="仿宋" w:hAnsi="仿宋" w:eastAsia="仿宋" w:cs="仿宋"/>
          <w:sz w:val="28"/>
          <w:szCs w:val="28"/>
          <w:highlight w:val="none"/>
        </w:rPr>
        <w:t>。</w:t>
      </w:r>
    </w:p>
    <w:p w14:paraId="3DD58433">
      <w:pPr>
        <w:pStyle w:val="3"/>
        <w:adjustRightInd/>
        <w:spacing w:before="0" w:after="0" w:line="520" w:lineRule="exact"/>
        <w:jc w:val="both"/>
        <w:textAlignment w:val="auto"/>
        <w:outlineLvl w:val="0"/>
        <w:rPr>
          <w:rFonts w:ascii="黑体" w:hAnsi="黑体" w:cs="黑体"/>
          <w:b w:val="0"/>
          <w:bCs/>
          <w:sz w:val="28"/>
          <w:szCs w:val="28"/>
          <w:highlight w:val="none"/>
        </w:rPr>
      </w:pPr>
      <w:bookmarkStart w:id="17" w:name="_Toc35393800"/>
      <w:bookmarkStart w:id="18" w:name="_Toc32583"/>
      <w:bookmarkStart w:id="19" w:name="_Toc35393631"/>
      <w:bookmarkStart w:id="20" w:name="_Toc3959"/>
      <w:r>
        <w:rPr>
          <w:rFonts w:hint="eastAsia" w:ascii="黑体" w:hAnsi="黑体" w:cs="黑体"/>
          <w:b w:val="0"/>
          <w:bCs/>
          <w:sz w:val="28"/>
          <w:szCs w:val="28"/>
          <w:highlight w:val="none"/>
        </w:rPr>
        <w:t>三、获取采购文件</w:t>
      </w:r>
      <w:bookmarkEnd w:id="15"/>
      <w:bookmarkEnd w:id="16"/>
      <w:bookmarkEnd w:id="17"/>
      <w:bookmarkEnd w:id="18"/>
      <w:bookmarkEnd w:id="19"/>
      <w:bookmarkEnd w:id="20"/>
    </w:p>
    <w:p w14:paraId="1C11B39C">
      <w:pPr>
        <w:spacing w:line="52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1、时间：</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lang w:val="en-US" w:eastAsia="zh-CN"/>
        </w:rPr>
        <w:t>20</w:t>
      </w:r>
      <w:r>
        <w:rPr>
          <w:rFonts w:hint="eastAsia" w:ascii="仿宋" w:hAnsi="仿宋" w:eastAsia="仿宋" w:cs="仿宋"/>
          <w:bCs/>
          <w:sz w:val="28"/>
          <w:szCs w:val="28"/>
          <w:highlight w:val="none"/>
        </w:rPr>
        <w:t>日至</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lang w:val="en-US" w:eastAsia="zh-CN"/>
        </w:rPr>
        <w:t>30</w:t>
      </w:r>
      <w:r>
        <w:rPr>
          <w:rFonts w:hint="eastAsia" w:ascii="仿宋" w:hAnsi="仿宋" w:eastAsia="仿宋" w:cs="仿宋"/>
          <w:bCs/>
          <w:sz w:val="28"/>
          <w:szCs w:val="28"/>
          <w:highlight w:val="none"/>
        </w:rPr>
        <w:t>日</w:t>
      </w:r>
      <w:r>
        <w:rPr>
          <w:rFonts w:hint="eastAsia" w:ascii="仿宋" w:hAnsi="仿宋" w:eastAsia="仿宋" w:cs="仿宋"/>
          <w:bCs/>
          <w:sz w:val="28"/>
          <w:szCs w:val="28"/>
          <w:highlight w:val="none"/>
          <w:u w:val="single"/>
          <w:lang w:val="en-US" w:eastAsia="zh-CN"/>
        </w:rPr>
        <w:t>09</w:t>
      </w:r>
      <w:r>
        <w:rPr>
          <w:rFonts w:hint="eastAsia" w:ascii="仿宋" w:hAnsi="仿宋" w:eastAsia="仿宋" w:cs="仿宋"/>
          <w:bCs/>
          <w:sz w:val="28"/>
          <w:szCs w:val="28"/>
          <w:highlight w:val="none"/>
        </w:rPr>
        <w:t>点</w:t>
      </w:r>
      <w:r>
        <w:rPr>
          <w:rFonts w:hint="eastAsia" w:ascii="仿宋" w:hAnsi="仿宋" w:eastAsia="仿宋" w:cs="仿宋"/>
          <w:bCs/>
          <w:sz w:val="28"/>
          <w:szCs w:val="28"/>
          <w:highlight w:val="none"/>
          <w:u w:val="single"/>
          <w:lang w:val="en-US" w:eastAsia="zh-CN"/>
        </w:rPr>
        <w:t>00</w:t>
      </w:r>
      <w:r>
        <w:rPr>
          <w:rFonts w:hint="eastAsia" w:ascii="仿宋" w:hAnsi="仿宋" w:eastAsia="仿宋" w:cs="仿宋"/>
          <w:bCs/>
          <w:sz w:val="28"/>
          <w:szCs w:val="28"/>
          <w:highlight w:val="none"/>
        </w:rPr>
        <w:t>分</w:t>
      </w:r>
      <w:r>
        <w:rPr>
          <w:rFonts w:hint="eastAsia" w:ascii="仿宋" w:hAnsi="仿宋" w:eastAsia="仿宋" w:cs="仿宋"/>
          <w:sz w:val="28"/>
          <w:szCs w:val="28"/>
          <w:highlight w:val="none"/>
        </w:rPr>
        <w:t>（北京时间）</w:t>
      </w:r>
      <w:r>
        <w:rPr>
          <w:rFonts w:hint="eastAsia" w:ascii="仿宋" w:hAnsi="仿宋" w:eastAsia="仿宋" w:cs="仿宋"/>
          <w:sz w:val="28"/>
          <w:szCs w:val="28"/>
          <w:highlight w:val="none"/>
          <w:lang w:eastAsia="zh-CN"/>
        </w:rPr>
        <w:t>。</w:t>
      </w:r>
    </w:p>
    <w:p w14:paraId="34166E56">
      <w:pPr>
        <w:spacing w:line="520" w:lineRule="exact"/>
        <w:ind w:firstLine="560" w:firstLineChars="200"/>
        <w:rPr>
          <w:rFonts w:hint="default" w:ascii="仿宋" w:hAnsi="仿宋" w:eastAsia="仿宋" w:cs="仿宋"/>
          <w:sz w:val="28"/>
          <w:szCs w:val="28"/>
          <w:highlight w:val="none"/>
          <w:u w:val="single"/>
          <w:lang w:val="en-US"/>
        </w:rPr>
      </w:pPr>
      <w:r>
        <w:rPr>
          <w:rFonts w:hint="eastAsia" w:ascii="仿宋" w:hAnsi="仿宋" w:eastAsia="仿宋" w:cs="仿宋"/>
          <w:sz w:val="28"/>
          <w:szCs w:val="28"/>
          <w:highlight w:val="none"/>
        </w:rPr>
        <w:t>2、地点：</w:t>
      </w:r>
      <w:r>
        <w:rPr>
          <w:rFonts w:hint="eastAsia" w:ascii="仿宋" w:hAnsi="仿宋" w:eastAsia="仿宋" w:cs="仿宋"/>
          <w:sz w:val="28"/>
          <w:szCs w:val="28"/>
          <w:highlight w:val="none"/>
          <w:lang w:val="en-US" w:eastAsia="zh-CN"/>
        </w:rPr>
        <w:t>安徽霍山国有资产投资控股集团有限公司（http：//ahdmig.cn/）。</w:t>
      </w:r>
    </w:p>
    <w:p w14:paraId="3089AFC3">
      <w:pPr>
        <w:spacing w:line="52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rPr>
        <w:t>3、获取方式</w:t>
      </w:r>
      <w:r>
        <w:rPr>
          <w:rFonts w:hint="eastAsia" w:ascii="仿宋" w:hAnsi="仿宋" w:eastAsia="仿宋" w:cs="仿宋"/>
          <w:sz w:val="28"/>
          <w:szCs w:val="28"/>
          <w:highlight w:val="none"/>
          <w:lang w:eastAsia="zh-CN"/>
        </w:rPr>
        <w:t>：①本项目采购文件（答疑澄清等相关文件资料）从安徽霍山国有资产投资控股集团有限公司（http：//ahdmig.cn/）下载。②供应商在下载招标文件（答疑澄清等相关文件资料）过程中若遇到问题，电话：0564-5020033。</w:t>
      </w:r>
    </w:p>
    <w:p w14:paraId="009F113B">
      <w:pPr>
        <w:spacing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4、售价：零元</w:t>
      </w:r>
    </w:p>
    <w:p w14:paraId="38F04155">
      <w:pPr>
        <w:pStyle w:val="3"/>
        <w:adjustRightInd/>
        <w:spacing w:before="0" w:after="0" w:line="520" w:lineRule="exact"/>
        <w:jc w:val="both"/>
        <w:textAlignment w:val="auto"/>
        <w:outlineLvl w:val="0"/>
        <w:rPr>
          <w:rFonts w:ascii="黑体" w:hAnsi="黑体" w:cs="黑体"/>
          <w:b w:val="0"/>
          <w:bCs/>
          <w:sz w:val="28"/>
          <w:szCs w:val="28"/>
          <w:highlight w:val="none"/>
        </w:rPr>
      </w:pPr>
      <w:bookmarkStart w:id="21" w:name="_Toc28359015"/>
      <w:bookmarkStart w:id="22" w:name="_Toc28359092"/>
      <w:bookmarkStart w:id="23" w:name="_Toc35393801"/>
      <w:bookmarkStart w:id="24" w:name="_Toc35393632"/>
      <w:bookmarkStart w:id="25" w:name="_Toc7903"/>
      <w:bookmarkStart w:id="26" w:name="_Toc26077"/>
      <w:r>
        <w:rPr>
          <w:rFonts w:hint="eastAsia" w:ascii="黑体" w:hAnsi="黑体" w:cs="黑体"/>
          <w:b w:val="0"/>
          <w:bCs/>
          <w:sz w:val="28"/>
          <w:szCs w:val="28"/>
          <w:highlight w:val="none"/>
        </w:rPr>
        <w:t>四、响应文件</w:t>
      </w:r>
      <w:bookmarkEnd w:id="21"/>
      <w:bookmarkEnd w:id="22"/>
      <w:bookmarkEnd w:id="23"/>
      <w:bookmarkEnd w:id="24"/>
      <w:r>
        <w:rPr>
          <w:rFonts w:hint="eastAsia" w:ascii="黑体" w:hAnsi="黑体" w:cs="黑体"/>
          <w:b w:val="0"/>
          <w:bCs/>
          <w:sz w:val="28"/>
          <w:szCs w:val="28"/>
          <w:highlight w:val="none"/>
        </w:rPr>
        <w:t>提交</w:t>
      </w:r>
      <w:bookmarkEnd w:id="25"/>
      <w:bookmarkEnd w:id="26"/>
    </w:p>
    <w:p w14:paraId="0782EEFE">
      <w:pPr>
        <w:spacing w:line="520" w:lineRule="exact"/>
        <w:ind w:firstLine="560" w:firstLineChars="200"/>
        <w:rPr>
          <w:rFonts w:ascii="仿宋" w:hAnsi="仿宋" w:eastAsia="仿宋" w:cs="仿宋"/>
          <w:bCs/>
          <w:sz w:val="28"/>
          <w:szCs w:val="28"/>
          <w:highlight w:val="none"/>
        </w:rPr>
      </w:pPr>
      <w:r>
        <w:rPr>
          <w:rFonts w:hint="eastAsia" w:ascii="仿宋" w:hAnsi="仿宋" w:eastAsia="仿宋" w:cs="仿宋"/>
          <w:sz w:val="28"/>
          <w:szCs w:val="28"/>
          <w:highlight w:val="none"/>
        </w:rPr>
        <w:t>1、截止时间：</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lang w:val="en-US" w:eastAsia="zh-CN"/>
        </w:rPr>
        <w:t>30</w:t>
      </w:r>
      <w:r>
        <w:rPr>
          <w:rFonts w:hint="eastAsia" w:ascii="仿宋" w:hAnsi="仿宋" w:eastAsia="仿宋" w:cs="仿宋"/>
          <w:bCs/>
          <w:sz w:val="28"/>
          <w:szCs w:val="28"/>
          <w:highlight w:val="none"/>
        </w:rPr>
        <w:t>日</w:t>
      </w:r>
      <w:r>
        <w:rPr>
          <w:rFonts w:hint="eastAsia" w:ascii="仿宋" w:hAnsi="仿宋" w:eastAsia="仿宋" w:cs="仿宋"/>
          <w:bCs/>
          <w:sz w:val="28"/>
          <w:szCs w:val="28"/>
          <w:highlight w:val="none"/>
          <w:u w:val="single"/>
          <w:lang w:val="en-US" w:eastAsia="zh-CN"/>
        </w:rPr>
        <w:t>09</w:t>
      </w:r>
      <w:r>
        <w:rPr>
          <w:rFonts w:hint="eastAsia" w:ascii="仿宋" w:hAnsi="仿宋" w:eastAsia="仿宋" w:cs="仿宋"/>
          <w:bCs/>
          <w:sz w:val="28"/>
          <w:szCs w:val="28"/>
          <w:highlight w:val="none"/>
        </w:rPr>
        <w:t>点</w:t>
      </w:r>
      <w:r>
        <w:rPr>
          <w:rFonts w:hint="eastAsia" w:ascii="仿宋" w:hAnsi="仿宋" w:eastAsia="仿宋" w:cs="仿宋"/>
          <w:bCs/>
          <w:sz w:val="28"/>
          <w:szCs w:val="28"/>
          <w:highlight w:val="none"/>
          <w:u w:val="single"/>
          <w:lang w:val="en-US" w:eastAsia="zh-CN"/>
        </w:rPr>
        <w:t>00</w:t>
      </w:r>
      <w:r>
        <w:rPr>
          <w:rFonts w:hint="eastAsia" w:ascii="仿宋" w:hAnsi="仿宋" w:eastAsia="仿宋" w:cs="仿宋"/>
          <w:bCs/>
          <w:sz w:val="28"/>
          <w:szCs w:val="28"/>
          <w:highlight w:val="none"/>
        </w:rPr>
        <w:t>分（北京时间）</w:t>
      </w:r>
    </w:p>
    <w:p w14:paraId="45483A74">
      <w:pPr>
        <w:widowControl/>
        <w:spacing w:line="52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rPr>
        <w:t>2、提交方式：现场递交纸质标书。</w:t>
      </w:r>
    </w:p>
    <w:p w14:paraId="106C40F3">
      <w:pPr>
        <w:widowControl/>
        <w:spacing w:line="520" w:lineRule="exact"/>
        <w:ind w:firstLine="560" w:firstLineChars="200"/>
        <w:jc w:val="left"/>
        <w:rPr>
          <w:rFonts w:hint="eastAsia" w:ascii="仿宋" w:hAnsi="仿宋" w:eastAsia="仿宋" w:cs="仿宋"/>
          <w:kern w:val="0"/>
          <w:sz w:val="28"/>
          <w:szCs w:val="28"/>
          <w:highlight w:val="none"/>
        </w:rPr>
      </w:pP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rPr>
        <w:t>、地</w:t>
      </w:r>
      <w:r>
        <w:rPr>
          <w:rFonts w:hint="eastAsia" w:ascii="仿宋" w:hAnsi="仿宋" w:eastAsia="仿宋" w:cs="仿宋"/>
          <w:kern w:val="0"/>
          <w:sz w:val="28"/>
          <w:szCs w:val="28"/>
          <w:highlight w:val="none"/>
          <w:lang w:val="en-US" w:eastAsia="zh-CN"/>
        </w:rPr>
        <w:t xml:space="preserve">    </w:t>
      </w:r>
      <w:r>
        <w:rPr>
          <w:rFonts w:hint="eastAsia" w:ascii="仿宋" w:hAnsi="仿宋" w:eastAsia="仿宋" w:cs="仿宋"/>
          <w:kern w:val="0"/>
          <w:sz w:val="28"/>
          <w:szCs w:val="28"/>
          <w:highlight w:val="none"/>
        </w:rPr>
        <w:t>点：</w:t>
      </w:r>
      <w:r>
        <w:rPr>
          <w:rFonts w:hint="eastAsia" w:ascii="仿宋" w:hAnsi="仿宋" w:eastAsia="仿宋" w:cs="仿宋"/>
          <w:kern w:val="0"/>
          <w:sz w:val="28"/>
          <w:szCs w:val="28"/>
          <w:highlight w:val="none"/>
          <w:lang w:val="en-US" w:eastAsia="zh-CN"/>
        </w:rPr>
        <w:t>霍山县公共资源交易中心第二开标厅</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霍山县住建大厦3楼</w:t>
      </w:r>
      <w:r>
        <w:rPr>
          <w:rFonts w:hint="eastAsia" w:ascii="仿宋" w:hAnsi="仿宋" w:eastAsia="仿宋" w:cs="仿宋"/>
          <w:kern w:val="0"/>
          <w:sz w:val="28"/>
          <w:szCs w:val="28"/>
          <w:highlight w:val="none"/>
        </w:rPr>
        <w:t>）</w:t>
      </w:r>
    </w:p>
    <w:p w14:paraId="364CD786">
      <w:pPr>
        <w:pStyle w:val="3"/>
        <w:adjustRightInd/>
        <w:spacing w:before="0" w:after="0" w:line="520" w:lineRule="exact"/>
        <w:jc w:val="both"/>
        <w:textAlignment w:val="auto"/>
        <w:outlineLvl w:val="0"/>
        <w:rPr>
          <w:rFonts w:ascii="黑体" w:hAnsi="黑体" w:cs="黑体"/>
          <w:b w:val="0"/>
          <w:bCs/>
          <w:sz w:val="28"/>
          <w:szCs w:val="28"/>
          <w:highlight w:val="none"/>
        </w:rPr>
      </w:pPr>
      <w:bookmarkStart w:id="27" w:name="_Toc28359016"/>
      <w:bookmarkStart w:id="28" w:name="_Toc28359093"/>
      <w:bookmarkStart w:id="29" w:name="_Toc35393802"/>
      <w:bookmarkStart w:id="30" w:name="_Toc35393633"/>
      <w:bookmarkStart w:id="31" w:name="_Toc24538"/>
      <w:bookmarkStart w:id="32" w:name="_Toc11900"/>
      <w:r>
        <w:rPr>
          <w:rFonts w:hint="eastAsia" w:ascii="黑体" w:hAnsi="黑体" w:cs="黑体"/>
          <w:b w:val="0"/>
          <w:bCs/>
          <w:sz w:val="28"/>
          <w:szCs w:val="28"/>
          <w:highlight w:val="none"/>
        </w:rPr>
        <w:t>五、</w:t>
      </w:r>
      <w:bookmarkEnd w:id="27"/>
      <w:bookmarkEnd w:id="28"/>
      <w:bookmarkEnd w:id="29"/>
      <w:bookmarkEnd w:id="30"/>
      <w:r>
        <w:rPr>
          <w:rFonts w:hint="eastAsia" w:ascii="黑体" w:hAnsi="黑体" w:cs="黑体"/>
          <w:b w:val="0"/>
          <w:bCs/>
          <w:sz w:val="28"/>
          <w:szCs w:val="28"/>
          <w:highlight w:val="none"/>
        </w:rPr>
        <w:t>响应文件开启</w:t>
      </w:r>
      <w:bookmarkEnd w:id="31"/>
      <w:bookmarkEnd w:id="32"/>
    </w:p>
    <w:p w14:paraId="3B745649">
      <w:pPr>
        <w:spacing w:line="520" w:lineRule="exact"/>
        <w:ind w:firstLine="560" w:firstLineChars="200"/>
        <w:rPr>
          <w:rFonts w:ascii="仿宋" w:hAnsi="仿宋" w:eastAsia="仿宋" w:cs="仿宋"/>
          <w:sz w:val="28"/>
          <w:szCs w:val="28"/>
          <w:highlight w:val="none"/>
          <w:u w:val="single"/>
        </w:rPr>
      </w:pPr>
      <w:r>
        <w:rPr>
          <w:rFonts w:hint="eastAsia" w:ascii="仿宋" w:hAnsi="仿宋" w:eastAsia="仿宋" w:cs="仿宋"/>
          <w:sz w:val="28"/>
          <w:szCs w:val="28"/>
          <w:highlight w:val="none"/>
        </w:rPr>
        <w:t>1、时间：</w:t>
      </w:r>
      <w:r>
        <w:rPr>
          <w:rFonts w:hint="eastAsia" w:ascii="仿宋" w:hAnsi="仿宋" w:eastAsia="仿宋" w:cs="仿宋"/>
          <w:bCs/>
          <w:sz w:val="28"/>
          <w:szCs w:val="28"/>
          <w:highlight w:val="none"/>
          <w:u w:val="singl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u w:val="singl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u w:val="single"/>
          <w:lang w:val="en-US" w:eastAsia="zh-CN"/>
        </w:rPr>
        <w:t>30</w:t>
      </w:r>
      <w:r>
        <w:rPr>
          <w:rFonts w:hint="eastAsia" w:ascii="仿宋" w:hAnsi="仿宋" w:eastAsia="仿宋" w:cs="仿宋"/>
          <w:bCs/>
          <w:sz w:val="28"/>
          <w:szCs w:val="28"/>
          <w:highlight w:val="none"/>
        </w:rPr>
        <w:t>日</w:t>
      </w:r>
      <w:r>
        <w:rPr>
          <w:rFonts w:hint="eastAsia" w:ascii="仿宋" w:hAnsi="仿宋" w:eastAsia="仿宋" w:cs="仿宋"/>
          <w:bCs/>
          <w:sz w:val="28"/>
          <w:szCs w:val="28"/>
          <w:highlight w:val="none"/>
          <w:u w:val="single"/>
          <w:lang w:val="en-US" w:eastAsia="zh-CN"/>
        </w:rPr>
        <w:t>09</w:t>
      </w:r>
      <w:r>
        <w:rPr>
          <w:rFonts w:hint="eastAsia" w:ascii="仿宋" w:hAnsi="仿宋" w:eastAsia="仿宋" w:cs="仿宋"/>
          <w:bCs/>
          <w:sz w:val="28"/>
          <w:szCs w:val="28"/>
          <w:highlight w:val="none"/>
        </w:rPr>
        <w:t>点</w:t>
      </w:r>
      <w:r>
        <w:rPr>
          <w:rFonts w:hint="eastAsia" w:ascii="仿宋" w:hAnsi="仿宋" w:eastAsia="仿宋" w:cs="仿宋"/>
          <w:bCs/>
          <w:sz w:val="28"/>
          <w:szCs w:val="28"/>
          <w:highlight w:val="none"/>
          <w:u w:val="single"/>
          <w:lang w:val="en-US" w:eastAsia="zh-CN"/>
        </w:rPr>
        <w:t>00</w:t>
      </w:r>
      <w:r>
        <w:rPr>
          <w:rFonts w:hint="eastAsia" w:ascii="仿宋" w:hAnsi="仿宋" w:eastAsia="仿宋" w:cs="仿宋"/>
          <w:bCs/>
          <w:sz w:val="28"/>
          <w:szCs w:val="28"/>
          <w:highlight w:val="none"/>
        </w:rPr>
        <w:t>分</w:t>
      </w:r>
      <w:r>
        <w:rPr>
          <w:rFonts w:hint="eastAsia" w:ascii="仿宋" w:hAnsi="仿宋" w:eastAsia="仿宋" w:cs="仿宋"/>
          <w:sz w:val="28"/>
          <w:szCs w:val="28"/>
          <w:highlight w:val="none"/>
        </w:rPr>
        <w:t>（北京时间）</w:t>
      </w:r>
    </w:p>
    <w:p w14:paraId="67F58F68">
      <w:pPr>
        <w:pStyle w:val="33"/>
        <w:spacing w:after="0" w:line="520" w:lineRule="exact"/>
        <w:ind w:firstLine="560" w:firstLineChars="200"/>
        <w:rPr>
          <w:rFonts w:ascii="仿宋" w:hAnsi="仿宋" w:eastAsia="仿宋" w:cs="仿宋"/>
          <w:sz w:val="28"/>
          <w:szCs w:val="28"/>
          <w:highlight w:val="none"/>
        </w:rPr>
      </w:pPr>
      <w:r>
        <w:rPr>
          <w:rFonts w:hint="eastAsia" w:ascii="仿宋" w:hAnsi="仿宋" w:eastAsia="仿宋" w:cs="仿宋"/>
          <w:sz w:val="28"/>
          <w:szCs w:val="28"/>
          <w:highlight w:val="none"/>
        </w:rPr>
        <w:t>2、地点：</w:t>
      </w:r>
      <w:r>
        <w:rPr>
          <w:rFonts w:hint="eastAsia" w:ascii="仿宋" w:hAnsi="仿宋" w:eastAsia="仿宋" w:cs="仿宋"/>
          <w:kern w:val="0"/>
          <w:sz w:val="28"/>
          <w:szCs w:val="28"/>
          <w:highlight w:val="none"/>
          <w:lang w:val="en-US" w:eastAsia="zh-CN"/>
        </w:rPr>
        <w:t>霍山县公共资源交易中心第二开标厅</w:t>
      </w:r>
      <w:r>
        <w:rPr>
          <w:rFonts w:hint="eastAsia" w:ascii="仿宋" w:hAnsi="仿宋" w:eastAsia="仿宋" w:cs="仿宋"/>
          <w:kern w:val="0"/>
          <w:sz w:val="28"/>
          <w:szCs w:val="28"/>
          <w:highlight w:val="none"/>
        </w:rPr>
        <w:t>（</w:t>
      </w:r>
      <w:r>
        <w:rPr>
          <w:rFonts w:hint="eastAsia" w:ascii="仿宋" w:hAnsi="仿宋" w:eastAsia="仿宋" w:cs="仿宋"/>
          <w:kern w:val="0"/>
          <w:sz w:val="28"/>
          <w:szCs w:val="28"/>
          <w:highlight w:val="none"/>
          <w:lang w:val="en-US" w:eastAsia="zh-CN"/>
        </w:rPr>
        <w:t>霍山县住建大厦3楼</w:t>
      </w:r>
      <w:r>
        <w:rPr>
          <w:rFonts w:hint="eastAsia" w:ascii="仿宋" w:hAnsi="仿宋" w:eastAsia="仿宋" w:cs="仿宋"/>
          <w:kern w:val="0"/>
          <w:sz w:val="28"/>
          <w:szCs w:val="28"/>
          <w:highlight w:val="none"/>
        </w:rPr>
        <w:t>）</w:t>
      </w:r>
    </w:p>
    <w:p w14:paraId="3D60D589">
      <w:pPr>
        <w:pStyle w:val="3"/>
        <w:adjustRightInd/>
        <w:spacing w:before="0" w:after="0" w:line="520" w:lineRule="exact"/>
        <w:jc w:val="both"/>
        <w:textAlignment w:val="auto"/>
        <w:outlineLvl w:val="0"/>
        <w:rPr>
          <w:rFonts w:ascii="黑体" w:hAnsi="黑体" w:cs="黑体"/>
          <w:b w:val="0"/>
          <w:bCs/>
          <w:sz w:val="28"/>
          <w:szCs w:val="28"/>
          <w:highlight w:val="none"/>
        </w:rPr>
      </w:pPr>
      <w:bookmarkStart w:id="33" w:name="_Toc6439"/>
      <w:bookmarkStart w:id="34" w:name="_Toc9343"/>
      <w:bookmarkStart w:id="35" w:name="_Toc35393634"/>
      <w:bookmarkStart w:id="36" w:name="_Toc35393803"/>
      <w:bookmarkStart w:id="37" w:name="_Toc28359094"/>
      <w:bookmarkStart w:id="38" w:name="_Toc28359017"/>
      <w:r>
        <w:rPr>
          <w:rFonts w:hint="eastAsia" w:ascii="黑体" w:hAnsi="黑体" w:cs="黑体"/>
          <w:b w:val="0"/>
          <w:bCs/>
          <w:sz w:val="28"/>
          <w:szCs w:val="28"/>
          <w:highlight w:val="none"/>
        </w:rPr>
        <w:t>六、公告期限</w:t>
      </w:r>
      <w:bookmarkEnd w:id="33"/>
      <w:bookmarkEnd w:id="34"/>
      <w:bookmarkEnd w:id="35"/>
      <w:bookmarkEnd w:id="36"/>
      <w:bookmarkEnd w:id="37"/>
      <w:bookmarkEnd w:id="38"/>
    </w:p>
    <w:p w14:paraId="41DD0B19">
      <w:pPr>
        <w:spacing w:line="520" w:lineRule="exact"/>
        <w:ind w:firstLine="560" w:firstLineChars="200"/>
        <w:rPr>
          <w:rFonts w:ascii="仿宋" w:hAnsi="仿宋" w:eastAsia="仿宋" w:cs="仿宋"/>
          <w:kern w:val="0"/>
          <w:sz w:val="28"/>
          <w:szCs w:val="28"/>
          <w:highlight w:val="none"/>
        </w:rPr>
      </w:pPr>
      <w:r>
        <w:rPr>
          <w:rFonts w:hint="eastAsia" w:ascii="仿宋" w:hAnsi="仿宋" w:eastAsia="仿宋" w:cs="仿宋"/>
          <w:kern w:val="0"/>
          <w:sz w:val="28"/>
          <w:szCs w:val="28"/>
          <w:highlight w:val="none"/>
        </w:rPr>
        <w:t>自本公告发布之日起</w:t>
      </w:r>
      <w:r>
        <w:rPr>
          <w:rFonts w:hint="eastAsia" w:ascii="仿宋" w:hAnsi="仿宋" w:eastAsia="仿宋" w:cs="仿宋"/>
          <w:kern w:val="0"/>
          <w:sz w:val="28"/>
          <w:szCs w:val="28"/>
          <w:highlight w:val="none"/>
          <w:lang w:val="en-US" w:eastAsia="zh-CN"/>
        </w:rPr>
        <w:t>3</w:t>
      </w:r>
      <w:r>
        <w:rPr>
          <w:rFonts w:hint="eastAsia" w:ascii="仿宋" w:hAnsi="仿宋" w:eastAsia="仿宋" w:cs="仿宋"/>
          <w:kern w:val="0"/>
          <w:sz w:val="28"/>
          <w:szCs w:val="28"/>
          <w:highlight w:val="none"/>
        </w:rPr>
        <w:t>个</w:t>
      </w:r>
      <w:r>
        <w:rPr>
          <w:rFonts w:hint="eastAsia" w:ascii="仿宋" w:hAnsi="仿宋" w:eastAsia="仿宋" w:cs="仿宋"/>
          <w:kern w:val="0"/>
          <w:sz w:val="28"/>
          <w:szCs w:val="28"/>
          <w:highlight w:val="none"/>
          <w:lang w:val="en-US" w:eastAsia="zh-CN"/>
        </w:rPr>
        <w:t>工作日</w:t>
      </w:r>
      <w:r>
        <w:rPr>
          <w:rFonts w:hint="eastAsia" w:ascii="仿宋" w:hAnsi="仿宋" w:eastAsia="仿宋" w:cs="仿宋"/>
          <w:kern w:val="0"/>
          <w:sz w:val="28"/>
          <w:szCs w:val="28"/>
          <w:highlight w:val="none"/>
        </w:rPr>
        <w:t>。</w:t>
      </w:r>
    </w:p>
    <w:p w14:paraId="477A9E33">
      <w:pPr>
        <w:spacing w:line="520" w:lineRule="exact"/>
        <w:outlineLvl w:val="0"/>
        <w:rPr>
          <w:rFonts w:ascii="黑体" w:hAnsi="黑体" w:eastAsia="黑体" w:cs="黑体"/>
          <w:sz w:val="28"/>
          <w:szCs w:val="28"/>
          <w:highlight w:val="none"/>
        </w:rPr>
      </w:pPr>
      <w:bookmarkStart w:id="39" w:name="_Toc64"/>
      <w:r>
        <w:rPr>
          <w:rFonts w:hint="eastAsia" w:ascii="黑体" w:hAnsi="黑体" w:eastAsia="黑体" w:cs="黑体"/>
          <w:sz w:val="28"/>
          <w:szCs w:val="28"/>
          <w:highlight w:val="none"/>
        </w:rPr>
        <w:t>七、</w:t>
      </w:r>
      <w:bookmarkStart w:id="40" w:name="_Toc35393804"/>
      <w:bookmarkStart w:id="41" w:name="_Toc35393635"/>
      <w:r>
        <w:rPr>
          <w:rFonts w:hint="eastAsia" w:ascii="黑体" w:hAnsi="黑体" w:eastAsia="黑体" w:cs="黑体"/>
          <w:sz w:val="28"/>
          <w:szCs w:val="28"/>
          <w:highlight w:val="none"/>
        </w:rPr>
        <w:t>其他事宜</w:t>
      </w:r>
      <w:bookmarkEnd w:id="39"/>
      <w:bookmarkEnd w:id="40"/>
      <w:bookmarkEnd w:id="41"/>
      <w:bookmarkStart w:id="42" w:name="_Toc35393805"/>
      <w:bookmarkStart w:id="43" w:name="_Toc35393636"/>
      <w:bookmarkStart w:id="44" w:name="_Toc28359095"/>
      <w:bookmarkStart w:id="45" w:name="_Toc28359018"/>
    </w:p>
    <w:p w14:paraId="245A0DE6">
      <w:pPr>
        <w:spacing w:line="520" w:lineRule="exact"/>
        <w:ind w:firstLine="560" w:firstLineChars="200"/>
        <w:rPr>
          <w:rFonts w:hint="default" w:ascii="仿宋" w:hAnsi="仿宋" w:eastAsia="仿宋" w:cs="仿宋"/>
          <w:sz w:val="28"/>
          <w:szCs w:val="28"/>
          <w:highlight w:val="none"/>
          <w:lang w:val="en-US"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1</w:t>
      </w: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本项目所属行业：餐饮业</w:t>
      </w:r>
    </w:p>
    <w:p w14:paraId="3DEBE16B">
      <w:pPr>
        <w:spacing w:line="520" w:lineRule="exact"/>
        <w:ind w:firstLine="560" w:firstLineChars="200"/>
        <w:rPr>
          <w:rFonts w:hint="eastAsia" w:ascii="仿宋" w:hAnsi="仿宋" w:eastAsia="仿宋" w:cs="仿宋"/>
          <w:sz w:val="28"/>
          <w:szCs w:val="28"/>
          <w:highlight w:val="none"/>
          <w:lang w:eastAsia="zh-CN"/>
        </w:rPr>
      </w:pPr>
      <w:r>
        <w:rPr>
          <w:rFonts w:hint="eastAsia" w:ascii="仿宋" w:hAnsi="仿宋" w:eastAsia="仿宋" w:cs="仿宋"/>
          <w:sz w:val="28"/>
          <w:szCs w:val="28"/>
          <w:highlight w:val="none"/>
          <w:lang w:eastAsia="zh-CN"/>
        </w:rPr>
        <w:t>（</w:t>
      </w:r>
      <w:r>
        <w:rPr>
          <w:rFonts w:hint="eastAsia" w:ascii="仿宋" w:hAnsi="仿宋" w:eastAsia="仿宋" w:cs="仿宋"/>
          <w:sz w:val="28"/>
          <w:szCs w:val="28"/>
          <w:highlight w:val="none"/>
          <w:lang w:val="en-US" w:eastAsia="zh-CN"/>
        </w:rPr>
        <w:t>2</w:t>
      </w:r>
      <w:r>
        <w:rPr>
          <w:rFonts w:hint="eastAsia" w:ascii="仿宋" w:hAnsi="仿宋" w:eastAsia="仿宋" w:cs="仿宋"/>
          <w:sz w:val="28"/>
          <w:szCs w:val="28"/>
          <w:highlight w:val="none"/>
          <w:lang w:eastAsia="zh-CN"/>
        </w:rPr>
        <w:t>）响应保证金：本项目无需提供</w:t>
      </w:r>
    </w:p>
    <w:p w14:paraId="12CE014F">
      <w:pPr>
        <w:pStyle w:val="3"/>
        <w:adjustRightInd/>
        <w:spacing w:before="0" w:after="0" w:line="520" w:lineRule="exact"/>
        <w:jc w:val="both"/>
        <w:textAlignment w:val="auto"/>
        <w:outlineLvl w:val="0"/>
        <w:rPr>
          <w:rFonts w:ascii="黑体" w:hAnsi="黑体" w:cs="黑体"/>
          <w:b w:val="0"/>
          <w:bCs/>
          <w:sz w:val="28"/>
          <w:szCs w:val="28"/>
          <w:highlight w:val="none"/>
        </w:rPr>
      </w:pPr>
      <w:bookmarkStart w:id="46" w:name="_Toc21256"/>
      <w:bookmarkStart w:id="47" w:name="_Toc7807"/>
      <w:bookmarkStart w:id="48" w:name="_Toc28317"/>
      <w:r>
        <w:rPr>
          <w:rFonts w:hint="eastAsia" w:ascii="黑体" w:hAnsi="黑体" w:cs="黑体"/>
          <w:b w:val="0"/>
          <w:bCs/>
          <w:sz w:val="28"/>
          <w:szCs w:val="28"/>
          <w:highlight w:val="none"/>
        </w:rPr>
        <w:t>八、凡对本次采购提出询问，请按以下方式联系。</w:t>
      </w:r>
      <w:bookmarkEnd w:id="42"/>
      <w:bookmarkEnd w:id="43"/>
      <w:bookmarkEnd w:id="44"/>
      <w:bookmarkEnd w:id="45"/>
      <w:bookmarkEnd w:id="46"/>
      <w:bookmarkEnd w:id="47"/>
      <w:bookmarkEnd w:id="48"/>
    </w:p>
    <w:p w14:paraId="28C197CE">
      <w:pPr>
        <w:pageBreakBefore w:val="0"/>
        <w:kinsoku/>
        <w:wordWrap/>
        <w:overflowPunct/>
        <w:topLinePunct w:val="0"/>
        <w:autoSpaceDE/>
        <w:autoSpaceDN/>
        <w:bidi w:val="0"/>
        <w:adjustRightInd/>
        <w:snapToGrid/>
        <w:spacing w:before="0" w:after="0" w:line="520" w:lineRule="exact"/>
        <w:ind w:left="0" w:leftChars="0" w:firstLine="560" w:firstLineChars="200"/>
        <w:jc w:val="both"/>
        <w:textAlignment w:val="auto"/>
        <w:outlineLvl w:val="9"/>
        <w:rPr>
          <w:rFonts w:ascii="仿宋" w:hAnsi="仿宋" w:eastAsia="仿宋" w:cs="仿宋"/>
          <w:b w:val="0"/>
          <w:bCs/>
          <w:sz w:val="28"/>
          <w:szCs w:val="28"/>
          <w:highlight w:val="none"/>
        </w:rPr>
      </w:pPr>
      <w:bookmarkStart w:id="49" w:name="_Toc28359019"/>
      <w:bookmarkStart w:id="50" w:name="_Toc17822"/>
      <w:bookmarkStart w:id="51" w:name="_Toc35393637"/>
      <w:bookmarkStart w:id="52" w:name="_Toc12167"/>
      <w:bookmarkStart w:id="53" w:name="_Toc35393806"/>
      <w:bookmarkStart w:id="54" w:name="_Toc28359096"/>
      <w:r>
        <w:rPr>
          <w:rFonts w:hint="eastAsia" w:ascii="仿宋" w:hAnsi="仿宋" w:eastAsia="仿宋" w:cs="仿宋"/>
          <w:b w:val="0"/>
          <w:bCs/>
          <w:sz w:val="28"/>
          <w:szCs w:val="28"/>
          <w:highlight w:val="none"/>
        </w:rPr>
        <w:t>1、采购人信息</w:t>
      </w:r>
      <w:bookmarkEnd w:id="49"/>
      <w:bookmarkEnd w:id="50"/>
      <w:bookmarkEnd w:id="51"/>
      <w:bookmarkEnd w:id="52"/>
      <w:bookmarkEnd w:id="53"/>
      <w:bookmarkEnd w:id="54"/>
    </w:p>
    <w:p w14:paraId="23BB053E">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名    称：</w:t>
      </w:r>
      <w:r>
        <w:rPr>
          <w:rFonts w:hint="eastAsia" w:ascii="仿宋" w:hAnsi="仿宋" w:eastAsia="仿宋" w:cs="仿宋"/>
          <w:bCs/>
          <w:sz w:val="28"/>
          <w:szCs w:val="28"/>
          <w:highlight w:val="none"/>
          <w:lang w:val="en-US" w:eastAsia="zh-CN"/>
        </w:rPr>
        <w:t>霍山县诸佛庵中学</w:t>
      </w:r>
    </w:p>
    <w:p w14:paraId="5436CCFA">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地    址：</w:t>
      </w:r>
      <w:r>
        <w:rPr>
          <w:rFonts w:hint="eastAsia" w:ascii="仿宋" w:hAnsi="仿宋" w:eastAsia="仿宋" w:cs="仿宋"/>
          <w:bCs/>
          <w:sz w:val="28"/>
          <w:szCs w:val="28"/>
          <w:highlight w:val="none"/>
          <w:lang w:val="en-US" w:eastAsia="zh-CN"/>
        </w:rPr>
        <w:t>霍山县诸佛庵镇东街</w:t>
      </w:r>
    </w:p>
    <w:p w14:paraId="2F7628BB">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联系方式：</w:t>
      </w:r>
      <w:bookmarkStart w:id="55" w:name="_Toc28359097"/>
      <w:bookmarkStart w:id="56" w:name="_Toc28359020"/>
      <w:bookmarkStart w:id="57" w:name="_Toc35393638"/>
      <w:bookmarkStart w:id="58" w:name="_Toc35393807"/>
      <w:r>
        <w:rPr>
          <w:rFonts w:hint="eastAsia" w:ascii="仿宋" w:hAnsi="仿宋" w:eastAsia="仿宋" w:cs="仿宋"/>
          <w:bCs/>
          <w:sz w:val="28"/>
          <w:szCs w:val="28"/>
          <w:highlight w:val="none"/>
          <w:lang w:val="en-US" w:eastAsia="zh-CN"/>
        </w:rPr>
        <w:t>0564-3902293</w:t>
      </w:r>
    </w:p>
    <w:p w14:paraId="6C59CAF2">
      <w:pPr>
        <w:pageBreakBefore w:val="0"/>
        <w:numPr>
          <w:ilvl w:val="0"/>
          <w:numId w:val="0"/>
        </w:numPr>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仿宋"/>
          <w:bCs/>
          <w:sz w:val="28"/>
          <w:szCs w:val="28"/>
          <w:highlight w:val="none"/>
        </w:rPr>
      </w:pPr>
      <w:r>
        <w:rPr>
          <w:rFonts w:ascii="仿宋" w:hAnsi="仿宋" w:eastAsia="仿宋" w:cs="仿宋"/>
          <w:bCs/>
          <w:kern w:val="2"/>
          <w:sz w:val="28"/>
          <w:szCs w:val="28"/>
          <w:highlight w:val="none"/>
          <w:lang w:val="en-US" w:eastAsia="zh-CN" w:bidi="ar-SA"/>
        </w:rPr>
        <w:t>2、</w:t>
      </w:r>
      <w:r>
        <w:rPr>
          <w:rFonts w:hint="eastAsia" w:ascii="仿宋" w:hAnsi="仿宋" w:eastAsia="仿宋" w:cs="仿宋"/>
          <w:bCs/>
          <w:sz w:val="28"/>
          <w:szCs w:val="28"/>
          <w:highlight w:val="none"/>
        </w:rPr>
        <w:t>采购代理机构信息</w:t>
      </w:r>
      <w:bookmarkEnd w:id="55"/>
      <w:bookmarkEnd w:id="56"/>
      <w:bookmarkEnd w:id="57"/>
      <w:bookmarkEnd w:id="58"/>
      <w:bookmarkStart w:id="59" w:name="_Toc28359021"/>
      <w:bookmarkStart w:id="60" w:name="_Toc35393808"/>
      <w:bookmarkStart w:id="61" w:name="_Toc28359098"/>
      <w:bookmarkStart w:id="62" w:name="_Toc35393639"/>
    </w:p>
    <w:p w14:paraId="47D63E08">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 xml:space="preserve">名 </w:t>
      </w:r>
      <w:r>
        <w:rPr>
          <w:rFonts w:hint="eastAsia" w:ascii="仿宋" w:hAnsi="仿宋" w:eastAsia="仿宋" w:cs="仿宋"/>
          <w:bCs/>
          <w:sz w:val="28"/>
          <w:szCs w:val="28"/>
          <w:highlight w:val="none"/>
          <w:lang w:val="en-US" w:eastAsia="zh-CN"/>
        </w:rPr>
        <w:t xml:space="preserve">   </w:t>
      </w:r>
      <w:r>
        <w:rPr>
          <w:rFonts w:hint="eastAsia" w:ascii="仿宋" w:hAnsi="仿宋" w:eastAsia="仿宋" w:cs="仿宋"/>
          <w:bCs/>
          <w:sz w:val="28"/>
          <w:szCs w:val="28"/>
          <w:highlight w:val="none"/>
        </w:rPr>
        <w:t>称：</w:t>
      </w:r>
      <w:r>
        <w:rPr>
          <w:rFonts w:hint="eastAsia" w:ascii="仿宋" w:hAnsi="仿宋" w:eastAsia="仿宋" w:cs="仿宋"/>
          <w:bCs/>
          <w:sz w:val="28"/>
          <w:szCs w:val="28"/>
          <w:highlight w:val="none"/>
          <w:lang w:val="en-US" w:eastAsia="zh-CN"/>
        </w:rPr>
        <w:t>安徽大别山工程咨询有限公司</w:t>
      </w:r>
    </w:p>
    <w:p w14:paraId="0223C081">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地　</w:t>
      </w:r>
      <w:r>
        <w:rPr>
          <w:rFonts w:hint="eastAsia" w:ascii="仿宋" w:hAnsi="仿宋" w:eastAsia="仿宋" w:cs="仿宋"/>
          <w:bCs/>
          <w:sz w:val="28"/>
          <w:szCs w:val="28"/>
          <w:highlight w:val="none"/>
          <w:lang w:val="en-US" w:eastAsia="zh-CN"/>
        </w:rPr>
        <w:t xml:space="preserve">  </w:t>
      </w:r>
      <w:r>
        <w:rPr>
          <w:rFonts w:hint="eastAsia" w:ascii="仿宋" w:hAnsi="仿宋" w:eastAsia="仿宋" w:cs="仿宋"/>
          <w:bCs/>
          <w:sz w:val="28"/>
          <w:szCs w:val="28"/>
          <w:highlight w:val="none"/>
        </w:rPr>
        <w:t>址：</w:t>
      </w:r>
      <w:r>
        <w:rPr>
          <w:rFonts w:hint="eastAsia" w:ascii="仿宋" w:hAnsi="仿宋" w:eastAsia="仿宋" w:cs="仿宋"/>
          <w:bCs/>
          <w:sz w:val="28"/>
          <w:szCs w:val="28"/>
          <w:highlight w:val="none"/>
          <w:lang w:val="en-US" w:eastAsia="zh-CN"/>
        </w:rPr>
        <w:t>霍山县国投大厦2楼</w:t>
      </w:r>
    </w:p>
    <w:p w14:paraId="7488C229">
      <w:pPr>
        <w:pageBreakBefore w:val="0"/>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联系方式：</w:t>
      </w:r>
      <w:r>
        <w:rPr>
          <w:rFonts w:hint="eastAsia" w:ascii="仿宋" w:hAnsi="仿宋" w:eastAsia="仿宋" w:cs="仿宋"/>
          <w:bCs/>
          <w:sz w:val="28"/>
          <w:szCs w:val="28"/>
          <w:highlight w:val="none"/>
          <w:lang w:val="en-US" w:eastAsia="zh-CN"/>
        </w:rPr>
        <w:t>0564-5020033</w:t>
      </w:r>
    </w:p>
    <w:p w14:paraId="44698C24">
      <w:pPr>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仿宋"/>
          <w:bCs/>
          <w:sz w:val="28"/>
          <w:szCs w:val="28"/>
          <w:highlight w:val="none"/>
        </w:rPr>
      </w:pPr>
      <w:r>
        <w:rPr>
          <w:rFonts w:hint="eastAsia" w:ascii="仿宋" w:hAnsi="仿宋" w:eastAsia="仿宋" w:cs="仿宋"/>
          <w:bCs/>
          <w:sz w:val="28"/>
          <w:szCs w:val="28"/>
          <w:highlight w:val="none"/>
        </w:rPr>
        <w:t>3、项目联系方式</w:t>
      </w:r>
      <w:bookmarkEnd w:id="59"/>
      <w:bookmarkEnd w:id="60"/>
      <w:bookmarkEnd w:id="61"/>
      <w:bookmarkEnd w:id="62"/>
    </w:p>
    <w:p w14:paraId="527A759D">
      <w:pPr>
        <w:pageBreakBefore w:val="0"/>
        <w:widowControl/>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项目联系人：</w:t>
      </w:r>
      <w:r>
        <w:rPr>
          <w:rFonts w:hint="eastAsia" w:ascii="仿宋" w:hAnsi="仿宋" w:eastAsia="仿宋" w:cs="仿宋"/>
          <w:bCs/>
          <w:sz w:val="28"/>
          <w:szCs w:val="28"/>
          <w:highlight w:val="none"/>
          <w:lang w:val="en-US" w:eastAsia="zh-CN"/>
        </w:rPr>
        <w:t>徐工</w:t>
      </w:r>
    </w:p>
    <w:p w14:paraId="24FDD6CB">
      <w:pPr>
        <w:pageBreakBefore w:val="0"/>
        <w:widowControl/>
        <w:kinsoku/>
        <w:wordWrap/>
        <w:overflowPunct/>
        <w:topLinePunct w:val="0"/>
        <w:autoSpaceDE/>
        <w:autoSpaceDN/>
        <w:bidi w:val="0"/>
        <w:adjustRightInd/>
        <w:snapToGrid/>
        <w:spacing w:line="520" w:lineRule="exact"/>
        <w:ind w:left="0" w:leftChars="0" w:firstLine="560" w:firstLineChars="200"/>
        <w:textAlignment w:val="auto"/>
        <w:rPr>
          <w:rFonts w:hint="default" w:ascii="仿宋" w:hAnsi="仿宋" w:eastAsia="仿宋" w:cs="仿宋"/>
          <w:bCs/>
          <w:sz w:val="28"/>
          <w:szCs w:val="28"/>
          <w:highlight w:val="none"/>
          <w:lang w:val="en-US" w:eastAsia="zh-CN"/>
        </w:rPr>
      </w:pPr>
      <w:r>
        <w:rPr>
          <w:rFonts w:hint="eastAsia" w:ascii="仿宋" w:hAnsi="仿宋" w:eastAsia="仿宋" w:cs="仿宋"/>
          <w:bCs/>
          <w:sz w:val="28"/>
          <w:szCs w:val="28"/>
          <w:highlight w:val="none"/>
        </w:rPr>
        <w:t xml:space="preserve">电　   </w:t>
      </w:r>
      <w:r>
        <w:rPr>
          <w:rFonts w:hint="eastAsia" w:ascii="仿宋" w:hAnsi="仿宋" w:eastAsia="仿宋" w:cs="仿宋"/>
          <w:bCs/>
          <w:sz w:val="28"/>
          <w:szCs w:val="28"/>
          <w:highlight w:val="none"/>
          <w:lang w:val="en-US" w:eastAsia="zh-CN"/>
        </w:rPr>
        <w:t xml:space="preserve"> </w:t>
      </w:r>
      <w:r>
        <w:rPr>
          <w:rFonts w:hint="eastAsia" w:ascii="仿宋" w:hAnsi="仿宋" w:eastAsia="仿宋" w:cs="仿宋"/>
          <w:bCs/>
          <w:sz w:val="28"/>
          <w:szCs w:val="28"/>
          <w:highlight w:val="none"/>
        </w:rPr>
        <w:t>话：</w:t>
      </w:r>
      <w:r>
        <w:rPr>
          <w:rFonts w:hint="eastAsia" w:ascii="仿宋" w:hAnsi="仿宋" w:eastAsia="仿宋" w:cs="仿宋"/>
          <w:bCs/>
          <w:sz w:val="28"/>
          <w:szCs w:val="28"/>
          <w:highlight w:val="none"/>
          <w:lang w:val="en-US" w:eastAsia="zh-CN"/>
        </w:rPr>
        <w:t>0564-5020033</w:t>
      </w:r>
    </w:p>
    <w:p w14:paraId="12B759B5">
      <w:pPr>
        <w:pStyle w:val="33"/>
        <w:pageBreakBefore w:val="0"/>
        <w:kinsoku/>
        <w:wordWrap/>
        <w:overflowPunct/>
        <w:topLinePunct w:val="0"/>
        <w:autoSpaceDE/>
        <w:autoSpaceDN/>
        <w:bidi w:val="0"/>
        <w:adjustRightInd/>
        <w:snapToGrid/>
        <w:spacing w:line="520" w:lineRule="exact"/>
        <w:ind w:left="0" w:leftChars="0" w:firstLine="560" w:firstLineChars="200"/>
        <w:textAlignment w:val="auto"/>
        <w:rPr>
          <w:rFonts w:ascii="仿宋" w:hAnsi="仿宋" w:eastAsia="仿宋" w:cs="仿宋"/>
          <w:bCs/>
          <w:sz w:val="28"/>
          <w:szCs w:val="28"/>
          <w:highlight w:val="none"/>
        </w:rPr>
      </w:pPr>
    </w:p>
    <w:p w14:paraId="05899C07">
      <w:pPr>
        <w:spacing w:line="520" w:lineRule="exact"/>
        <w:jc w:val="right"/>
        <w:rPr>
          <w:rFonts w:ascii="仿宋" w:hAnsi="仿宋" w:eastAsia="仿宋" w:cs="仿宋"/>
          <w:bCs/>
          <w:sz w:val="28"/>
          <w:szCs w:val="28"/>
          <w:highlight w:val="none"/>
        </w:rPr>
      </w:pPr>
      <w:r>
        <w:rPr>
          <w:rFonts w:hint="eastAsia" w:ascii="仿宋" w:hAnsi="仿宋" w:eastAsia="仿宋" w:cs="仿宋"/>
          <w:bCs/>
          <w:sz w:val="28"/>
          <w:szCs w:val="28"/>
          <w:highlight w:val="none"/>
          <w:lang w:val="en-US" w:eastAsia="zh-CN"/>
        </w:rPr>
        <w:t>2024</w:t>
      </w:r>
      <w:r>
        <w:rPr>
          <w:rFonts w:hint="eastAsia" w:ascii="仿宋" w:hAnsi="仿宋" w:eastAsia="仿宋" w:cs="仿宋"/>
          <w:bCs/>
          <w:sz w:val="28"/>
          <w:szCs w:val="28"/>
          <w:highlight w:val="none"/>
        </w:rPr>
        <w:t>年</w:t>
      </w:r>
      <w:r>
        <w:rPr>
          <w:rFonts w:hint="eastAsia" w:ascii="仿宋" w:hAnsi="仿宋" w:eastAsia="仿宋" w:cs="仿宋"/>
          <w:bCs/>
          <w:sz w:val="28"/>
          <w:szCs w:val="28"/>
          <w:highlight w:val="none"/>
          <w:lang w:val="en-US" w:eastAsia="zh-CN"/>
        </w:rPr>
        <w:t>8</w:t>
      </w:r>
      <w:r>
        <w:rPr>
          <w:rFonts w:hint="eastAsia" w:ascii="仿宋" w:hAnsi="仿宋" w:eastAsia="仿宋" w:cs="仿宋"/>
          <w:bCs/>
          <w:sz w:val="28"/>
          <w:szCs w:val="28"/>
          <w:highlight w:val="none"/>
        </w:rPr>
        <w:t>月</w:t>
      </w:r>
      <w:r>
        <w:rPr>
          <w:rFonts w:hint="eastAsia" w:ascii="仿宋" w:hAnsi="仿宋" w:eastAsia="仿宋" w:cs="仿宋"/>
          <w:bCs/>
          <w:sz w:val="28"/>
          <w:szCs w:val="28"/>
          <w:highlight w:val="none"/>
          <w:lang w:val="en-US" w:eastAsia="zh-CN"/>
        </w:rPr>
        <w:t>20</w:t>
      </w:r>
      <w:r>
        <w:rPr>
          <w:rFonts w:hint="eastAsia" w:ascii="仿宋" w:hAnsi="仿宋" w:eastAsia="仿宋" w:cs="仿宋"/>
          <w:bCs/>
          <w:sz w:val="28"/>
          <w:szCs w:val="28"/>
          <w:highlight w:val="none"/>
        </w:rPr>
        <w:t>日</w:t>
      </w:r>
    </w:p>
    <w:bookmarkEnd w:id="168"/>
    <w:p w14:paraId="2CFEE59D">
      <w:pPr>
        <w:rPr>
          <w:rFonts w:ascii="宋体" w:hAnsi="宋体" w:cs="宋体"/>
          <w:sz w:val="28"/>
          <w:szCs w:val="28"/>
          <w:highlight w:val="none"/>
        </w:rPr>
      </w:pPr>
      <w:r>
        <w:rPr>
          <w:rFonts w:hint="eastAsia" w:ascii="宋体" w:hAnsi="宋体" w:cs="宋体"/>
          <w:sz w:val="28"/>
          <w:szCs w:val="28"/>
          <w:highlight w:val="none"/>
        </w:rPr>
        <w:br w:type="page"/>
      </w:r>
    </w:p>
    <w:p w14:paraId="54CA7C85">
      <w:pPr>
        <w:pStyle w:val="2"/>
        <w:spacing w:before="120" w:beforeLines="50" w:after="120" w:afterLines="50" w:line="560" w:lineRule="exact"/>
        <w:jc w:val="center"/>
        <w:outlineLvl w:val="0"/>
        <w:rPr>
          <w:rFonts w:ascii="宋体" w:hAnsi="宋体" w:eastAsia="宋体" w:cs="宋体"/>
          <w:b/>
          <w:bCs/>
          <w:sz w:val="30"/>
          <w:szCs w:val="30"/>
          <w:highlight w:val="none"/>
        </w:rPr>
      </w:pPr>
      <w:bookmarkStart w:id="63" w:name="_Toc15791"/>
      <w:bookmarkStart w:id="64" w:name="_Toc21819"/>
      <w:r>
        <w:rPr>
          <w:rFonts w:hint="eastAsia" w:ascii="宋体" w:hAnsi="宋体" w:eastAsia="宋体" w:cs="宋体"/>
          <w:b/>
          <w:bCs/>
          <w:sz w:val="30"/>
          <w:szCs w:val="30"/>
          <w:highlight w:val="none"/>
        </w:rPr>
        <w:t>一、供应商须知</w:t>
      </w:r>
      <w:bookmarkEnd w:id="63"/>
      <w:bookmarkEnd w:id="64"/>
    </w:p>
    <w:p w14:paraId="11E6416E">
      <w:pPr>
        <w:pStyle w:val="3"/>
        <w:spacing w:before="0" w:after="0" w:line="560" w:lineRule="exact"/>
        <w:jc w:val="center"/>
        <w:rPr>
          <w:rFonts w:ascii="宋体" w:hAnsi="宋体" w:eastAsia="宋体" w:cs="宋体"/>
          <w:sz w:val="24"/>
          <w:szCs w:val="24"/>
          <w:highlight w:val="none"/>
        </w:rPr>
      </w:pPr>
      <w:bookmarkStart w:id="65" w:name="_Toc22568"/>
      <w:r>
        <w:rPr>
          <w:rFonts w:hint="eastAsia" w:ascii="宋体" w:hAnsi="宋体" w:eastAsia="宋体" w:cs="宋体"/>
          <w:sz w:val="24"/>
          <w:szCs w:val="24"/>
          <w:highlight w:val="none"/>
        </w:rPr>
        <w:t>（一）须知前附表</w:t>
      </w:r>
      <w:bookmarkEnd w:id="65"/>
    </w:p>
    <w:tbl>
      <w:tblPr>
        <w:tblStyle w:val="34"/>
        <w:tblW w:w="96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804"/>
        <w:gridCol w:w="1502"/>
        <w:gridCol w:w="7308"/>
      </w:tblGrid>
      <w:tr w14:paraId="021F25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14:paraId="42B6150A">
            <w:pPr>
              <w:spacing w:line="440" w:lineRule="exact"/>
              <w:jc w:val="center"/>
              <w:rPr>
                <w:rFonts w:ascii="宋体" w:hAnsi="宋体"/>
                <w:b/>
                <w:color w:val="auto"/>
                <w:sz w:val="24"/>
                <w:szCs w:val="24"/>
                <w:highlight w:val="none"/>
              </w:rPr>
            </w:pPr>
            <w:bookmarkStart w:id="66" w:name="_Toc438107743"/>
            <w:bookmarkStart w:id="67" w:name="_Toc363199267"/>
            <w:bookmarkStart w:id="68" w:name="_Toc216158627"/>
            <w:r>
              <w:rPr>
                <w:rFonts w:hint="eastAsia" w:ascii="宋体" w:hAnsi="宋体"/>
                <w:b/>
                <w:color w:val="auto"/>
                <w:sz w:val="24"/>
                <w:szCs w:val="24"/>
                <w:highlight w:val="none"/>
              </w:rPr>
              <w:t>序号</w:t>
            </w:r>
          </w:p>
        </w:tc>
        <w:tc>
          <w:tcPr>
            <w:tcW w:w="1502" w:type="dxa"/>
            <w:vAlign w:val="center"/>
          </w:tcPr>
          <w:p w14:paraId="58775CB8">
            <w:pPr>
              <w:spacing w:line="440" w:lineRule="exact"/>
              <w:jc w:val="center"/>
              <w:rPr>
                <w:rFonts w:ascii="宋体" w:hAnsi="宋体"/>
                <w:b/>
                <w:color w:val="auto"/>
                <w:sz w:val="24"/>
                <w:szCs w:val="24"/>
                <w:highlight w:val="none"/>
              </w:rPr>
            </w:pPr>
            <w:r>
              <w:rPr>
                <w:rFonts w:hint="eastAsia" w:ascii="宋体" w:hAnsi="宋体"/>
                <w:b/>
                <w:color w:val="auto"/>
                <w:sz w:val="24"/>
                <w:szCs w:val="24"/>
                <w:highlight w:val="none"/>
              </w:rPr>
              <w:t>内容</w:t>
            </w:r>
          </w:p>
        </w:tc>
        <w:tc>
          <w:tcPr>
            <w:tcW w:w="7308" w:type="dxa"/>
            <w:vAlign w:val="center"/>
          </w:tcPr>
          <w:p w14:paraId="789CBC88">
            <w:pPr>
              <w:pStyle w:val="88"/>
              <w:widowControl w:val="0"/>
              <w:spacing w:before="0" w:beforeAutospacing="0" w:after="0" w:afterAutospacing="0" w:line="440" w:lineRule="exact"/>
              <w:rPr>
                <w:bCs w:val="0"/>
                <w:color w:val="auto"/>
                <w:kern w:val="2"/>
                <w:sz w:val="24"/>
                <w:szCs w:val="24"/>
                <w:highlight w:val="none"/>
              </w:rPr>
            </w:pPr>
            <w:r>
              <w:rPr>
                <w:rFonts w:hint="eastAsia"/>
                <w:bCs w:val="0"/>
                <w:color w:val="auto"/>
                <w:kern w:val="2"/>
                <w:sz w:val="24"/>
                <w:szCs w:val="24"/>
                <w:highlight w:val="none"/>
              </w:rPr>
              <w:t>说明与要求</w:t>
            </w:r>
          </w:p>
        </w:tc>
      </w:tr>
      <w:tr w14:paraId="192031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498" w:hRule="atLeast"/>
          <w:jc w:val="center"/>
        </w:trPr>
        <w:tc>
          <w:tcPr>
            <w:tcW w:w="804" w:type="dxa"/>
            <w:vAlign w:val="center"/>
          </w:tcPr>
          <w:p w14:paraId="0495882A">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w:t>
            </w:r>
          </w:p>
        </w:tc>
        <w:tc>
          <w:tcPr>
            <w:tcW w:w="1502" w:type="dxa"/>
            <w:vAlign w:val="center"/>
          </w:tcPr>
          <w:p w14:paraId="60B508EC">
            <w:pPr>
              <w:spacing w:line="440" w:lineRule="exact"/>
              <w:jc w:val="center"/>
              <w:rPr>
                <w:rFonts w:ascii="宋体" w:hAnsi="宋体"/>
                <w:color w:val="auto"/>
                <w:sz w:val="24"/>
                <w:szCs w:val="24"/>
                <w:highlight w:val="none"/>
              </w:rPr>
            </w:pPr>
            <w:r>
              <w:rPr>
                <w:rFonts w:hint="eastAsia" w:ascii="宋体" w:hAnsi="宋体"/>
                <w:bCs/>
                <w:color w:val="auto"/>
                <w:sz w:val="24"/>
                <w:szCs w:val="24"/>
                <w:highlight w:val="none"/>
              </w:rPr>
              <w:t>采购人</w:t>
            </w:r>
          </w:p>
        </w:tc>
        <w:tc>
          <w:tcPr>
            <w:tcW w:w="7308" w:type="dxa"/>
            <w:vAlign w:val="center"/>
          </w:tcPr>
          <w:p w14:paraId="15F61590">
            <w:pPr>
              <w:spacing w:line="440" w:lineRule="exact"/>
              <w:rPr>
                <w:rFonts w:hint="default" w:eastAsia="宋体"/>
                <w:color w:val="auto"/>
                <w:sz w:val="24"/>
                <w:szCs w:val="24"/>
                <w:highlight w:val="none"/>
                <w:lang w:val="en-US" w:eastAsia="zh-CN"/>
              </w:rPr>
            </w:pPr>
            <w:r>
              <w:rPr>
                <w:rFonts w:hint="eastAsia"/>
                <w:color w:val="auto"/>
                <w:sz w:val="24"/>
                <w:szCs w:val="24"/>
                <w:highlight w:val="none"/>
                <w:lang w:val="en-US" w:eastAsia="zh-CN"/>
              </w:rPr>
              <w:t>霍山县诸佛庵中学</w:t>
            </w:r>
          </w:p>
        </w:tc>
      </w:tr>
      <w:tr w14:paraId="177856B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71" w:hRule="atLeast"/>
          <w:jc w:val="center"/>
        </w:trPr>
        <w:tc>
          <w:tcPr>
            <w:tcW w:w="804" w:type="dxa"/>
            <w:vAlign w:val="center"/>
          </w:tcPr>
          <w:p w14:paraId="06C4EEA0">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2</w:t>
            </w:r>
          </w:p>
        </w:tc>
        <w:tc>
          <w:tcPr>
            <w:tcW w:w="1502" w:type="dxa"/>
            <w:vAlign w:val="center"/>
          </w:tcPr>
          <w:p w14:paraId="6E8CBDFC">
            <w:pPr>
              <w:spacing w:line="440" w:lineRule="exact"/>
              <w:jc w:val="center"/>
              <w:rPr>
                <w:rFonts w:ascii="宋体" w:hAnsi="宋体"/>
                <w:bCs/>
                <w:color w:val="auto"/>
                <w:sz w:val="24"/>
                <w:szCs w:val="24"/>
                <w:highlight w:val="none"/>
              </w:rPr>
            </w:pPr>
            <w:r>
              <w:rPr>
                <w:rFonts w:hint="eastAsia" w:ascii="宋体" w:hAnsi="宋体"/>
                <w:color w:val="auto"/>
                <w:sz w:val="24"/>
                <w:szCs w:val="24"/>
                <w:highlight w:val="none"/>
              </w:rPr>
              <w:t>采购代理机构</w:t>
            </w:r>
          </w:p>
        </w:tc>
        <w:tc>
          <w:tcPr>
            <w:tcW w:w="7308" w:type="dxa"/>
            <w:vAlign w:val="center"/>
          </w:tcPr>
          <w:p w14:paraId="1CB5E395">
            <w:pPr>
              <w:spacing w:line="460" w:lineRule="exact"/>
              <w:jc w:val="left"/>
              <w:rPr>
                <w:rFonts w:hint="eastAsia" w:ascii="宋体" w:hAnsi="宋体" w:eastAsia="宋体" w:cs="宋体"/>
                <w:color w:val="auto"/>
                <w:sz w:val="24"/>
                <w:szCs w:val="24"/>
                <w:highlight w:val="none"/>
                <w:lang w:eastAsia="zh-CN"/>
              </w:rPr>
            </w:pPr>
            <w:r>
              <w:rPr>
                <w:rFonts w:hint="eastAsia" w:ascii="宋体" w:hAnsi="宋体" w:cs="宋体"/>
                <w:color w:val="auto"/>
                <w:sz w:val="24"/>
                <w:szCs w:val="24"/>
                <w:highlight w:val="none"/>
              </w:rPr>
              <w:t>名称：</w:t>
            </w:r>
            <w:r>
              <w:rPr>
                <w:rFonts w:hint="eastAsia" w:ascii="宋体" w:hAnsi="宋体" w:cs="宋体"/>
                <w:color w:val="auto"/>
                <w:sz w:val="24"/>
                <w:szCs w:val="24"/>
                <w:highlight w:val="none"/>
                <w:lang w:eastAsia="zh-CN"/>
              </w:rPr>
              <w:t>安徽大别山工程咨询有限公司</w:t>
            </w:r>
          </w:p>
          <w:p w14:paraId="46E0FC45">
            <w:pPr>
              <w:spacing w:line="440" w:lineRule="exact"/>
              <w:jc w:val="left"/>
              <w:rPr>
                <w:rFonts w:hint="eastAsia" w:eastAsia="宋体"/>
                <w:b/>
                <w:bCs/>
                <w:color w:val="auto"/>
                <w:sz w:val="24"/>
                <w:szCs w:val="24"/>
                <w:highlight w:val="none"/>
                <w:lang w:eastAsia="zh-CN"/>
              </w:rPr>
            </w:pPr>
            <w:r>
              <w:rPr>
                <w:rFonts w:hint="eastAsia" w:ascii="宋体" w:hAnsi="宋体" w:cs="宋体"/>
                <w:color w:val="auto"/>
                <w:sz w:val="24"/>
                <w:szCs w:val="24"/>
                <w:highlight w:val="none"/>
              </w:rPr>
              <w:t>地址：</w:t>
            </w:r>
            <w:r>
              <w:rPr>
                <w:rFonts w:hint="eastAsia" w:ascii="宋体" w:hAnsi="宋体" w:cs="宋体"/>
                <w:color w:val="auto"/>
                <w:sz w:val="24"/>
                <w:szCs w:val="24"/>
                <w:highlight w:val="none"/>
                <w:lang w:eastAsia="zh-CN"/>
              </w:rPr>
              <w:t>霍山县国投大厦2楼</w:t>
            </w:r>
          </w:p>
        </w:tc>
      </w:tr>
      <w:tr w14:paraId="0FAC3C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14:paraId="5748973F">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3</w:t>
            </w:r>
          </w:p>
        </w:tc>
        <w:tc>
          <w:tcPr>
            <w:tcW w:w="1502" w:type="dxa"/>
            <w:vAlign w:val="center"/>
          </w:tcPr>
          <w:p w14:paraId="24847605">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磋商有效期</w:t>
            </w:r>
          </w:p>
        </w:tc>
        <w:tc>
          <w:tcPr>
            <w:tcW w:w="7308" w:type="dxa"/>
            <w:vAlign w:val="center"/>
          </w:tcPr>
          <w:p w14:paraId="55C36049">
            <w:pPr>
              <w:pStyle w:val="88"/>
              <w:widowControl w:val="0"/>
              <w:spacing w:before="0" w:beforeAutospacing="0" w:after="0" w:afterAutospacing="0" w:line="440" w:lineRule="exact"/>
              <w:jc w:val="both"/>
              <w:rPr>
                <w:b w:val="0"/>
                <w:bCs w:val="0"/>
                <w:color w:val="auto"/>
                <w:sz w:val="24"/>
                <w:szCs w:val="24"/>
                <w:highlight w:val="none"/>
              </w:rPr>
            </w:pPr>
            <w:r>
              <w:rPr>
                <w:rFonts w:hint="eastAsia"/>
                <w:b w:val="0"/>
                <w:bCs w:val="0"/>
                <w:color w:val="auto"/>
                <w:sz w:val="24"/>
                <w:szCs w:val="24"/>
                <w:highlight w:val="none"/>
              </w:rPr>
              <w:t>响应文件提交截止日后</w:t>
            </w:r>
            <w:r>
              <w:rPr>
                <w:rFonts w:hint="eastAsia"/>
                <w:b w:val="0"/>
                <w:bCs w:val="0"/>
                <w:color w:val="auto"/>
                <w:sz w:val="24"/>
                <w:szCs w:val="24"/>
                <w:highlight w:val="none"/>
                <w:lang w:val="en-US" w:eastAsia="zh-CN"/>
              </w:rPr>
              <w:t>20</w:t>
            </w:r>
            <w:r>
              <w:rPr>
                <w:rFonts w:hint="eastAsia"/>
                <w:b w:val="0"/>
                <w:bCs w:val="0"/>
                <w:color w:val="auto"/>
                <w:sz w:val="24"/>
                <w:szCs w:val="24"/>
                <w:highlight w:val="none"/>
              </w:rPr>
              <w:t>天</w:t>
            </w:r>
          </w:p>
        </w:tc>
      </w:tr>
      <w:tr w14:paraId="378740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14:paraId="38CEB959">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lang w:val="en-US"/>
              </w:rPr>
            </w:pPr>
            <w:r>
              <w:rPr>
                <w:rFonts w:hint="eastAsia" w:ascii="宋体" w:hAnsi="宋体"/>
                <w:b/>
                <w:color w:val="auto"/>
                <w:kern w:val="2"/>
                <w:szCs w:val="24"/>
                <w:highlight w:val="none"/>
                <w:lang w:val="en-US"/>
              </w:rPr>
              <w:t>4</w:t>
            </w:r>
          </w:p>
        </w:tc>
        <w:tc>
          <w:tcPr>
            <w:tcW w:w="1502" w:type="dxa"/>
            <w:vAlign w:val="center"/>
          </w:tcPr>
          <w:p w14:paraId="08DE7247">
            <w:pPr>
              <w:spacing w:line="440" w:lineRule="exact"/>
              <w:jc w:val="center"/>
              <w:rPr>
                <w:rFonts w:ascii="宋体" w:hAnsi="宋体"/>
                <w:b/>
                <w:color w:val="auto"/>
                <w:sz w:val="24"/>
                <w:szCs w:val="24"/>
                <w:highlight w:val="none"/>
              </w:rPr>
            </w:pPr>
            <w:r>
              <w:rPr>
                <w:rFonts w:hint="eastAsia" w:ascii="宋体" w:hAnsi="宋体"/>
                <w:color w:val="auto"/>
                <w:sz w:val="24"/>
                <w:szCs w:val="24"/>
                <w:highlight w:val="none"/>
              </w:rPr>
              <w:t>项目类型</w:t>
            </w:r>
          </w:p>
        </w:tc>
        <w:tc>
          <w:tcPr>
            <w:tcW w:w="7308" w:type="dxa"/>
            <w:vAlign w:val="center"/>
          </w:tcPr>
          <w:p w14:paraId="2DA913C4">
            <w:pPr>
              <w:pStyle w:val="88"/>
              <w:widowControl w:val="0"/>
              <w:spacing w:before="0" w:beforeAutospacing="0" w:after="0" w:afterAutospacing="0" w:line="440" w:lineRule="exact"/>
              <w:jc w:val="both"/>
              <w:rPr>
                <w:b w:val="0"/>
                <w:bCs w:val="0"/>
                <w:color w:val="auto"/>
                <w:sz w:val="24"/>
                <w:szCs w:val="24"/>
                <w:highlight w:val="none"/>
              </w:rPr>
            </w:pPr>
            <w:r>
              <w:rPr>
                <w:rFonts w:hint="eastAsia"/>
                <w:b w:val="0"/>
                <w:bCs w:val="0"/>
                <w:color w:val="auto"/>
                <w:sz w:val="24"/>
                <w:szCs w:val="24"/>
                <w:highlight w:val="none"/>
              </w:rPr>
              <w:t>服务类</w:t>
            </w:r>
          </w:p>
        </w:tc>
      </w:tr>
      <w:tr w14:paraId="2DC820C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14:paraId="5DED4C42">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lang w:val="en-US"/>
              </w:rPr>
            </w:pPr>
            <w:r>
              <w:rPr>
                <w:rFonts w:hint="eastAsia" w:ascii="宋体" w:hAnsi="宋体"/>
                <w:b/>
                <w:color w:val="auto"/>
                <w:kern w:val="2"/>
                <w:szCs w:val="24"/>
                <w:highlight w:val="none"/>
                <w:lang w:val="en-US"/>
              </w:rPr>
              <w:t>5</w:t>
            </w:r>
          </w:p>
        </w:tc>
        <w:tc>
          <w:tcPr>
            <w:tcW w:w="1502" w:type="dxa"/>
            <w:vAlign w:val="center"/>
          </w:tcPr>
          <w:p w14:paraId="5E770375">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项目名称</w:t>
            </w:r>
          </w:p>
        </w:tc>
        <w:tc>
          <w:tcPr>
            <w:tcW w:w="7308" w:type="dxa"/>
            <w:vAlign w:val="center"/>
          </w:tcPr>
          <w:p w14:paraId="4CA413D1">
            <w:pPr>
              <w:pStyle w:val="88"/>
              <w:widowControl w:val="0"/>
              <w:spacing w:before="0" w:beforeAutospacing="0" w:after="0" w:afterAutospacing="0" w:line="440" w:lineRule="exact"/>
              <w:jc w:val="both"/>
              <w:rPr>
                <w:rFonts w:hint="default"/>
                <w:color w:val="auto"/>
                <w:sz w:val="24"/>
                <w:szCs w:val="24"/>
                <w:highlight w:val="none"/>
              </w:rPr>
            </w:pPr>
            <w:r>
              <w:rPr>
                <w:rFonts w:hint="eastAsia"/>
                <w:b w:val="0"/>
                <w:bCs w:val="0"/>
                <w:color w:val="auto"/>
                <w:sz w:val="24"/>
                <w:szCs w:val="24"/>
                <w:highlight w:val="none"/>
                <w:lang w:eastAsia="zh-CN"/>
              </w:rPr>
              <w:t>诸佛庵中学食堂劳务派遣项目</w:t>
            </w:r>
          </w:p>
        </w:tc>
      </w:tr>
      <w:tr w14:paraId="2ED03A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240" w:hRule="atLeast"/>
          <w:jc w:val="center"/>
        </w:trPr>
        <w:tc>
          <w:tcPr>
            <w:tcW w:w="804" w:type="dxa"/>
            <w:vAlign w:val="center"/>
          </w:tcPr>
          <w:p w14:paraId="60C94916">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6</w:t>
            </w:r>
          </w:p>
        </w:tc>
        <w:tc>
          <w:tcPr>
            <w:tcW w:w="1502" w:type="dxa"/>
            <w:vAlign w:val="center"/>
          </w:tcPr>
          <w:p w14:paraId="0E4FB165">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项目编号</w:t>
            </w:r>
          </w:p>
        </w:tc>
        <w:tc>
          <w:tcPr>
            <w:tcW w:w="7308" w:type="dxa"/>
            <w:vAlign w:val="center"/>
          </w:tcPr>
          <w:p w14:paraId="6FB8DD0B">
            <w:pPr>
              <w:pStyle w:val="88"/>
              <w:widowControl w:val="0"/>
              <w:spacing w:before="0" w:beforeAutospacing="0" w:after="0" w:afterAutospacing="0" w:line="440" w:lineRule="exact"/>
              <w:jc w:val="both"/>
              <w:rPr>
                <w:rFonts w:hint="default" w:eastAsia="宋体"/>
                <w:b w:val="0"/>
                <w:color w:val="auto"/>
                <w:sz w:val="24"/>
                <w:szCs w:val="24"/>
                <w:highlight w:val="none"/>
                <w:lang w:val="en-US" w:eastAsia="zh-CN"/>
              </w:rPr>
            </w:pPr>
            <w:r>
              <w:rPr>
                <w:rFonts w:hint="eastAsia"/>
                <w:b w:val="0"/>
                <w:color w:val="auto"/>
                <w:sz w:val="24"/>
                <w:szCs w:val="24"/>
                <w:highlight w:val="none"/>
                <w:lang w:eastAsia="zh-CN"/>
              </w:rPr>
              <w:t>DBSCG-2024-</w:t>
            </w:r>
            <w:r>
              <w:rPr>
                <w:rFonts w:hint="eastAsia"/>
                <w:b w:val="0"/>
                <w:color w:val="auto"/>
                <w:sz w:val="24"/>
                <w:szCs w:val="24"/>
                <w:highlight w:val="none"/>
                <w:lang w:val="en-US" w:eastAsia="zh-CN"/>
              </w:rPr>
              <w:t>115</w:t>
            </w:r>
          </w:p>
        </w:tc>
      </w:tr>
      <w:tr w14:paraId="6BF80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1660" w:hRule="atLeast"/>
          <w:jc w:val="center"/>
        </w:trPr>
        <w:tc>
          <w:tcPr>
            <w:tcW w:w="804" w:type="dxa"/>
            <w:vAlign w:val="center"/>
          </w:tcPr>
          <w:p w14:paraId="725884D0">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7</w:t>
            </w:r>
          </w:p>
        </w:tc>
        <w:tc>
          <w:tcPr>
            <w:tcW w:w="1502" w:type="dxa"/>
            <w:vAlign w:val="center"/>
          </w:tcPr>
          <w:p w14:paraId="4E8E6C5E">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付款方式</w:t>
            </w:r>
          </w:p>
        </w:tc>
        <w:tc>
          <w:tcPr>
            <w:tcW w:w="7308" w:type="dxa"/>
            <w:vAlign w:val="center"/>
          </w:tcPr>
          <w:p w14:paraId="25B8CB00">
            <w:pPr>
              <w:pStyle w:val="88"/>
              <w:widowControl w:val="0"/>
              <w:spacing w:before="0" w:beforeAutospacing="0" w:after="0" w:afterAutospacing="0" w:line="440" w:lineRule="exact"/>
              <w:jc w:val="both"/>
              <w:rPr>
                <w:rFonts w:hint="eastAsia" w:eastAsia="宋体" w:cs="宋体"/>
                <w:b w:val="0"/>
                <w:bCs/>
                <w:color w:val="auto"/>
                <w:sz w:val="24"/>
                <w:szCs w:val="24"/>
                <w:highlight w:val="none"/>
                <w:shd w:val="clear" w:color="auto" w:fill="FFFFFF"/>
                <w:lang w:eastAsia="zh-CN" w:bidi="ar"/>
              </w:rPr>
            </w:pPr>
            <w:r>
              <w:rPr>
                <w:rFonts w:hint="eastAsia" w:eastAsia="宋体" w:cs="宋体"/>
                <w:b w:val="0"/>
                <w:bCs/>
                <w:color w:val="auto"/>
                <w:sz w:val="24"/>
                <w:szCs w:val="24"/>
                <w:highlight w:val="none"/>
                <w:shd w:val="clear" w:color="auto" w:fill="FFFFFF"/>
                <w:lang w:val="en-US" w:eastAsia="zh-CN" w:bidi="ar"/>
              </w:rPr>
              <w:t>按全年招标价分10个月支付劳务派遣费用，下月初支付上月的费用。具体以签定合同为准。具体以签定合同为准。</w:t>
            </w:r>
          </w:p>
          <w:p w14:paraId="509B3CA1">
            <w:pPr>
              <w:pStyle w:val="88"/>
              <w:widowControl w:val="0"/>
              <w:spacing w:before="0" w:beforeAutospacing="0" w:after="0" w:afterAutospacing="0" w:line="440" w:lineRule="exact"/>
              <w:jc w:val="both"/>
              <w:rPr>
                <w:rFonts w:ascii="黑体" w:hAnsi="黑体" w:eastAsia="黑体" w:cs="黑体"/>
                <w:color w:val="auto"/>
                <w:sz w:val="24"/>
                <w:szCs w:val="24"/>
                <w:highlight w:val="none"/>
              </w:rPr>
            </w:pPr>
            <w:r>
              <w:rPr>
                <w:rFonts w:hint="eastAsia" w:cs="宋体"/>
                <w:color w:val="auto"/>
                <w:sz w:val="24"/>
                <w:szCs w:val="24"/>
                <w:highlight w:val="none"/>
              </w:rPr>
              <w:t>（供应商提交的响应文件中如有关于付款条件的表述与磋商文件规定不符，将被视为实质性不响应，将导致响应无效）</w:t>
            </w:r>
          </w:p>
        </w:tc>
      </w:tr>
      <w:tr w14:paraId="418718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0" w:hRule="atLeast"/>
          <w:jc w:val="center"/>
        </w:trPr>
        <w:tc>
          <w:tcPr>
            <w:tcW w:w="804" w:type="dxa"/>
            <w:vAlign w:val="center"/>
          </w:tcPr>
          <w:p w14:paraId="31C74B3D">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8</w:t>
            </w:r>
          </w:p>
        </w:tc>
        <w:tc>
          <w:tcPr>
            <w:tcW w:w="1502" w:type="dxa"/>
            <w:vAlign w:val="center"/>
          </w:tcPr>
          <w:p w14:paraId="3A40DE17">
            <w:pPr>
              <w:spacing w:line="440" w:lineRule="exact"/>
              <w:jc w:val="center"/>
              <w:rPr>
                <w:rFonts w:ascii="宋体" w:hAnsi="宋体"/>
                <w:color w:val="auto"/>
                <w:sz w:val="24"/>
                <w:szCs w:val="24"/>
                <w:highlight w:val="none"/>
              </w:rPr>
            </w:pPr>
            <w:r>
              <w:rPr>
                <w:rFonts w:hint="eastAsia" w:ascii="宋体" w:hAnsi="宋体"/>
                <w:color w:val="auto"/>
                <w:sz w:val="24"/>
                <w:szCs w:val="24"/>
                <w:highlight w:val="none"/>
              </w:rPr>
              <w:t>服务期</w:t>
            </w:r>
          </w:p>
        </w:tc>
        <w:tc>
          <w:tcPr>
            <w:tcW w:w="7308" w:type="dxa"/>
            <w:vAlign w:val="center"/>
          </w:tcPr>
          <w:p w14:paraId="5173C488">
            <w:pPr>
              <w:pStyle w:val="88"/>
              <w:widowControl w:val="0"/>
              <w:spacing w:before="0" w:beforeAutospacing="0" w:after="0" w:afterAutospacing="0" w:line="440" w:lineRule="exact"/>
              <w:jc w:val="both"/>
              <w:rPr>
                <w:b w:val="0"/>
                <w:bCs w:val="0"/>
                <w:color w:val="auto"/>
                <w:sz w:val="24"/>
                <w:szCs w:val="24"/>
                <w:highlight w:val="none"/>
              </w:rPr>
            </w:pPr>
            <w:r>
              <w:rPr>
                <w:rFonts w:hint="eastAsia" w:eastAsia="宋体" w:cs="宋体"/>
                <w:b w:val="0"/>
                <w:bCs/>
                <w:color w:val="auto"/>
                <w:sz w:val="24"/>
                <w:szCs w:val="24"/>
                <w:highlight w:val="none"/>
                <w:shd w:val="clear" w:color="auto" w:fill="FFFFFF"/>
                <w:lang w:eastAsia="zh-CN" w:bidi="ar"/>
              </w:rPr>
              <w:t>经营管理期限为三年（合同一年一签，年度考核合格方可续签下一年合同）</w:t>
            </w:r>
          </w:p>
        </w:tc>
      </w:tr>
      <w:tr w14:paraId="78DB907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76" w:hRule="atLeast"/>
          <w:jc w:val="center"/>
        </w:trPr>
        <w:tc>
          <w:tcPr>
            <w:tcW w:w="804" w:type="dxa"/>
            <w:vAlign w:val="center"/>
          </w:tcPr>
          <w:p w14:paraId="42BAD85C">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9</w:t>
            </w:r>
          </w:p>
        </w:tc>
        <w:tc>
          <w:tcPr>
            <w:tcW w:w="1502" w:type="dxa"/>
            <w:vAlign w:val="center"/>
          </w:tcPr>
          <w:p w14:paraId="75CF87ED">
            <w:pPr>
              <w:pStyle w:val="86"/>
              <w:pBdr>
                <w:bottom w:val="none" w:color="auto" w:sz="0" w:space="0"/>
              </w:pBdr>
              <w:tabs>
                <w:tab w:val="clear" w:pos="4153"/>
                <w:tab w:val="clear" w:pos="8306"/>
              </w:tabs>
              <w:adjustRightInd/>
              <w:spacing w:line="440" w:lineRule="exact"/>
              <w:textAlignment w:val="auto"/>
              <w:rPr>
                <w:rFonts w:ascii="宋体" w:hAnsi="宋体"/>
                <w:color w:val="auto"/>
                <w:szCs w:val="24"/>
                <w:highlight w:val="none"/>
              </w:rPr>
            </w:pPr>
            <w:r>
              <w:rPr>
                <w:rFonts w:hint="eastAsia" w:ascii="宋体" w:hAnsi="宋体"/>
                <w:bCs/>
                <w:color w:val="auto"/>
                <w:kern w:val="2"/>
                <w:szCs w:val="24"/>
                <w:highlight w:val="none"/>
              </w:rPr>
              <w:t>中标服务费</w:t>
            </w:r>
          </w:p>
        </w:tc>
        <w:tc>
          <w:tcPr>
            <w:tcW w:w="7308" w:type="dxa"/>
            <w:vAlign w:val="center"/>
          </w:tcPr>
          <w:p w14:paraId="500DD7F2">
            <w:pPr>
              <w:pStyle w:val="86"/>
              <w:pBdr>
                <w:bottom w:val="none" w:color="auto" w:sz="0" w:space="0"/>
              </w:pBdr>
              <w:tabs>
                <w:tab w:val="clear" w:pos="4153"/>
                <w:tab w:val="clear" w:pos="8306"/>
              </w:tabs>
              <w:adjustRightInd/>
              <w:spacing w:line="440" w:lineRule="exact"/>
              <w:jc w:val="left"/>
              <w:textAlignment w:val="auto"/>
              <w:rPr>
                <w:rFonts w:hint="eastAsia" w:eastAsia="宋体"/>
                <w:bCs/>
                <w:color w:val="auto"/>
                <w:szCs w:val="24"/>
                <w:highlight w:val="none"/>
                <w:lang w:val="en-US" w:eastAsia="zh-CN"/>
              </w:rPr>
            </w:pPr>
            <w:r>
              <w:rPr>
                <w:rFonts w:hint="eastAsia" w:ascii="宋体" w:hAnsi="宋体" w:cs="宋体"/>
                <w:bCs/>
                <w:color w:val="auto"/>
                <w:kern w:val="2"/>
                <w:szCs w:val="24"/>
                <w:highlight w:val="none"/>
                <w:lang w:val="en-US" w:eastAsia="zh-CN"/>
              </w:rPr>
              <w:t>根据国家发展改革委《关于进一步放开建设项目专业服务价格的通知》(发改价格(2015)299号)文件规定和代理协议约定，本项目招标代理服务费由中标人(成交人)支付，收费标准参照《国家发展和改革委员会文件（发改价格（2011）534号文件）》计算，计算基数以中标价(成交价)为准。</w:t>
            </w:r>
          </w:p>
        </w:tc>
      </w:tr>
      <w:tr w14:paraId="5B6EF1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40" w:hRule="atLeast"/>
          <w:jc w:val="center"/>
        </w:trPr>
        <w:tc>
          <w:tcPr>
            <w:tcW w:w="804" w:type="dxa"/>
            <w:vAlign w:val="center"/>
          </w:tcPr>
          <w:p w14:paraId="6B3D1E20">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10</w:t>
            </w:r>
          </w:p>
        </w:tc>
        <w:tc>
          <w:tcPr>
            <w:tcW w:w="1502" w:type="dxa"/>
            <w:vAlign w:val="center"/>
          </w:tcPr>
          <w:p w14:paraId="4693A83A">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履约保证金</w:t>
            </w:r>
          </w:p>
        </w:tc>
        <w:tc>
          <w:tcPr>
            <w:tcW w:w="7308" w:type="dxa"/>
            <w:vAlign w:val="center"/>
          </w:tcPr>
          <w:p w14:paraId="02E24808">
            <w:pPr>
              <w:pStyle w:val="33"/>
              <w:ind w:firstLine="0"/>
              <w:jc w:val="center"/>
              <w:rPr>
                <w:rFonts w:hint="eastAsia" w:eastAsia="宋体"/>
                <w:color w:val="auto"/>
                <w:highlight w:val="none"/>
                <w:lang w:eastAsia="zh-CN"/>
              </w:rPr>
            </w:pPr>
            <w:r>
              <w:rPr>
                <w:rFonts w:hint="eastAsia" w:ascii="宋体" w:hAnsi="宋体" w:cs="宋体"/>
                <w:bCs/>
                <w:color w:val="auto"/>
                <w:sz w:val="24"/>
                <w:szCs w:val="32"/>
                <w:highlight w:val="none"/>
                <w:lang w:val="en-US" w:eastAsia="zh-CN"/>
              </w:rPr>
              <w:t>/</w:t>
            </w:r>
          </w:p>
        </w:tc>
      </w:tr>
      <w:tr w14:paraId="01A5FC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68" w:hRule="atLeast"/>
          <w:jc w:val="center"/>
        </w:trPr>
        <w:tc>
          <w:tcPr>
            <w:tcW w:w="804" w:type="dxa"/>
            <w:vAlign w:val="center"/>
          </w:tcPr>
          <w:p w14:paraId="20D935B0">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11</w:t>
            </w:r>
          </w:p>
        </w:tc>
        <w:tc>
          <w:tcPr>
            <w:tcW w:w="1502" w:type="dxa"/>
            <w:vAlign w:val="center"/>
          </w:tcPr>
          <w:p w14:paraId="098666DA">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勘察及对接</w:t>
            </w:r>
          </w:p>
        </w:tc>
        <w:tc>
          <w:tcPr>
            <w:tcW w:w="7308" w:type="dxa"/>
            <w:vAlign w:val="center"/>
          </w:tcPr>
          <w:p w14:paraId="592EF403">
            <w:pPr>
              <w:pStyle w:val="86"/>
              <w:pBdr>
                <w:bottom w:val="none" w:color="auto" w:sz="0" w:space="0"/>
              </w:pBdr>
              <w:tabs>
                <w:tab w:val="clear" w:pos="4153"/>
                <w:tab w:val="clear" w:pos="8306"/>
              </w:tabs>
              <w:adjustRightInd/>
              <w:spacing w:line="400" w:lineRule="exact"/>
              <w:jc w:val="both"/>
              <w:textAlignment w:val="auto"/>
              <w:rPr>
                <w:rFonts w:ascii="宋体" w:hAnsi="宋体"/>
                <w:bCs/>
                <w:color w:val="auto"/>
                <w:kern w:val="2"/>
                <w:szCs w:val="24"/>
                <w:highlight w:val="none"/>
              </w:rPr>
            </w:pPr>
            <w:r>
              <w:rPr>
                <w:rFonts w:hint="eastAsia" w:ascii="宋体" w:hAnsi="宋体" w:cs="宋体"/>
                <w:bCs/>
                <w:color w:val="auto"/>
                <w:kern w:val="2"/>
                <w:szCs w:val="24"/>
                <w:highlight w:val="none"/>
              </w:rPr>
              <w:t>请各供应商联系采购单位自行勘踏，采购人免费提供项目实施过程中各项对接协调服务。</w:t>
            </w:r>
          </w:p>
        </w:tc>
      </w:tr>
      <w:tr w14:paraId="712B17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494" w:hRule="atLeast"/>
          <w:jc w:val="center"/>
        </w:trPr>
        <w:tc>
          <w:tcPr>
            <w:tcW w:w="804" w:type="dxa"/>
            <w:vAlign w:val="center"/>
          </w:tcPr>
          <w:p w14:paraId="2ED644E9">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12</w:t>
            </w:r>
          </w:p>
        </w:tc>
        <w:tc>
          <w:tcPr>
            <w:tcW w:w="1502" w:type="dxa"/>
            <w:vAlign w:val="center"/>
          </w:tcPr>
          <w:p w14:paraId="1EA99278">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提问与回复</w:t>
            </w:r>
          </w:p>
        </w:tc>
        <w:tc>
          <w:tcPr>
            <w:tcW w:w="7308" w:type="dxa"/>
            <w:vAlign w:val="center"/>
          </w:tcPr>
          <w:p w14:paraId="41709DC9">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1、供应商若对采购文件有关内容存在理解障碍，或认为采购文件表述有模糊不清之处，可通过</w:t>
            </w:r>
            <w:r>
              <w:rPr>
                <w:rFonts w:hint="eastAsia" w:ascii="宋体" w:hAnsi="宋体"/>
                <w:bCs/>
                <w:color w:val="auto"/>
                <w:kern w:val="2"/>
                <w:szCs w:val="24"/>
                <w:highlight w:val="none"/>
                <w:lang w:val="en-US" w:eastAsia="zh-CN"/>
              </w:rPr>
              <w:t>电话联系方式向</w:t>
            </w:r>
            <w:r>
              <w:rPr>
                <w:rFonts w:hint="eastAsia" w:ascii="宋体" w:hAnsi="宋体"/>
                <w:bCs/>
                <w:color w:val="auto"/>
                <w:kern w:val="2"/>
                <w:szCs w:val="24"/>
                <w:highlight w:val="none"/>
              </w:rPr>
              <w:t>采购人（采购代理机构）提出，采购人（采购代理机构）收到供应商提问后将及时回复。该渠道仅接受关于项目的一般性疑问</w:t>
            </w:r>
            <w:r>
              <w:rPr>
                <w:rFonts w:hint="eastAsia" w:ascii="宋体" w:hAnsi="宋体"/>
                <w:b/>
                <w:color w:val="auto"/>
                <w:kern w:val="2"/>
                <w:szCs w:val="24"/>
                <w:highlight w:val="none"/>
              </w:rPr>
              <w:t>（非质疑）</w:t>
            </w:r>
            <w:r>
              <w:rPr>
                <w:rFonts w:hint="eastAsia" w:ascii="宋体" w:hAnsi="宋体"/>
                <w:bCs/>
                <w:color w:val="auto"/>
                <w:kern w:val="2"/>
                <w:szCs w:val="24"/>
                <w:highlight w:val="none"/>
              </w:rPr>
              <w:t>，供应商提问时应当隐藏自身信息，直接提出针对项目的相关疑问即可。</w:t>
            </w:r>
          </w:p>
        </w:tc>
      </w:tr>
      <w:tr w14:paraId="66E02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494" w:hRule="atLeast"/>
          <w:jc w:val="center"/>
        </w:trPr>
        <w:tc>
          <w:tcPr>
            <w:tcW w:w="804" w:type="dxa"/>
            <w:vAlign w:val="center"/>
          </w:tcPr>
          <w:p w14:paraId="51DD285B">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13</w:t>
            </w:r>
          </w:p>
        </w:tc>
        <w:tc>
          <w:tcPr>
            <w:tcW w:w="1502" w:type="dxa"/>
            <w:vAlign w:val="center"/>
          </w:tcPr>
          <w:p w14:paraId="638D8EFE">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质疑与答疑</w:t>
            </w:r>
          </w:p>
        </w:tc>
        <w:tc>
          <w:tcPr>
            <w:tcW w:w="7308" w:type="dxa"/>
            <w:vAlign w:val="center"/>
          </w:tcPr>
          <w:p w14:paraId="61883B46">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1、供应商若对采购文件有关内容存在质疑，可通过</w:t>
            </w:r>
            <w:r>
              <w:rPr>
                <w:rFonts w:hint="eastAsia" w:ascii="宋体" w:hAnsi="宋体"/>
                <w:bCs/>
                <w:color w:val="auto"/>
                <w:kern w:val="2"/>
                <w:szCs w:val="24"/>
                <w:highlight w:val="none"/>
                <w:lang w:val="en-US" w:eastAsia="zh-CN"/>
              </w:rPr>
              <w:t>电子邮箱2778078886@qq.com</w:t>
            </w:r>
            <w:r>
              <w:rPr>
                <w:rFonts w:hint="eastAsia" w:ascii="宋体" w:hAnsi="宋体"/>
                <w:bCs/>
                <w:color w:val="auto"/>
                <w:kern w:val="2"/>
                <w:szCs w:val="24"/>
                <w:highlight w:val="none"/>
              </w:rPr>
              <w:t>向采购人（采购代理机构）提出。质疑文件不可匿名，须以附件形式加盖质疑人</w:t>
            </w:r>
            <w:r>
              <w:rPr>
                <w:rFonts w:hint="eastAsia" w:ascii="宋体" w:hAnsi="宋体"/>
                <w:bCs/>
                <w:color w:val="auto"/>
                <w:kern w:val="2"/>
                <w:szCs w:val="24"/>
                <w:highlight w:val="none"/>
                <w:lang w:val="en-US" w:eastAsia="zh-CN"/>
              </w:rPr>
              <w:t>公</w:t>
            </w:r>
            <w:r>
              <w:rPr>
                <w:rFonts w:hint="eastAsia" w:ascii="宋体" w:hAnsi="宋体"/>
                <w:bCs/>
                <w:color w:val="auto"/>
                <w:kern w:val="2"/>
                <w:szCs w:val="24"/>
                <w:highlight w:val="none"/>
              </w:rPr>
              <w:t>章后上传提交。</w:t>
            </w:r>
          </w:p>
          <w:p w14:paraId="73A574E2">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lang w:val="en-US" w:eastAsia="zh-CN"/>
              </w:rPr>
              <w:t>2</w:t>
            </w:r>
            <w:r>
              <w:rPr>
                <w:rFonts w:hint="eastAsia" w:ascii="宋体" w:hAnsi="宋体"/>
                <w:bCs/>
                <w:color w:val="auto"/>
                <w:kern w:val="2"/>
                <w:szCs w:val="24"/>
                <w:highlight w:val="none"/>
              </w:rPr>
              <w:t>、请各潜在供应商在响应截止时间前，务必登录“</w:t>
            </w:r>
            <w:r>
              <w:rPr>
                <w:rFonts w:hint="eastAsia" w:ascii="宋体" w:hAnsi="宋体"/>
                <w:bCs/>
                <w:color w:val="auto"/>
                <w:kern w:val="2"/>
                <w:szCs w:val="24"/>
                <w:highlight w:val="none"/>
                <w:lang w:val="en-US" w:eastAsia="zh-CN"/>
              </w:rPr>
              <w:t>安徽霍山国有资产投资控股集团有限公司（http：//ahdmig.cn/）</w:t>
            </w:r>
            <w:r>
              <w:rPr>
                <w:rFonts w:hint="eastAsia" w:ascii="宋体" w:hAnsi="宋体"/>
                <w:bCs/>
                <w:color w:val="auto"/>
                <w:kern w:val="2"/>
                <w:szCs w:val="24"/>
                <w:highlight w:val="none"/>
              </w:rPr>
              <w:t>，查看是否发布有关项目更正公告。更正公告为采购文件的有效组成部分，一经发布即为视同已通知所有潜在供应商，若因未及时关注而造成的一切后果，由供应商自行承担。</w:t>
            </w:r>
          </w:p>
        </w:tc>
      </w:tr>
      <w:tr w14:paraId="110EEDC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14:paraId="255B67BA">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14</w:t>
            </w:r>
          </w:p>
        </w:tc>
        <w:tc>
          <w:tcPr>
            <w:tcW w:w="1502" w:type="dxa"/>
            <w:vAlign w:val="center"/>
          </w:tcPr>
          <w:p w14:paraId="110ED9E5">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响应文件份数及要求</w:t>
            </w:r>
          </w:p>
        </w:tc>
        <w:tc>
          <w:tcPr>
            <w:tcW w:w="7308" w:type="dxa"/>
            <w:vAlign w:val="center"/>
          </w:tcPr>
          <w:tbl>
            <w:tblPr>
              <w:tblStyle w:val="34"/>
              <w:tblW w:w="102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28" w:type="dxa"/>
                <w:left w:w="108" w:type="dxa"/>
                <w:bottom w:w="28" w:type="dxa"/>
                <w:right w:w="108" w:type="dxa"/>
              </w:tblCellMar>
            </w:tblPr>
            <w:tblGrid>
              <w:gridCol w:w="7702"/>
            </w:tblGrid>
            <w:tr w14:paraId="183378E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7702" w:type="dxa"/>
                  <w:noWrap w:val="0"/>
                  <w:vAlign w:val="center"/>
                </w:tcPr>
                <w:p w14:paraId="14A6B601">
                  <w:pPr>
                    <w:pStyle w:val="86"/>
                    <w:pBdr>
                      <w:bottom w:val="none" w:color="auto" w:sz="0" w:space="0"/>
                    </w:pBdr>
                    <w:tabs>
                      <w:tab w:val="left" w:pos="7350"/>
                      <w:tab w:val="clear" w:pos="4153"/>
                      <w:tab w:val="clear" w:pos="8306"/>
                    </w:tabs>
                    <w:adjustRightInd/>
                    <w:spacing w:line="440" w:lineRule="exact"/>
                    <w:ind w:left="218" w:leftChars="104" w:right="126" w:rightChars="60" w:firstLine="0" w:firstLineChars="0"/>
                    <w:jc w:val="left"/>
                    <w:textAlignment w:val="auto"/>
                    <w:rPr>
                      <w:rFonts w:hint="eastAsia" w:ascii="宋体" w:hAnsi="宋体"/>
                      <w:bCs/>
                      <w:color w:val="auto"/>
                      <w:kern w:val="2"/>
                      <w:szCs w:val="24"/>
                      <w:highlight w:val="none"/>
                    </w:rPr>
                  </w:pPr>
                  <w:r>
                    <w:rPr>
                      <w:rFonts w:hint="eastAsia" w:ascii="宋体" w:hAnsi="宋体"/>
                      <w:bCs/>
                      <w:color w:val="auto"/>
                      <w:kern w:val="2"/>
                      <w:szCs w:val="24"/>
                      <w:highlight w:val="none"/>
                    </w:rPr>
                    <w:t>纸质投标文件一正两副（投标文件应采用牛皮纸袋封装并密封，必须加盖单位公章和法人代表签章，注明日期。“正本”和“副本”要分别装袋并密封）。用A4纸装订成册。</w:t>
                  </w:r>
                </w:p>
              </w:tc>
            </w:tr>
          </w:tbl>
          <w:p w14:paraId="049F725D">
            <w:pPr>
              <w:pStyle w:val="86"/>
              <w:pBdr>
                <w:bottom w:val="none" w:color="auto" w:sz="0" w:space="0"/>
              </w:pBdr>
              <w:tabs>
                <w:tab w:val="clear" w:pos="4153"/>
                <w:tab w:val="clear" w:pos="8306"/>
              </w:tabs>
              <w:adjustRightInd/>
              <w:spacing w:line="440" w:lineRule="exact"/>
              <w:jc w:val="left"/>
              <w:textAlignment w:val="auto"/>
              <w:rPr>
                <w:rFonts w:hint="eastAsia" w:ascii="宋体" w:hAnsi="宋体"/>
                <w:bCs/>
                <w:color w:val="auto"/>
                <w:kern w:val="2"/>
                <w:szCs w:val="24"/>
                <w:highlight w:val="none"/>
              </w:rPr>
            </w:pPr>
          </w:p>
        </w:tc>
      </w:tr>
      <w:tr w14:paraId="060E92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527" w:hRule="atLeast"/>
          <w:jc w:val="center"/>
        </w:trPr>
        <w:tc>
          <w:tcPr>
            <w:tcW w:w="804" w:type="dxa"/>
            <w:vAlign w:val="center"/>
          </w:tcPr>
          <w:p w14:paraId="552822E6">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15</w:t>
            </w:r>
          </w:p>
        </w:tc>
        <w:tc>
          <w:tcPr>
            <w:tcW w:w="1502" w:type="dxa"/>
            <w:vAlign w:val="center"/>
          </w:tcPr>
          <w:p w14:paraId="733909AD">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递交响应文件注意事项</w:t>
            </w:r>
          </w:p>
        </w:tc>
        <w:tc>
          <w:tcPr>
            <w:tcW w:w="7308" w:type="dxa"/>
            <w:vAlign w:val="center"/>
          </w:tcPr>
          <w:p w14:paraId="20689B14">
            <w:pPr>
              <w:pStyle w:val="86"/>
              <w:pBdr>
                <w:bottom w:val="none" w:color="auto" w:sz="0" w:space="0"/>
              </w:pBdr>
              <w:tabs>
                <w:tab w:val="clear" w:pos="4153"/>
                <w:tab w:val="clear" w:pos="8306"/>
              </w:tabs>
              <w:adjustRightInd/>
              <w:spacing w:line="440" w:lineRule="exact"/>
              <w:jc w:val="left"/>
              <w:textAlignment w:val="auto"/>
              <w:rPr>
                <w:rFonts w:hint="eastAsia" w:ascii="宋体" w:hAnsi="宋体"/>
                <w:bCs/>
                <w:color w:val="auto"/>
                <w:kern w:val="2"/>
                <w:szCs w:val="24"/>
                <w:highlight w:val="none"/>
              </w:rPr>
            </w:pPr>
            <w:r>
              <w:rPr>
                <w:rFonts w:hint="eastAsia" w:ascii="宋体" w:hAnsi="宋体"/>
                <w:bCs/>
                <w:color w:val="auto"/>
                <w:kern w:val="2"/>
                <w:szCs w:val="24"/>
                <w:highlight w:val="none"/>
              </w:rPr>
              <w:t>响应文件必须在响应截止时间前现场递交。</w:t>
            </w:r>
          </w:p>
        </w:tc>
      </w:tr>
      <w:tr w14:paraId="78D06C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98" w:hRule="atLeast"/>
          <w:jc w:val="center"/>
        </w:trPr>
        <w:tc>
          <w:tcPr>
            <w:tcW w:w="804" w:type="dxa"/>
            <w:vAlign w:val="center"/>
          </w:tcPr>
          <w:p w14:paraId="70399D6E">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16</w:t>
            </w:r>
          </w:p>
        </w:tc>
        <w:tc>
          <w:tcPr>
            <w:tcW w:w="1502" w:type="dxa"/>
            <w:vAlign w:val="center"/>
          </w:tcPr>
          <w:p w14:paraId="12D3C6B5">
            <w:pPr>
              <w:pStyle w:val="86"/>
              <w:pBdr>
                <w:bottom w:val="none" w:color="auto" w:sz="0" w:space="0"/>
              </w:pBdr>
              <w:tabs>
                <w:tab w:val="clear" w:pos="4153"/>
                <w:tab w:val="clear" w:pos="8306"/>
              </w:tabs>
              <w:adjustRightInd/>
              <w:spacing w:line="440" w:lineRule="exact"/>
              <w:textAlignment w:val="auto"/>
              <w:rPr>
                <w:rFonts w:ascii="宋体" w:hAnsi="宋体"/>
                <w:bCs/>
                <w:color w:val="auto"/>
                <w:kern w:val="2"/>
                <w:szCs w:val="24"/>
                <w:highlight w:val="none"/>
              </w:rPr>
            </w:pPr>
            <w:r>
              <w:rPr>
                <w:rFonts w:hint="eastAsia" w:ascii="宋体" w:hAnsi="宋体"/>
                <w:bCs/>
                <w:color w:val="auto"/>
                <w:kern w:val="2"/>
                <w:szCs w:val="24"/>
                <w:highlight w:val="none"/>
              </w:rPr>
              <w:t>备注一</w:t>
            </w:r>
          </w:p>
        </w:tc>
        <w:tc>
          <w:tcPr>
            <w:tcW w:w="7308" w:type="dxa"/>
            <w:vAlign w:val="center"/>
          </w:tcPr>
          <w:p w14:paraId="2F19C3E4">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1、存在以下不良信用记录情形之一的，不得推荐为成交候选供应商,评审时磋商小组应当按照下列第3条不良信用记录查询渠道对供应商是否存在不良信用记录进行查询：</w:t>
            </w:r>
          </w:p>
          <w:p w14:paraId="2A241848">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（1）供应商被人民法院列入失信被执行人的；</w:t>
            </w:r>
          </w:p>
          <w:p w14:paraId="20CD08B5">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（2）供应商被市场监督管理部门列入</w:t>
            </w:r>
            <w:r>
              <w:rPr>
                <w:rFonts w:hint="eastAsia" w:ascii="宋体" w:hAnsi="宋体"/>
                <w:bCs/>
                <w:color w:val="auto"/>
                <w:kern w:val="2"/>
                <w:szCs w:val="24"/>
                <w:highlight w:val="none"/>
                <w:lang w:eastAsia="zh-CN"/>
              </w:rPr>
              <w:t>严重违法失信企业</w:t>
            </w:r>
            <w:r>
              <w:rPr>
                <w:rFonts w:hint="eastAsia" w:ascii="宋体" w:hAnsi="宋体"/>
                <w:bCs/>
                <w:color w:val="auto"/>
                <w:kern w:val="2"/>
                <w:szCs w:val="24"/>
                <w:highlight w:val="none"/>
              </w:rPr>
              <w:t>名录的；</w:t>
            </w:r>
          </w:p>
          <w:p w14:paraId="6D6862E8">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（3）供应商被税务部门列入重大税收违法案件当事人名单的；</w:t>
            </w:r>
          </w:p>
          <w:p w14:paraId="4683B38B">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（4）供应商被政府采购监管部门列入政府采购严重违法失信行为记录名单的。</w:t>
            </w:r>
          </w:p>
          <w:p w14:paraId="7CA9B1C6">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2、不良信用记录查询渠道如下：</w:t>
            </w:r>
          </w:p>
          <w:p w14:paraId="1F29CC21">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（1）失信被执行人：信用中国官网（www.creditchina.gov.cn）</w:t>
            </w:r>
          </w:p>
          <w:p w14:paraId="6E5F226C">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（2）</w:t>
            </w:r>
            <w:r>
              <w:rPr>
                <w:rFonts w:hint="eastAsia" w:ascii="宋体" w:hAnsi="宋体"/>
                <w:bCs/>
                <w:color w:val="auto"/>
                <w:kern w:val="2"/>
                <w:szCs w:val="24"/>
                <w:highlight w:val="none"/>
                <w:lang w:eastAsia="zh-CN"/>
              </w:rPr>
              <w:t>严重违法失信企业</w:t>
            </w:r>
            <w:r>
              <w:rPr>
                <w:rFonts w:hint="eastAsia" w:ascii="宋体" w:hAnsi="宋体"/>
                <w:bCs/>
                <w:color w:val="auto"/>
                <w:kern w:val="2"/>
                <w:szCs w:val="24"/>
                <w:highlight w:val="none"/>
              </w:rPr>
              <w:t>名录：信用中国官网（www.creditchina.gov.cn）</w:t>
            </w:r>
          </w:p>
          <w:p w14:paraId="3ECD5EDD">
            <w:pPr>
              <w:pStyle w:val="86"/>
              <w:pBdr>
                <w:bottom w:val="none" w:color="auto" w:sz="0" w:space="0"/>
              </w:pBdr>
              <w:tabs>
                <w:tab w:val="clear" w:pos="4153"/>
                <w:tab w:val="clear" w:pos="8306"/>
              </w:tabs>
              <w:adjustRightInd/>
              <w:spacing w:line="440" w:lineRule="exact"/>
              <w:jc w:val="left"/>
              <w:textAlignment w:val="auto"/>
              <w:rPr>
                <w:rFonts w:ascii="宋体" w:hAnsi="宋体"/>
                <w:bCs/>
                <w:color w:val="auto"/>
                <w:kern w:val="2"/>
                <w:szCs w:val="24"/>
                <w:highlight w:val="none"/>
              </w:rPr>
            </w:pPr>
            <w:r>
              <w:rPr>
                <w:rFonts w:hint="eastAsia" w:ascii="宋体" w:hAnsi="宋体"/>
                <w:bCs/>
                <w:color w:val="auto"/>
                <w:kern w:val="2"/>
                <w:szCs w:val="24"/>
                <w:highlight w:val="none"/>
              </w:rPr>
              <w:t>（3）重大税收违法案件当事人名单：信用中国官网（www.creditchina.gov.cn）</w:t>
            </w:r>
          </w:p>
          <w:p w14:paraId="0EA3D568">
            <w:pPr>
              <w:pStyle w:val="86"/>
              <w:pBdr>
                <w:bottom w:val="none" w:color="auto" w:sz="0" w:space="0"/>
              </w:pBdr>
              <w:tabs>
                <w:tab w:val="clear" w:pos="4153"/>
                <w:tab w:val="clear" w:pos="8306"/>
              </w:tabs>
              <w:adjustRightInd/>
              <w:spacing w:line="440" w:lineRule="exact"/>
              <w:jc w:val="left"/>
              <w:textAlignment w:val="auto"/>
              <w:rPr>
                <w:rFonts w:hint="eastAsia" w:ascii="宋体" w:hAnsi="宋体"/>
                <w:bCs/>
                <w:color w:val="auto"/>
                <w:kern w:val="2"/>
                <w:szCs w:val="24"/>
                <w:highlight w:val="none"/>
              </w:rPr>
            </w:pPr>
            <w:r>
              <w:rPr>
                <w:rFonts w:hint="eastAsia" w:ascii="宋体" w:hAnsi="宋体"/>
                <w:bCs/>
                <w:color w:val="auto"/>
                <w:kern w:val="2"/>
                <w:szCs w:val="24"/>
                <w:highlight w:val="none"/>
              </w:rPr>
              <w:t>（4）政府采购严重违法失信行为记录名单：中国政府采购官网（www.ccgp.gov.cn）</w:t>
            </w:r>
          </w:p>
        </w:tc>
      </w:tr>
      <w:tr w14:paraId="08FE2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804" w:type="dxa"/>
            <w:vAlign w:val="center"/>
          </w:tcPr>
          <w:p w14:paraId="34932568">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17</w:t>
            </w:r>
          </w:p>
        </w:tc>
        <w:tc>
          <w:tcPr>
            <w:tcW w:w="1502" w:type="dxa"/>
            <w:vAlign w:val="center"/>
          </w:tcPr>
          <w:p w14:paraId="6AE03F09">
            <w:pPr>
              <w:pStyle w:val="86"/>
              <w:pBdr>
                <w:bottom w:val="none" w:color="auto" w:sz="0" w:space="0"/>
              </w:pBdr>
              <w:tabs>
                <w:tab w:val="clear" w:pos="4153"/>
                <w:tab w:val="clear" w:pos="8306"/>
              </w:tabs>
              <w:adjustRightInd/>
              <w:spacing w:line="440" w:lineRule="exact"/>
              <w:textAlignment w:val="auto"/>
              <w:rPr>
                <w:rFonts w:ascii="宋体" w:hAnsi="宋体" w:eastAsia="宋体" w:cs="Times New Roman"/>
                <w:bCs/>
                <w:color w:val="auto"/>
                <w:kern w:val="2"/>
                <w:sz w:val="24"/>
                <w:szCs w:val="24"/>
                <w:highlight w:val="none"/>
                <w:lang w:val="zh-CN" w:eastAsia="zh-CN" w:bidi="ar-SA"/>
              </w:rPr>
            </w:pPr>
            <w:r>
              <w:rPr>
                <w:rFonts w:hint="eastAsia" w:ascii="宋体" w:hAnsi="宋体"/>
                <w:bCs/>
                <w:color w:val="auto"/>
                <w:kern w:val="2"/>
                <w:szCs w:val="24"/>
                <w:highlight w:val="none"/>
              </w:rPr>
              <w:t>备注二</w:t>
            </w:r>
          </w:p>
        </w:tc>
        <w:tc>
          <w:tcPr>
            <w:tcW w:w="7308" w:type="dxa"/>
            <w:vAlign w:val="center"/>
          </w:tcPr>
          <w:p w14:paraId="2F87BAFE">
            <w:pPr>
              <w:pStyle w:val="86"/>
              <w:pBdr>
                <w:bottom w:val="none" w:color="auto" w:sz="0" w:space="0"/>
              </w:pBdr>
              <w:tabs>
                <w:tab w:val="clear" w:pos="4153"/>
                <w:tab w:val="clear" w:pos="8306"/>
              </w:tabs>
              <w:adjustRightInd/>
              <w:spacing w:line="440" w:lineRule="exact"/>
              <w:jc w:val="left"/>
              <w:textAlignment w:val="auto"/>
              <w:rPr>
                <w:rFonts w:ascii="宋体" w:hAnsi="宋体" w:eastAsia="宋体" w:cs="Times New Roman"/>
                <w:bCs/>
                <w:color w:val="auto"/>
                <w:kern w:val="2"/>
                <w:sz w:val="24"/>
                <w:szCs w:val="24"/>
                <w:highlight w:val="none"/>
                <w:lang w:val="zh-CN" w:eastAsia="zh-CN" w:bidi="ar-SA"/>
              </w:rPr>
            </w:pPr>
            <w:r>
              <w:rPr>
                <w:rFonts w:hint="eastAsia" w:ascii="宋体" w:hAnsi="宋体"/>
                <w:bCs/>
                <w:color w:val="auto"/>
                <w:kern w:val="2"/>
                <w:szCs w:val="24"/>
                <w:highlight w:val="none"/>
              </w:rPr>
              <w:t>特别提醒：供应商参与政府采购，应当诚信守法、公平竞争。如有以提供虚假材料（包括但不限于虚假技术参数响应、虚假业绩、虚假证书、虚假检测报告等）、串通投标、隐瞒失信信息等谋取中标的行为，一经发现，将报监管部门严肃查处。</w:t>
            </w:r>
          </w:p>
        </w:tc>
      </w:tr>
      <w:tr w14:paraId="2BCC81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28" w:type="dxa"/>
            <w:left w:w="108" w:type="dxa"/>
            <w:bottom w:w="28" w:type="dxa"/>
            <w:right w:w="108" w:type="dxa"/>
          </w:tblCellMar>
        </w:tblPrEx>
        <w:trPr>
          <w:trHeight w:val="611" w:hRule="atLeast"/>
          <w:jc w:val="center"/>
        </w:trPr>
        <w:tc>
          <w:tcPr>
            <w:tcW w:w="804" w:type="dxa"/>
            <w:vAlign w:val="center"/>
          </w:tcPr>
          <w:p w14:paraId="45C951A4">
            <w:pPr>
              <w:pStyle w:val="86"/>
              <w:pBdr>
                <w:bottom w:val="none" w:color="auto" w:sz="0" w:space="0"/>
              </w:pBdr>
              <w:tabs>
                <w:tab w:val="clear" w:pos="4153"/>
                <w:tab w:val="clear" w:pos="8306"/>
              </w:tabs>
              <w:adjustRightInd/>
              <w:spacing w:line="440" w:lineRule="exact"/>
              <w:textAlignment w:val="auto"/>
              <w:rPr>
                <w:rFonts w:ascii="宋体" w:hAnsi="宋体"/>
                <w:b/>
                <w:color w:val="auto"/>
                <w:kern w:val="2"/>
                <w:szCs w:val="24"/>
                <w:highlight w:val="none"/>
              </w:rPr>
            </w:pPr>
            <w:r>
              <w:rPr>
                <w:rFonts w:hint="eastAsia" w:ascii="宋体" w:hAnsi="宋体"/>
                <w:b/>
                <w:color w:val="auto"/>
                <w:kern w:val="2"/>
                <w:szCs w:val="24"/>
                <w:highlight w:val="none"/>
              </w:rPr>
              <w:t>18</w:t>
            </w:r>
          </w:p>
        </w:tc>
        <w:tc>
          <w:tcPr>
            <w:tcW w:w="1502" w:type="dxa"/>
            <w:vAlign w:val="center"/>
          </w:tcPr>
          <w:p w14:paraId="56A7CB22">
            <w:pPr>
              <w:pStyle w:val="86"/>
              <w:pBdr>
                <w:bottom w:val="none" w:color="auto" w:sz="0" w:space="0"/>
              </w:pBdr>
              <w:tabs>
                <w:tab w:val="clear" w:pos="4153"/>
                <w:tab w:val="clear" w:pos="8306"/>
              </w:tabs>
              <w:adjustRightInd/>
              <w:spacing w:line="440" w:lineRule="exact"/>
              <w:textAlignment w:val="auto"/>
              <w:rPr>
                <w:rFonts w:hint="eastAsia" w:ascii="宋体" w:hAnsi="宋体" w:eastAsia="宋体" w:cs="Times New Roman"/>
                <w:bCs/>
                <w:color w:val="auto"/>
                <w:kern w:val="2"/>
                <w:sz w:val="24"/>
                <w:szCs w:val="24"/>
                <w:highlight w:val="none"/>
                <w:lang w:val="zh-CN" w:eastAsia="zh-CN" w:bidi="ar-SA"/>
              </w:rPr>
            </w:pPr>
            <w:r>
              <w:rPr>
                <w:rFonts w:hint="eastAsia" w:ascii="Times New Roman" w:hAnsi="Times New Roman"/>
                <w:color w:val="auto"/>
                <w:highlight w:val="none"/>
              </w:rPr>
              <w:t>中标（成交）通知书发出的形式</w:t>
            </w:r>
          </w:p>
        </w:tc>
        <w:tc>
          <w:tcPr>
            <w:tcW w:w="7308" w:type="dxa"/>
            <w:vAlign w:val="center"/>
          </w:tcPr>
          <w:p w14:paraId="2D820052">
            <w:pPr>
              <w:pStyle w:val="86"/>
              <w:pBdr>
                <w:bottom w:val="none" w:color="auto" w:sz="0" w:space="0"/>
              </w:pBdr>
              <w:tabs>
                <w:tab w:val="clear" w:pos="4153"/>
                <w:tab w:val="clear" w:pos="8306"/>
              </w:tabs>
              <w:adjustRightInd/>
              <w:spacing w:line="440" w:lineRule="exact"/>
              <w:jc w:val="left"/>
              <w:textAlignment w:val="auto"/>
              <w:rPr>
                <w:rFonts w:ascii="宋体" w:hAnsi="宋体" w:eastAsia="宋体" w:cs="Times New Roman"/>
                <w:bCs/>
                <w:color w:val="auto"/>
                <w:kern w:val="2"/>
                <w:sz w:val="24"/>
                <w:szCs w:val="24"/>
                <w:highlight w:val="none"/>
                <w:lang w:val="zh-CN" w:eastAsia="zh-CN" w:bidi="ar-SA"/>
              </w:rPr>
            </w:pPr>
            <w:r>
              <w:rPr>
                <w:rFonts w:hint="eastAsia" w:ascii="宋体" w:hAnsi="宋体"/>
                <w:bCs/>
                <w:color w:val="auto"/>
                <w:sz w:val="24"/>
                <w:szCs w:val="24"/>
                <w:highlight w:val="none"/>
              </w:rPr>
              <w:t>纸质</w:t>
            </w:r>
          </w:p>
        </w:tc>
      </w:tr>
    </w:tbl>
    <w:p w14:paraId="7DE23487">
      <w:pPr>
        <w:rPr>
          <w:rFonts w:ascii="宋体" w:hAnsi="宋体" w:cs="宋体"/>
          <w:szCs w:val="24"/>
          <w:highlight w:val="none"/>
        </w:rPr>
      </w:pPr>
    </w:p>
    <w:p w14:paraId="209F3FC3">
      <w:pPr>
        <w:pStyle w:val="3"/>
        <w:spacing w:before="120" w:beforeLines="50" w:after="120" w:afterLines="50" w:line="520" w:lineRule="exact"/>
        <w:jc w:val="center"/>
        <w:rPr>
          <w:rFonts w:ascii="宋体" w:hAnsi="宋体" w:eastAsia="宋体" w:cs="宋体"/>
          <w:sz w:val="24"/>
          <w:szCs w:val="24"/>
          <w:highlight w:val="none"/>
        </w:rPr>
      </w:pPr>
      <w:bookmarkStart w:id="69" w:name="_Toc14333"/>
      <w:r>
        <w:rPr>
          <w:rFonts w:hint="eastAsia" w:ascii="宋体" w:hAnsi="宋体" w:eastAsia="宋体" w:cs="宋体"/>
          <w:sz w:val="24"/>
          <w:szCs w:val="24"/>
          <w:highlight w:val="none"/>
        </w:rPr>
        <w:t>（二）供应商资格</w:t>
      </w:r>
      <w:bookmarkEnd w:id="69"/>
    </w:p>
    <w:bookmarkEnd w:id="66"/>
    <w:p w14:paraId="021CE02C">
      <w:pPr>
        <w:pStyle w:val="33"/>
        <w:spacing w:line="520" w:lineRule="exact"/>
        <w:ind w:firstLine="480" w:firstLineChars="200"/>
        <w:rPr>
          <w:rFonts w:hint="eastAsia" w:eastAsia="宋体"/>
          <w:highlight w:val="none"/>
          <w:lang w:eastAsia="zh-CN"/>
        </w:rPr>
      </w:pPr>
      <w:bookmarkStart w:id="70" w:name="_Toc363199266"/>
      <w:bookmarkStart w:id="71" w:name="_Toc216158625"/>
      <w:bookmarkStart w:id="72" w:name="_Toc438648662"/>
      <w:r>
        <w:rPr>
          <w:rFonts w:hint="eastAsia"/>
          <w:highlight w:val="none"/>
        </w:rPr>
        <w:t>见本项目采购公告</w:t>
      </w:r>
      <w:r>
        <w:rPr>
          <w:rFonts w:hint="eastAsia"/>
          <w:highlight w:val="none"/>
          <w:lang w:eastAsia="zh-CN"/>
        </w:rPr>
        <w:t>。</w:t>
      </w:r>
    </w:p>
    <w:p w14:paraId="31D8512D">
      <w:pPr>
        <w:pStyle w:val="3"/>
        <w:spacing w:before="120" w:beforeLines="50" w:after="120" w:afterLines="50" w:line="520" w:lineRule="exact"/>
        <w:jc w:val="center"/>
        <w:rPr>
          <w:rFonts w:ascii="宋体" w:hAnsi="宋体" w:eastAsia="宋体" w:cs="宋体"/>
          <w:sz w:val="24"/>
          <w:szCs w:val="24"/>
          <w:highlight w:val="none"/>
        </w:rPr>
      </w:pPr>
      <w:bookmarkStart w:id="73" w:name="_Toc9435"/>
      <w:r>
        <w:rPr>
          <w:rFonts w:hint="eastAsia" w:ascii="宋体" w:hAnsi="宋体" w:eastAsia="宋体" w:cs="宋体"/>
          <w:sz w:val="24"/>
          <w:szCs w:val="24"/>
          <w:highlight w:val="none"/>
        </w:rPr>
        <w:t>（三）供应商必须提交的响应文件内容</w:t>
      </w:r>
      <w:bookmarkEnd w:id="70"/>
      <w:bookmarkEnd w:id="71"/>
      <w:bookmarkEnd w:id="72"/>
      <w:bookmarkEnd w:id="73"/>
    </w:p>
    <w:p w14:paraId="36902EE3">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1、报价单；</w:t>
      </w:r>
    </w:p>
    <w:p w14:paraId="2ADF34BB">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2、供应商基本信息；</w:t>
      </w:r>
    </w:p>
    <w:p w14:paraId="7F06CA15">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3、磋商授权书；</w:t>
      </w:r>
    </w:p>
    <w:p w14:paraId="060D5FBE">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4、磋商响应函；</w:t>
      </w:r>
    </w:p>
    <w:p w14:paraId="2F927A58">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5、无重大违法记录声明函、无不良信用记录承诺函；</w:t>
      </w:r>
    </w:p>
    <w:p w14:paraId="1A48AE0C">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6、响应情况表；</w:t>
      </w:r>
    </w:p>
    <w:p w14:paraId="794E90C0">
      <w:pPr>
        <w:spacing w:line="520" w:lineRule="exact"/>
        <w:ind w:firstLine="480" w:firstLineChars="200"/>
        <w:jc w:val="left"/>
        <w:rPr>
          <w:rFonts w:ascii="宋体" w:hAnsi="宋体"/>
          <w:sz w:val="24"/>
          <w:szCs w:val="24"/>
          <w:highlight w:val="none"/>
        </w:rPr>
      </w:pPr>
      <w:r>
        <w:rPr>
          <w:rFonts w:hint="eastAsia" w:ascii="宋体" w:hAnsi="宋体"/>
          <w:sz w:val="24"/>
          <w:szCs w:val="24"/>
          <w:highlight w:val="none"/>
        </w:rPr>
        <w:t>7、相关服务承诺函；</w:t>
      </w:r>
    </w:p>
    <w:p w14:paraId="4BD21BAA">
      <w:pPr>
        <w:spacing w:line="520" w:lineRule="exact"/>
        <w:ind w:firstLine="480" w:firstLineChars="200"/>
        <w:jc w:val="left"/>
        <w:rPr>
          <w:rFonts w:ascii="宋体" w:hAnsi="宋体" w:cs="宋体"/>
          <w:sz w:val="24"/>
          <w:szCs w:val="24"/>
          <w:highlight w:val="none"/>
        </w:rPr>
      </w:pPr>
      <w:r>
        <w:rPr>
          <w:rFonts w:hint="eastAsia" w:ascii="宋体" w:hAnsi="宋体"/>
          <w:sz w:val="24"/>
          <w:szCs w:val="24"/>
          <w:highlight w:val="none"/>
        </w:rPr>
        <w:t>8、磋商文件要求和供应商认为需要提供的其它说明和资料。</w:t>
      </w:r>
    </w:p>
    <w:p w14:paraId="5D23E9D5">
      <w:pPr>
        <w:pStyle w:val="3"/>
        <w:spacing w:before="120" w:beforeLines="50" w:after="120" w:afterLines="50" w:line="520" w:lineRule="exact"/>
        <w:jc w:val="center"/>
        <w:rPr>
          <w:rFonts w:ascii="宋体" w:hAnsi="宋体" w:eastAsia="宋体" w:cs="宋体"/>
          <w:sz w:val="24"/>
          <w:szCs w:val="24"/>
          <w:highlight w:val="none"/>
        </w:rPr>
      </w:pPr>
      <w:bookmarkStart w:id="74" w:name="_Toc9883"/>
      <w:r>
        <w:rPr>
          <w:rFonts w:hint="eastAsia" w:ascii="宋体" w:hAnsi="宋体" w:eastAsia="宋体" w:cs="宋体"/>
          <w:sz w:val="24"/>
          <w:szCs w:val="24"/>
          <w:highlight w:val="none"/>
        </w:rPr>
        <w:t>（四）响应文件的提交</w:t>
      </w:r>
      <w:bookmarkEnd w:id="74"/>
    </w:p>
    <w:bookmarkEnd w:id="67"/>
    <w:bookmarkEnd w:id="68"/>
    <w:p w14:paraId="2F91C0BF">
      <w:pPr>
        <w:pStyle w:val="15"/>
        <w:spacing w:line="500" w:lineRule="exact"/>
        <w:ind w:firstLine="482" w:firstLineChars="200"/>
        <w:rPr>
          <w:rFonts w:hAnsi="宋体"/>
          <w:b/>
          <w:sz w:val="24"/>
          <w:szCs w:val="24"/>
          <w:highlight w:val="none"/>
        </w:rPr>
      </w:pPr>
      <w:bookmarkStart w:id="75" w:name="_Toc15950"/>
      <w:bookmarkStart w:id="76" w:name="_Toc32682"/>
      <w:r>
        <w:rPr>
          <w:rFonts w:hint="eastAsia" w:hAnsi="宋体"/>
          <w:b/>
          <w:sz w:val="24"/>
          <w:szCs w:val="24"/>
          <w:highlight w:val="none"/>
        </w:rPr>
        <w:t>1、响应文件的密封和标记</w:t>
      </w:r>
    </w:p>
    <w:p w14:paraId="793E0202">
      <w:pPr>
        <w:pStyle w:val="15"/>
        <w:spacing w:line="500" w:lineRule="exact"/>
        <w:ind w:firstLine="480" w:firstLineChars="200"/>
        <w:rPr>
          <w:rFonts w:hAnsi="宋体"/>
          <w:bCs/>
          <w:sz w:val="24"/>
          <w:szCs w:val="24"/>
          <w:highlight w:val="none"/>
        </w:rPr>
      </w:pPr>
      <w:r>
        <w:rPr>
          <w:rFonts w:hint="eastAsia" w:hAnsi="宋体"/>
          <w:bCs/>
          <w:sz w:val="24"/>
          <w:szCs w:val="24"/>
          <w:highlight w:val="none"/>
        </w:rPr>
        <w:t>1.1响应文件应密封并应在封口处加盖供应商单位公章。</w:t>
      </w:r>
    </w:p>
    <w:p w14:paraId="01228A39">
      <w:pPr>
        <w:pStyle w:val="15"/>
        <w:spacing w:line="500" w:lineRule="exact"/>
        <w:ind w:firstLine="480" w:firstLineChars="200"/>
        <w:rPr>
          <w:rFonts w:hAnsi="宋体"/>
          <w:bCs/>
          <w:sz w:val="24"/>
          <w:szCs w:val="24"/>
          <w:highlight w:val="none"/>
        </w:rPr>
      </w:pPr>
      <w:r>
        <w:rPr>
          <w:rFonts w:hint="eastAsia" w:hAnsi="宋体"/>
          <w:bCs/>
          <w:sz w:val="24"/>
          <w:szCs w:val="24"/>
          <w:highlight w:val="none"/>
        </w:rPr>
        <w:t>1.2供应商可在响应文件表面将采购项目编号、项目名称、单位名称信息写上。</w:t>
      </w:r>
    </w:p>
    <w:p w14:paraId="44200AB4">
      <w:pPr>
        <w:pStyle w:val="15"/>
        <w:spacing w:line="500" w:lineRule="exact"/>
        <w:ind w:firstLine="482" w:firstLineChars="200"/>
        <w:rPr>
          <w:rFonts w:hAnsi="宋体"/>
          <w:b/>
          <w:sz w:val="24"/>
          <w:szCs w:val="24"/>
          <w:highlight w:val="none"/>
        </w:rPr>
      </w:pPr>
      <w:r>
        <w:rPr>
          <w:rFonts w:hint="eastAsia" w:hAnsi="宋体"/>
          <w:b/>
          <w:sz w:val="24"/>
          <w:szCs w:val="24"/>
          <w:highlight w:val="none"/>
        </w:rPr>
        <w:t>2、响应文件的提交</w:t>
      </w:r>
    </w:p>
    <w:p w14:paraId="149200F8">
      <w:pPr>
        <w:pStyle w:val="15"/>
        <w:spacing w:line="500" w:lineRule="exact"/>
        <w:ind w:firstLine="480" w:firstLineChars="200"/>
        <w:rPr>
          <w:rFonts w:hAnsi="宋体"/>
          <w:bCs/>
          <w:sz w:val="24"/>
          <w:szCs w:val="24"/>
          <w:highlight w:val="none"/>
        </w:rPr>
      </w:pPr>
      <w:r>
        <w:rPr>
          <w:rFonts w:hint="eastAsia" w:hAnsi="宋体"/>
          <w:bCs/>
          <w:sz w:val="24"/>
          <w:szCs w:val="24"/>
          <w:highlight w:val="none"/>
        </w:rPr>
        <w:t>2.1供应商应按须知前附表规定的时间、地点，于响应文件提交截止时间前现场签到并提交响应文件。</w:t>
      </w:r>
    </w:p>
    <w:p w14:paraId="78F2DEE7">
      <w:pPr>
        <w:pStyle w:val="15"/>
        <w:spacing w:line="500" w:lineRule="exact"/>
        <w:ind w:firstLine="480" w:firstLineChars="200"/>
        <w:rPr>
          <w:rFonts w:hAnsi="宋体"/>
          <w:bCs/>
          <w:sz w:val="24"/>
          <w:szCs w:val="24"/>
          <w:highlight w:val="none"/>
        </w:rPr>
      </w:pPr>
      <w:r>
        <w:rPr>
          <w:rFonts w:hint="eastAsia" w:hAnsi="宋体"/>
          <w:bCs/>
          <w:sz w:val="24"/>
          <w:szCs w:val="24"/>
          <w:highlight w:val="none"/>
        </w:rPr>
        <w:t>2.2在采购文件规定的响应文件提交截止时间以后递交的响应文件将被拒绝并退还给供应商。</w:t>
      </w:r>
    </w:p>
    <w:p w14:paraId="62A44BCD">
      <w:pPr>
        <w:pStyle w:val="3"/>
        <w:spacing w:before="120" w:beforeLines="50" w:after="120" w:afterLines="50" w:line="500" w:lineRule="exact"/>
        <w:jc w:val="center"/>
        <w:rPr>
          <w:rFonts w:ascii="宋体" w:hAnsi="宋体" w:eastAsia="宋体" w:cs="宋体"/>
          <w:sz w:val="24"/>
          <w:szCs w:val="24"/>
          <w:highlight w:val="none"/>
        </w:rPr>
      </w:pPr>
      <w:r>
        <w:rPr>
          <w:rFonts w:hint="eastAsia" w:ascii="宋体" w:hAnsi="宋体" w:eastAsia="宋体" w:cs="宋体"/>
          <w:sz w:val="24"/>
          <w:szCs w:val="24"/>
          <w:highlight w:val="none"/>
        </w:rPr>
        <w:t>（五）磋商程序</w:t>
      </w:r>
      <w:bookmarkEnd w:id="75"/>
      <w:bookmarkEnd w:id="76"/>
    </w:p>
    <w:p w14:paraId="3FE9C279">
      <w:pPr>
        <w:tabs>
          <w:tab w:val="left" w:pos="900"/>
        </w:tabs>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1、磋商人员是按规定组成的三人或三人以上的磋商小组。</w:t>
      </w:r>
    </w:p>
    <w:p w14:paraId="6DEF2A2B">
      <w:pPr>
        <w:tabs>
          <w:tab w:val="left" w:pos="900"/>
        </w:tabs>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2、在掌握了供应商的基本情况后，磋商小组与供应商分别进行磋商。</w:t>
      </w:r>
    </w:p>
    <w:p w14:paraId="6DC1C951">
      <w:pPr>
        <w:tabs>
          <w:tab w:val="left" w:pos="900"/>
        </w:tabs>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3、磋商是分别单独进行的。供应商不得与其他参与磋商的供应商相互串通；磋商小组也不得将与某一供应商的磋商情况向其他供应商及其关系人透露。</w:t>
      </w:r>
    </w:p>
    <w:p w14:paraId="6974E0B1">
      <w:pPr>
        <w:tabs>
          <w:tab w:val="left" w:pos="900"/>
        </w:tabs>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4、磋商采用一轮磋商、两轮报价的方式进行。但最终采取多少轮磋商，由磋商小组视情况而定。</w:t>
      </w:r>
    </w:p>
    <w:p w14:paraId="626725D5">
      <w:pPr>
        <w:spacing w:before="0" w:after="0" w:line="520" w:lineRule="exact"/>
        <w:ind w:firstLine="480" w:firstLineChars="200"/>
        <w:jc w:val="both"/>
        <w:outlineLvl w:val="9"/>
        <w:rPr>
          <w:rFonts w:ascii="宋体" w:hAnsi="宋体" w:eastAsia="宋体" w:cs="宋体"/>
          <w:b w:val="0"/>
          <w:bCs/>
          <w:sz w:val="24"/>
          <w:szCs w:val="24"/>
          <w:highlight w:val="none"/>
        </w:rPr>
      </w:pPr>
      <w:bookmarkStart w:id="77" w:name="_Toc8817"/>
      <w:bookmarkStart w:id="78" w:name="_Toc6912"/>
      <w:r>
        <w:rPr>
          <w:rFonts w:hint="eastAsia" w:ascii="宋体" w:hAnsi="宋体" w:eastAsia="宋体" w:cs="宋体"/>
          <w:b w:val="0"/>
          <w:bCs/>
          <w:sz w:val="24"/>
          <w:szCs w:val="24"/>
          <w:highlight w:val="none"/>
        </w:rPr>
        <w:t>5、磋商结束后，磋商小组将要求所有符合条件的供应商在规定的时间内进行最后的报价。供应商应在磋商小组发出二轮报价指令后30分钟内通过</w:t>
      </w:r>
      <w:r>
        <w:rPr>
          <w:rFonts w:hint="eastAsia" w:ascii="宋体" w:hAnsi="宋体" w:eastAsia="宋体" w:cs="宋体"/>
          <w:b w:val="0"/>
          <w:bCs/>
          <w:sz w:val="24"/>
          <w:szCs w:val="24"/>
          <w:highlight w:val="none"/>
          <w:lang w:val="en-US" w:eastAsia="zh-CN"/>
        </w:rPr>
        <w:t>现场</w:t>
      </w:r>
      <w:r>
        <w:rPr>
          <w:rFonts w:hint="eastAsia" w:ascii="宋体" w:hAnsi="宋体" w:eastAsia="宋体" w:cs="宋体"/>
          <w:b w:val="0"/>
          <w:bCs/>
          <w:sz w:val="24"/>
          <w:szCs w:val="24"/>
          <w:highlight w:val="none"/>
        </w:rPr>
        <w:t>报价。</w:t>
      </w:r>
      <w:bookmarkEnd w:id="77"/>
      <w:bookmarkEnd w:id="78"/>
    </w:p>
    <w:p w14:paraId="23B0EA60">
      <w:pPr>
        <w:tabs>
          <w:tab w:val="left" w:pos="900"/>
        </w:tabs>
        <w:spacing w:line="520" w:lineRule="exact"/>
        <w:ind w:firstLine="480" w:firstLineChars="200"/>
        <w:jc w:val="left"/>
        <w:rPr>
          <w:rFonts w:ascii="宋体" w:hAnsi="宋体" w:cs="宋体"/>
          <w:b/>
          <w:bCs/>
          <w:sz w:val="24"/>
          <w:szCs w:val="24"/>
          <w:highlight w:val="none"/>
        </w:rPr>
      </w:pPr>
      <w:r>
        <w:rPr>
          <w:rFonts w:hint="eastAsia" w:ascii="宋体" w:hAnsi="宋体" w:cs="宋体"/>
          <w:sz w:val="24"/>
          <w:szCs w:val="24"/>
          <w:highlight w:val="none"/>
        </w:rPr>
        <w:t>6、供应商必须在规定的时间内将自己在磋商中作出的澄清、变动以及最终的报价，经供应商</w:t>
      </w:r>
      <w:r>
        <w:rPr>
          <w:rFonts w:hint="eastAsia" w:ascii="宋体" w:hAnsi="宋体" w:cs="宋体"/>
          <w:sz w:val="24"/>
          <w:szCs w:val="24"/>
          <w:highlight w:val="none"/>
          <w:lang w:val="en-US" w:eastAsia="zh-CN"/>
        </w:rPr>
        <w:t>确认后现场</w:t>
      </w:r>
      <w:r>
        <w:rPr>
          <w:rFonts w:hint="eastAsia" w:ascii="宋体" w:hAnsi="宋体" w:cs="宋体"/>
          <w:sz w:val="24"/>
          <w:szCs w:val="24"/>
          <w:highlight w:val="none"/>
        </w:rPr>
        <w:t>交给磋商小组。</w:t>
      </w:r>
    </w:p>
    <w:p w14:paraId="36D00D0B">
      <w:pPr>
        <w:pStyle w:val="3"/>
        <w:spacing w:before="120" w:beforeLines="50" w:after="120" w:afterLines="50" w:line="520" w:lineRule="exact"/>
        <w:jc w:val="center"/>
        <w:rPr>
          <w:rFonts w:ascii="宋体" w:hAnsi="宋体" w:eastAsia="宋体" w:cs="宋体"/>
          <w:sz w:val="24"/>
          <w:szCs w:val="24"/>
          <w:highlight w:val="none"/>
        </w:rPr>
      </w:pPr>
      <w:bookmarkStart w:id="79" w:name="_Toc11542"/>
      <w:bookmarkStart w:id="80" w:name="_Toc7501"/>
      <w:r>
        <w:rPr>
          <w:rFonts w:hint="eastAsia" w:ascii="宋体" w:hAnsi="宋体" w:eastAsia="宋体" w:cs="宋体"/>
          <w:sz w:val="24"/>
          <w:szCs w:val="24"/>
          <w:highlight w:val="none"/>
        </w:rPr>
        <w:t>（六）评审及异常情况处理</w:t>
      </w:r>
      <w:bookmarkEnd w:id="79"/>
      <w:bookmarkEnd w:id="80"/>
    </w:p>
    <w:p w14:paraId="7AD7043C">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1、磋商小组将遵循公平、公正的原则，对供应商最终提交的确认价进行综合评审，根据得分由高到低顺序推荐不少于3名成交候选供应商。</w:t>
      </w:r>
    </w:p>
    <w:p w14:paraId="5657D9E2">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2、磋商时出现以下情况之一的，将予以废标：</w:t>
      </w:r>
    </w:p>
    <w:p w14:paraId="31272C82">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（1）符合专业条件的供应商或者对采购文件作实质性响应的供应商不足三家的</w:t>
      </w:r>
      <w:r>
        <w:rPr>
          <w:rFonts w:hint="eastAsia" w:ascii="宋体" w:hAnsi="宋体" w:cs="宋体"/>
          <w:sz w:val="24"/>
          <w:szCs w:val="24"/>
          <w:highlight w:val="none"/>
          <w:lang w:eastAsia="zh-CN"/>
        </w:rPr>
        <w:t>。</w:t>
      </w:r>
      <w:r>
        <w:rPr>
          <w:rFonts w:hint="eastAsia" w:ascii="宋体" w:hAnsi="宋体" w:cs="宋体"/>
          <w:sz w:val="24"/>
          <w:szCs w:val="24"/>
          <w:highlight w:val="none"/>
        </w:rPr>
        <w:t>提交响应文件的供应商少于3家的，采购人将依法重新组织采购活动或经主管部门同意后转为其他采购方式。</w:t>
      </w:r>
    </w:p>
    <w:p w14:paraId="3AABA4CF">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注：在采购过程中符合要求的供应商只有2家的，采购活动可以继续进行。符合要求的供应商只有1家的，转为单一来源）；</w:t>
      </w:r>
    </w:p>
    <w:p w14:paraId="5541A9F0">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（2）供应商的报价均超过了采购预算，经过多轮磋商仍不能降到预算内、且采购人不能支付的；</w:t>
      </w:r>
    </w:p>
    <w:p w14:paraId="7F917838">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（3）经过磋商，供应商所提供的服务仍无法满足磋商文件实质性要求、影响工作的；</w:t>
      </w:r>
    </w:p>
    <w:p w14:paraId="6A13B26E">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（4）出现影响采购公正的违法、违规行为的；</w:t>
      </w:r>
    </w:p>
    <w:p w14:paraId="5E5EC2C1">
      <w:pPr>
        <w:spacing w:line="520" w:lineRule="exact"/>
        <w:ind w:firstLine="480" w:firstLineChars="200"/>
        <w:rPr>
          <w:rFonts w:ascii="宋体" w:hAnsi="宋体" w:cs="宋体"/>
          <w:sz w:val="24"/>
          <w:szCs w:val="24"/>
          <w:highlight w:val="none"/>
        </w:rPr>
      </w:pPr>
      <w:r>
        <w:rPr>
          <w:rFonts w:hint="eastAsia" w:ascii="宋体" w:hAnsi="宋体" w:cs="宋体"/>
          <w:sz w:val="24"/>
          <w:szCs w:val="24"/>
          <w:highlight w:val="none"/>
        </w:rPr>
        <w:t>（5）因重大变故，采购任务取消的。</w:t>
      </w:r>
    </w:p>
    <w:p w14:paraId="6EC096A6">
      <w:pPr>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3、重新组织磋商，采购单位将通过</w:t>
      </w:r>
      <w:r>
        <w:rPr>
          <w:rFonts w:hint="eastAsia" w:ascii="宋体" w:hAnsi="宋体" w:cs="宋体"/>
          <w:sz w:val="24"/>
          <w:szCs w:val="24"/>
          <w:highlight w:val="none"/>
          <w:lang w:eastAsia="zh-CN"/>
        </w:rPr>
        <w:t>安徽霍山国有资产投资控股集团有限公司（http：//ahdmig.cn/）网站</w:t>
      </w:r>
      <w:r>
        <w:rPr>
          <w:rFonts w:hint="eastAsia" w:ascii="宋体" w:hAnsi="宋体" w:cs="宋体"/>
          <w:sz w:val="24"/>
          <w:szCs w:val="24"/>
          <w:highlight w:val="none"/>
        </w:rPr>
        <w:t>进行公告。</w:t>
      </w:r>
    </w:p>
    <w:p w14:paraId="3C0317A5">
      <w:pPr>
        <w:pStyle w:val="3"/>
        <w:spacing w:before="120" w:beforeLines="50" w:after="120" w:afterLines="50" w:line="520" w:lineRule="exact"/>
        <w:jc w:val="center"/>
        <w:rPr>
          <w:rFonts w:ascii="宋体" w:hAnsi="宋体" w:eastAsia="宋体" w:cs="宋体"/>
          <w:sz w:val="24"/>
          <w:szCs w:val="24"/>
          <w:highlight w:val="none"/>
        </w:rPr>
      </w:pPr>
      <w:bookmarkStart w:id="81" w:name="_Toc30632"/>
      <w:r>
        <w:rPr>
          <w:rFonts w:hint="eastAsia" w:ascii="宋体" w:hAnsi="宋体" w:eastAsia="宋体" w:cs="宋体"/>
          <w:sz w:val="24"/>
          <w:szCs w:val="24"/>
          <w:highlight w:val="none"/>
        </w:rPr>
        <w:t>（七）报价响应及答疑</w:t>
      </w:r>
      <w:bookmarkEnd w:id="81"/>
    </w:p>
    <w:p w14:paraId="24F6979C">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1、响应报价应含有所投服务各环节所发生的一切费用。</w:t>
      </w:r>
    </w:p>
    <w:p w14:paraId="11028A2D">
      <w:pPr>
        <w:spacing w:line="520" w:lineRule="exact"/>
        <w:ind w:firstLine="480" w:firstLineChars="200"/>
        <w:rPr>
          <w:rFonts w:hint="eastAsia" w:ascii="宋体" w:hAnsi="宋体" w:cs="宋体"/>
          <w:sz w:val="24"/>
          <w:szCs w:val="24"/>
          <w:highlight w:val="none"/>
        </w:rPr>
      </w:pPr>
      <w:bookmarkStart w:id="82" w:name="_Toc19999"/>
      <w:r>
        <w:rPr>
          <w:rFonts w:hint="eastAsia" w:ascii="宋体" w:hAnsi="宋体" w:cs="宋体"/>
          <w:sz w:val="24"/>
          <w:szCs w:val="24"/>
          <w:highlight w:val="none"/>
        </w:rPr>
        <w:t>2、如有需要，供应商应自行对服务现场和周围环境进行勘察，以获取编制响应文件和签署合同所需的资料。勘察现场所发生的费用由供应商自行承担。采购人向供应商提供的有关服务现场的资料和数据，是采购人现有的能使供应商利用的资料。采购人对供应商由此而做出的推论、理解和结论概不负责。供应商因自身原因未到服务现场实地踏勘的，成交后签订合同时和履约过程中，不得以不完全了解现场情况为由，提出任何形式的增加合同外服务费用或索赔的要求。</w:t>
      </w:r>
    </w:p>
    <w:p w14:paraId="3B2C2B7E">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3、供应商如果对磋商文件的其他任何内容有相关疑问，可以电联形式提出（疑问文件以文档形式提供，如WORD文档等）。</w:t>
      </w:r>
    </w:p>
    <w:p w14:paraId="2DCDCA93">
      <w:pPr>
        <w:spacing w:line="520" w:lineRule="exact"/>
        <w:ind w:firstLine="480" w:firstLineChars="200"/>
        <w:rPr>
          <w:rFonts w:hint="eastAsia" w:ascii="宋体" w:hAnsi="宋体" w:cs="宋体"/>
          <w:sz w:val="24"/>
          <w:szCs w:val="24"/>
          <w:highlight w:val="none"/>
        </w:rPr>
      </w:pPr>
      <w:r>
        <w:rPr>
          <w:rFonts w:hint="eastAsia" w:ascii="宋体" w:hAnsi="宋体" w:cs="宋体"/>
          <w:sz w:val="24"/>
          <w:szCs w:val="24"/>
          <w:highlight w:val="none"/>
        </w:rPr>
        <w:t>4、供应商应确保其所提供的响应资料的真实性、有效性及合法性，否则，由此引起的任何责任由其自行承担。</w:t>
      </w:r>
    </w:p>
    <w:p w14:paraId="5C0C659E">
      <w:pPr>
        <w:pStyle w:val="3"/>
        <w:spacing w:before="120" w:beforeLines="50" w:after="120" w:afterLines="50" w:line="520" w:lineRule="exact"/>
        <w:jc w:val="center"/>
        <w:rPr>
          <w:rFonts w:ascii="宋体" w:hAnsi="宋体" w:eastAsia="宋体" w:cs="宋体"/>
          <w:sz w:val="24"/>
          <w:szCs w:val="24"/>
          <w:highlight w:val="none"/>
        </w:rPr>
      </w:pPr>
      <w:r>
        <w:rPr>
          <w:rFonts w:hint="eastAsia" w:ascii="宋体" w:hAnsi="宋体" w:eastAsia="宋体" w:cs="宋体"/>
          <w:sz w:val="24"/>
          <w:szCs w:val="24"/>
          <w:highlight w:val="none"/>
        </w:rPr>
        <w:t>（八）合同的签订</w:t>
      </w:r>
      <w:bookmarkEnd w:id="82"/>
    </w:p>
    <w:p w14:paraId="7D895F49">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1、采购人应尽量缩短采购合同签订时间，不得晚于中标（成交）通知书发放之日起 7 个工作日。无正当理由不得拒绝或者拖延签订合同，因供应商自身原因导致无法及时签订的除外。采购文件、成交供应商的响应文件及澄清文件等，均作为合同的附件。</w:t>
      </w:r>
    </w:p>
    <w:p w14:paraId="73418FC2">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2、</w:t>
      </w:r>
      <w:r>
        <w:rPr>
          <w:rFonts w:ascii="宋体" w:hAnsi="宋体" w:cs="Arial"/>
          <w:sz w:val="24"/>
          <w:szCs w:val="24"/>
          <w:highlight w:val="none"/>
        </w:rPr>
        <w:t>采购</w:t>
      </w:r>
      <w:r>
        <w:rPr>
          <w:rFonts w:hint="eastAsia" w:ascii="宋体" w:hAnsi="宋体" w:cs="Arial"/>
          <w:sz w:val="24"/>
          <w:szCs w:val="24"/>
          <w:highlight w:val="none"/>
        </w:rPr>
        <w:t>单位</w:t>
      </w:r>
      <w:r>
        <w:rPr>
          <w:rFonts w:ascii="宋体" w:hAnsi="宋体" w:cs="Arial"/>
          <w:sz w:val="24"/>
          <w:szCs w:val="24"/>
          <w:highlight w:val="none"/>
        </w:rPr>
        <w:t>在签订合同时，可以在不改变合同其他条款的前提下变更采购数量，但变更的金额不得超过成交总价的10%。</w:t>
      </w:r>
    </w:p>
    <w:p w14:paraId="16995849">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3、</w:t>
      </w:r>
      <w:r>
        <w:rPr>
          <w:rFonts w:ascii="宋体" w:hAnsi="宋体" w:cs="Arial"/>
          <w:sz w:val="24"/>
          <w:szCs w:val="24"/>
          <w:highlight w:val="none"/>
        </w:rPr>
        <w:t>成交供应商因不可抗力或者自身原因不能在规定的时间内与采购人签订采购</w:t>
      </w:r>
      <w:r>
        <w:rPr>
          <w:rFonts w:hint="eastAsia" w:ascii="宋体" w:hAnsi="宋体" w:cs="Arial"/>
          <w:sz w:val="24"/>
          <w:szCs w:val="24"/>
          <w:highlight w:val="none"/>
        </w:rPr>
        <w:t>合同，采购人可以与排在成交供应商后第一位的候选供应商签订采购合同，以此类推或重新组织采购。</w:t>
      </w:r>
    </w:p>
    <w:p w14:paraId="05CBBF05">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4、因政策变化等原因不能签订合同，造成企业合法利益受损的情形，采购人可以与供应商充分协商，给予合理补偿。</w:t>
      </w:r>
    </w:p>
    <w:p w14:paraId="13131ED4">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5、在签订合同时，供应商书面明确表示无需预付款或者主动要求降低预付款比例的，采购人可不适用前述（即付款方式）规定。</w:t>
      </w:r>
    </w:p>
    <w:p w14:paraId="71FC68EB">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6、采购文件和合同中没有约定预付款的，经供应商申请，采购人可以支付预付款。</w:t>
      </w:r>
    </w:p>
    <w:p w14:paraId="5EB90D84">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7、采购人可根据项目特点、供应商诚信等因素，要求供应商提交银行、保险公司、担保公司等金融机构出具的预付款保函或其他担保措施。</w:t>
      </w:r>
    </w:p>
    <w:p w14:paraId="458DDDEE">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8、政府采购预付款应在合同、担保措施生效以及具备实施条件后 5 个工作日内支付。</w:t>
      </w:r>
    </w:p>
    <w:p w14:paraId="218A5E70">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9、延迟支付中小企业款项的，供应商可要求采购人按照合同约定支付逾期利息，合同没有约定的，按照同期人民银行 LPR支付逾期利息。</w:t>
      </w:r>
    </w:p>
    <w:p w14:paraId="366D4754">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10、成交供应商无正当理由不与采购人订立合同的处罚依据：</w:t>
      </w:r>
    </w:p>
    <w:p w14:paraId="0656149A">
      <w:pPr>
        <w:spacing w:line="520" w:lineRule="exact"/>
        <w:ind w:firstLine="480" w:firstLineChars="200"/>
        <w:jc w:val="left"/>
        <w:rPr>
          <w:rFonts w:ascii="宋体" w:hAnsi="宋体" w:cs="Arial"/>
          <w:sz w:val="24"/>
          <w:szCs w:val="24"/>
          <w:highlight w:val="none"/>
        </w:rPr>
      </w:pPr>
      <w:r>
        <w:rPr>
          <w:rFonts w:hint="eastAsia" w:ascii="宋体" w:hAnsi="宋体" w:cs="Arial"/>
          <w:sz w:val="24"/>
          <w:szCs w:val="24"/>
          <w:highlight w:val="none"/>
        </w:rPr>
        <w:t>（1）《中华人民共和国政府采购法实施条例》</w:t>
      </w:r>
    </w:p>
    <w:p w14:paraId="3C510376">
      <w:pPr>
        <w:pStyle w:val="33"/>
        <w:spacing w:after="0" w:line="520" w:lineRule="exact"/>
        <w:ind w:firstLine="480" w:firstLineChars="200"/>
        <w:rPr>
          <w:highlight w:val="none"/>
        </w:rPr>
      </w:pPr>
      <w:r>
        <w:rPr>
          <w:rFonts w:hint="eastAsia"/>
          <w:highlight w:val="none"/>
        </w:rPr>
        <w:t>第七十二条 供应商有下列情形之一的，依照政府采购法第七十七条第一款的规定追究法律责任：……</w:t>
      </w:r>
    </w:p>
    <w:p w14:paraId="3F9133C2">
      <w:pPr>
        <w:pStyle w:val="33"/>
        <w:spacing w:after="0" w:line="520" w:lineRule="exact"/>
        <w:ind w:firstLine="480" w:firstLineChars="200"/>
        <w:rPr>
          <w:highlight w:val="none"/>
        </w:rPr>
      </w:pPr>
      <w:r>
        <w:rPr>
          <w:rFonts w:hint="eastAsia"/>
          <w:highlight w:val="none"/>
        </w:rPr>
        <w:t>（二）中标或者成交后无正当理由拒不与采购人签订政府采购合同；……</w:t>
      </w:r>
    </w:p>
    <w:p w14:paraId="7FBC31B0">
      <w:pPr>
        <w:pStyle w:val="33"/>
        <w:spacing w:after="0" w:line="520" w:lineRule="exact"/>
        <w:ind w:firstLine="480" w:firstLineChars="200"/>
        <w:rPr>
          <w:highlight w:val="none"/>
        </w:rPr>
      </w:pPr>
      <w:r>
        <w:rPr>
          <w:rFonts w:hint="eastAsia"/>
          <w:highlight w:val="none"/>
        </w:rPr>
        <w:t>（2）《中华人民共和国政府采购法》</w:t>
      </w:r>
    </w:p>
    <w:p w14:paraId="241E5143">
      <w:pPr>
        <w:pStyle w:val="33"/>
        <w:spacing w:after="0" w:line="520" w:lineRule="exact"/>
        <w:ind w:firstLine="480" w:firstLineChars="200"/>
        <w:rPr>
          <w:highlight w:val="none"/>
        </w:rPr>
      </w:pPr>
      <w:r>
        <w:rPr>
          <w:rFonts w:hint="eastAsia"/>
          <w:highlight w:val="none"/>
        </w:rPr>
        <w:t>第七十七条 供应商有下列情形之一的，处以采购金额千分之五以上千分之十以下的罚款，列入不良行为记录名单，在一至三年内禁止参加政府采购活动，有违法所得的，并处没收违法所得，情节严重的，由工商行政管理机关吊销营业执照；构成犯罪的，依法追究刑事责任：……</w:t>
      </w:r>
    </w:p>
    <w:p w14:paraId="39069F38">
      <w:pPr>
        <w:pStyle w:val="33"/>
        <w:spacing w:after="0" w:line="520" w:lineRule="exact"/>
        <w:ind w:firstLine="480" w:firstLineChars="200"/>
        <w:rPr>
          <w:highlight w:val="none"/>
        </w:rPr>
      </w:pPr>
      <w:r>
        <w:rPr>
          <w:rFonts w:hint="eastAsia"/>
          <w:highlight w:val="none"/>
        </w:rPr>
        <w:t>（3）《政府采购非招标采购方式管理办法》（财政部令第74号）</w:t>
      </w:r>
    </w:p>
    <w:p w14:paraId="3D4A323A">
      <w:pPr>
        <w:pStyle w:val="33"/>
        <w:spacing w:after="0" w:line="520" w:lineRule="exact"/>
        <w:ind w:firstLine="480" w:firstLineChars="200"/>
        <w:rPr>
          <w:highlight w:val="none"/>
        </w:rPr>
      </w:pPr>
      <w:r>
        <w:rPr>
          <w:rFonts w:hint="eastAsia"/>
          <w:highlight w:val="none"/>
        </w:rPr>
        <w:t>第五十四条 成交供应商有下列情形之一的，责令限期整改，情节严重的，列入不良行为记录名单，在1至3年内禁止参加政府采购活动，并予以通报：……</w:t>
      </w:r>
    </w:p>
    <w:p w14:paraId="3AB8DCFC">
      <w:pPr>
        <w:pStyle w:val="33"/>
        <w:spacing w:after="0" w:line="520" w:lineRule="exact"/>
        <w:ind w:firstLine="480" w:firstLineChars="200"/>
        <w:rPr>
          <w:rFonts w:ascii="宋体" w:hAnsi="宋体" w:cs="宋体"/>
          <w:szCs w:val="24"/>
          <w:highlight w:val="none"/>
        </w:rPr>
      </w:pPr>
      <w:r>
        <w:rPr>
          <w:rFonts w:hint="eastAsia"/>
          <w:highlight w:val="none"/>
        </w:rPr>
        <w:t>（二）成交后无正当理由不与采购人签订合同的；……</w:t>
      </w:r>
    </w:p>
    <w:p w14:paraId="7BB7D910">
      <w:pPr>
        <w:pStyle w:val="3"/>
        <w:spacing w:before="120" w:beforeLines="50" w:after="120" w:afterLines="50" w:line="520" w:lineRule="exact"/>
        <w:jc w:val="center"/>
        <w:rPr>
          <w:rFonts w:ascii="宋体" w:hAnsi="宋体" w:eastAsia="宋体" w:cs="宋体"/>
          <w:sz w:val="24"/>
          <w:szCs w:val="24"/>
          <w:highlight w:val="none"/>
        </w:rPr>
      </w:pPr>
      <w:bookmarkStart w:id="83" w:name="_Toc1832"/>
      <w:r>
        <w:rPr>
          <w:rFonts w:hint="eastAsia" w:ascii="宋体" w:hAnsi="宋体" w:eastAsia="宋体" w:cs="宋体"/>
          <w:sz w:val="24"/>
          <w:szCs w:val="24"/>
          <w:highlight w:val="none"/>
        </w:rPr>
        <w:t>（九）澄清及变更</w:t>
      </w:r>
      <w:bookmarkEnd w:id="83"/>
    </w:p>
    <w:p w14:paraId="6E3E27A4">
      <w:pPr>
        <w:spacing w:line="520" w:lineRule="exact"/>
        <w:ind w:firstLine="480" w:firstLineChars="200"/>
        <w:rPr>
          <w:highlight w:val="none"/>
        </w:rPr>
      </w:pPr>
      <w:r>
        <w:rPr>
          <w:rFonts w:hint="eastAsia" w:ascii="宋体" w:hAnsi="宋体"/>
          <w:sz w:val="24"/>
          <w:szCs w:val="24"/>
          <w:highlight w:val="none"/>
        </w:rPr>
        <w:t>磋商文件如有澄清及变更，将以网上公告形式发布，请供应商及时关注。</w:t>
      </w:r>
    </w:p>
    <w:p w14:paraId="519F4703">
      <w:pPr>
        <w:pStyle w:val="3"/>
        <w:spacing w:before="120" w:beforeLines="50" w:after="120" w:afterLines="50" w:line="520" w:lineRule="exact"/>
        <w:jc w:val="center"/>
        <w:rPr>
          <w:rFonts w:ascii="宋体" w:hAnsi="宋体" w:eastAsia="宋体" w:cs="宋体"/>
          <w:sz w:val="24"/>
          <w:szCs w:val="24"/>
          <w:highlight w:val="none"/>
        </w:rPr>
      </w:pPr>
      <w:bookmarkStart w:id="84" w:name="_Toc18928"/>
      <w:r>
        <w:rPr>
          <w:rFonts w:hint="eastAsia" w:ascii="宋体" w:hAnsi="宋体" w:eastAsia="宋体" w:cs="宋体"/>
          <w:sz w:val="24"/>
          <w:szCs w:val="24"/>
          <w:highlight w:val="none"/>
        </w:rPr>
        <w:t>（十）验收</w:t>
      </w:r>
      <w:bookmarkEnd w:id="84"/>
    </w:p>
    <w:p w14:paraId="63A248D5">
      <w:pPr>
        <w:spacing w:line="520" w:lineRule="exact"/>
        <w:ind w:firstLine="480" w:firstLineChars="200"/>
        <w:rPr>
          <w:rFonts w:ascii="宋体" w:hAnsi="宋体"/>
          <w:sz w:val="24"/>
          <w:szCs w:val="24"/>
          <w:highlight w:val="none"/>
        </w:rPr>
      </w:pPr>
      <w:r>
        <w:rPr>
          <w:rFonts w:hint="eastAsia" w:ascii="宋体" w:hAnsi="宋体"/>
          <w:sz w:val="24"/>
          <w:szCs w:val="24"/>
          <w:highlight w:val="none"/>
        </w:rPr>
        <w:t>1、采购人应当在项目完成且收到供应商验收申请后 5 个工作日内组织开展履约验收。</w:t>
      </w:r>
    </w:p>
    <w:p w14:paraId="0D74D09E">
      <w:pPr>
        <w:spacing w:line="520" w:lineRule="exact"/>
        <w:ind w:firstLine="480" w:firstLineChars="200"/>
        <w:rPr>
          <w:rFonts w:ascii="宋体" w:hAnsi="宋体"/>
          <w:sz w:val="24"/>
          <w:szCs w:val="24"/>
          <w:highlight w:val="none"/>
        </w:rPr>
      </w:pPr>
      <w:r>
        <w:rPr>
          <w:rFonts w:hint="eastAsia" w:ascii="宋体" w:hAnsi="宋体"/>
          <w:sz w:val="24"/>
          <w:szCs w:val="24"/>
          <w:highlight w:val="none"/>
        </w:rPr>
        <w:t>2、采购人验收时，应成立三人以上（由合同双方、资产管理人、技术人员、纪检等相关人员组成）验收小组，明确责任，严格依照采购文件、成交通知书、政府采购合同及相关验收规范进行核对、验收，形成验收结论，并出具书面验收报告。</w:t>
      </w:r>
    </w:p>
    <w:p w14:paraId="4159854B">
      <w:pPr>
        <w:spacing w:line="520" w:lineRule="exact"/>
        <w:ind w:firstLine="480" w:firstLineChars="200"/>
        <w:rPr>
          <w:rFonts w:ascii="宋体" w:hAnsi="宋体"/>
          <w:sz w:val="24"/>
          <w:szCs w:val="24"/>
          <w:highlight w:val="none"/>
        </w:rPr>
      </w:pPr>
      <w:r>
        <w:rPr>
          <w:rFonts w:hint="eastAsia" w:ascii="宋体" w:hAnsi="宋体"/>
          <w:sz w:val="24"/>
          <w:szCs w:val="24"/>
          <w:highlight w:val="none"/>
        </w:rPr>
        <w:t>3、涉及安全、消防、环保等其他需要由质检或行业主管部门进行验收的项目，必须邀请相关部门或相关专家参与验收。</w:t>
      </w:r>
    </w:p>
    <w:p w14:paraId="2CC94EF1">
      <w:pPr>
        <w:pStyle w:val="33"/>
        <w:rPr>
          <w:rFonts w:ascii="宋体" w:hAnsi="宋体"/>
          <w:szCs w:val="24"/>
          <w:highlight w:val="none"/>
        </w:rPr>
      </w:pPr>
      <w:r>
        <w:rPr>
          <w:rFonts w:hint="eastAsia"/>
          <w:highlight w:val="none"/>
        </w:rPr>
        <w:t>4、对于符合支付条件的项目，应</w:t>
      </w:r>
      <w:r>
        <w:rPr>
          <w:rFonts w:hint="eastAsia" w:ascii="宋体" w:hAnsi="宋体"/>
          <w:szCs w:val="24"/>
          <w:highlight w:val="none"/>
        </w:rPr>
        <w:t>在收到发票后7个工作日内将资金支付到合同约定的供应商账户，不得以进行审计作为支付供应商款项的条件。采购人不得以机构变动、人员更替、政策调整、履行内部付款流程等为由延迟付款。</w:t>
      </w:r>
    </w:p>
    <w:p w14:paraId="3846EDAD">
      <w:pPr>
        <w:pStyle w:val="3"/>
        <w:spacing w:before="120" w:beforeLines="50" w:after="120" w:afterLines="50" w:line="520" w:lineRule="exact"/>
        <w:jc w:val="center"/>
        <w:rPr>
          <w:rFonts w:ascii="宋体" w:hAnsi="宋体" w:eastAsia="宋体" w:cs="宋体"/>
          <w:sz w:val="24"/>
          <w:szCs w:val="24"/>
          <w:highlight w:val="none"/>
        </w:rPr>
      </w:pPr>
      <w:bookmarkStart w:id="85" w:name="_Toc3680"/>
      <w:r>
        <w:rPr>
          <w:rFonts w:hint="eastAsia" w:ascii="宋体" w:hAnsi="宋体" w:eastAsia="宋体" w:cs="宋体"/>
          <w:sz w:val="24"/>
          <w:szCs w:val="24"/>
          <w:highlight w:val="none"/>
        </w:rPr>
        <w:t>（十一）质疑</w:t>
      </w:r>
      <w:bookmarkEnd w:id="85"/>
    </w:p>
    <w:p w14:paraId="613E1E04">
      <w:pPr>
        <w:spacing w:line="520" w:lineRule="exact"/>
        <w:ind w:firstLine="480" w:firstLineChars="200"/>
        <w:rPr>
          <w:rFonts w:ascii="宋体" w:hAnsi="宋体"/>
          <w:bCs/>
          <w:sz w:val="24"/>
          <w:highlight w:val="none"/>
        </w:rPr>
      </w:pPr>
      <w:r>
        <w:rPr>
          <w:rFonts w:hint="eastAsia" w:ascii="宋体" w:hAnsi="宋体"/>
          <w:bCs/>
          <w:sz w:val="24"/>
          <w:highlight w:val="none"/>
        </w:rPr>
        <w:t>1、质疑人认为磋商结果使自己的权益受到损害的，可以向采购人及采购代理机构提出质疑。质疑实行实名制，应当有具体的事项及根据，不得进行虚假、恶意质疑，扰乱公共资源交易活动的正常工作秩序。</w:t>
      </w:r>
    </w:p>
    <w:p w14:paraId="48F7A362">
      <w:pPr>
        <w:spacing w:line="520" w:lineRule="exact"/>
        <w:ind w:firstLine="480" w:firstLineChars="200"/>
        <w:rPr>
          <w:rFonts w:ascii="宋体" w:hAnsi="宋体"/>
          <w:bCs/>
          <w:sz w:val="24"/>
          <w:highlight w:val="none"/>
        </w:rPr>
      </w:pPr>
      <w:r>
        <w:rPr>
          <w:rFonts w:hint="eastAsia" w:ascii="宋体" w:hAnsi="宋体"/>
          <w:bCs/>
          <w:sz w:val="24"/>
          <w:highlight w:val="none"/>
        </w:rPr>
        <w:t>2、质疑应在规定时限内提出：</w:t>
      </w:r>
    </w:p>
    <w:p w14:paraId="3F575E6D">
      <w:pPr>
        <w:spacing w:line="520" w:lineRule="exact"/>
        <w:ind w:firstLine="480" w:firstLineChars="200"/>
        <w:rPr>
          <w:rFonts w:ascii="宋体" w:hAnsi="宋体"/>
          <w:bCs/>
          <w:sz w:val="24"/>
          <w:highlight w:val="none"/>
        </w:rPr>
      </w:pPr>
      <w:r>
        <w:rPr>
          <w:rFonts w:hint="eastAsia" w:ascii="宋体" w:hAnsi="宋体"/>
          <w:bCs/>
          <w:sz w:val="24"/>
          <w:highlight w:val="none"/>
        </w:rPr>
        <w:t>对政府采购中标结果的质疑，应在中标结果公布之日起七个工作日内提出。</w:t>
      </w:r>
    </w:p>
    <w:p w14:paraId="02C6EDDF">
      <w:pPr>
        <w:spacing w:line="520" w:lineRule="exact"/>
        <w:ind w:firstLine="480" w:firstLineChars="200"/>
        <w:rPr>
          <w:rFonts w:ascii="宋体" w:hAnsi="宋体"/>
          <w:bCs/>
          <w:sz w:val="24"/>
          <w:highlight w:val="none"/>
        </w:rPr>
      </w:pPr>
      <w:r>
        <w:rPr>
          <w:rFonts w:hint="eastAsia" w:ascii="宋体" w:hAnsi="宋体"/>
          <w:bCs/>
          <w:sz w:val="24"/>
          <w:highlight w:val="none"/>
        </w:rPr>
        <w:t>3、质疑应以书面形式实名提出，书面质疑材料应当包括以下内容：</w:t>
      </w:r>
    </w:p>
    <w:p w14:paraId="639FBE7D">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3.1质疑人的名称、地址、有效联系方式；</w:t>
      </w:r>
    </w:p>
    <w:p w14:paraId="7E07352D">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3.2项目名称、项目编号、包别号（如有）；</w:t>
      </w:r>
    </w:p>
    <w:p w14:paraId="114566D2">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3.3被质疑人名称；</w:t>
      </w:r>
    </w:p>
    <w:p w14:paraId="4E1E542E">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3.4具体的质疑事项、基本事实及必要的证明材料；</w:t>
      </w:r>
    </w:p>
    <w:p w14:paraId="634720FD">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3.5明确的请求及主张；</w:t>
      </w:r>
    </w:p>
    <w:p w14:paraId="4BFB57DE">
      <w:pPr>
        <w:widowControl/>
        <w:spacing w:line="520" w:lineRule="exact"/>
        <w:ind w:firstLine="480" w:firstLineChars="200"/>
        <w:jc w:val="left"/>
        <w:rPr>
          <w:rFonts w:ascii="宋体" w:hAnsi="宋体"/>
          <w:bCs/>
          <w:sz w:val="24"/>
          <w:highlight w:val="none"/>
        </w:rPr>
      </w:pPr>
      <w:r>
        <w:rPr>
          <w:rFonts w:hint="eastAsia" w:ascii="宋体" w:hAnsi="宋体"/>
          <w:bCs/>
          <w:sz w:val="24"/>
          <w:highlight w:val="none"/>
        </w:rPr>
        <w:t>3.6提起质疑的日期。</w:t>
      </w:r>
    </w:p>
    <w:p w14:paraId="5D75B4CA">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质疑人为法人或者其他组织的，应当由法定代表人或其委托代理人（需有委托授权书）签字并加盖公章。</w:t>
      </w:r>
    </w:p>
    <w:p w14:paraId="1EE7C449">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质疑人需要修改、补充质疑材料的，应当在质疑期内提交修改或补充材料。</w:t>
      </w:r>
    </w:p>
    <w:p w14:paraId="6F968376">
      <w:pPr>
        <w:spacing w:line="520" w:lineRule="exact"/>
        <w:ind w:firstLine="480" w:firstLineChars="200"/>
        <w:rPr>
          <w:rFonts w:ascii="宋体" w:hAnsi="宋体"/>
          <w:bCs/>
          <w:sz w:val="24"/>
          <w:szCs w:val="24"/>
          <w:highlight w:val="none"/>
        </w:rPr>
      </w:pPr>
      <w:r>
        <w:rPr>
          <w:rFonts w:hint="eastAsia" w:ascii="宋体" w:hAnsi="宋体"/>
          <w:bCs/>
          <w:sz w:val="24"/>
          <w:szCs w:val="24"/>
          <w:highlight w:val="none"/>
        </w:rPr>
        <w:t>4、有下列情形之一的，不予受理：</w:t>
      </w:r>
    </w:p>
    <w:p w14:paraId="462905C0">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4.1提起质疑的主体不是参与该政府采购项目活动的供应商；</w:t>
      </w:r>
    </w:p>
    <w:p w14:paraId="09ED7424">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4.2提起质疑的时间超过规定时限的；</w:t>
      </w:r>
    </w:p>
    <w:p w14:paraId="7F54B542">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4.3质疑材料不完整的；</w:t>
      </w:r>
    </w:p>
    <w:p w14:paraId="1BC1C12A">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4.4质疑事项含有主观猜测等内容且未提供有效线索、难以查证的；</w:t>
      </w:r>
    </w:p>
    <w:p w14:paraId="3CA004E2">
      <w:pPr>
        <w:widowControl/>
        <w:spacing w:line="520" w:lineRule="exact"/>
        <w:ind w:firstLine="480" w:firstLineChars="200"/>
        <w:jc w:val="left"/>
        <w:rPr>
          <w:rFonts w:ascii="宋体" w:hAnsi="宋体" w:cs="宋体"/>
          <w:kern w:val="0"/>
          <w:sz w:val="24"/>
          <w:szCs w:val="24"/>
          <w:highlight w:val="none"/>
        </w:rPr>
      </w:pPr>
      <w:r>
        <w:rPr>
          <w:rFonts w:hint="eastAsia" w:ascii="宋体" w:hAnsi="宋体" w:cs="宋体"/>
          <w:kern w:val="0"/>
          <w:sz w:val="24"/>
          <w:szCs w:val="24"/>
          <w:highlight w:val="none"/>
        </w:rPr>
        <w:t>4.5对其他投标供应商的投标文件详细内容质疑，无法提供合法来源渠道的；</w:t>
      </w:r>
    </w:p>
    <w:p w14:paraId="0ECCD72D">
      <w:pPr>
        <w:widowControl/>
        <w:spacing w:line="520" w:lineRule="exact"/>
        <w:ind w:firstLine="480" w:firstLineChars="200"/>
        <w:jc w:val="left"/>
        <w:rPr>
          <w:rFonts w:ascii="仿宋_GB2312" w:hAnsi="宋体" w:eastAsia="仿宋_GB2312" w:cs="宋体"/>
          <w:kern w:val="0"/>
          <w:sz w:val="24"/>
          <w:szCs w:val="24"/>
          <w:highlight w:val="none"/>
        </w:rPr>
      </w:pPr>
      <w:r>
        <w:rPr>
          <w:rFonts w:hint="eastAsia" w:ascii="宋体" w:hAnsi="宋体" w:cs="宋体"/>
          <w:kern w:val="0"/>
          <w:sz w:val="24"/>
          <w:szCs w:val="24"/>
          <w:highlight w:val="none"/>
        </w:rPr>
        <w:t>4.6质疑事项已进入投诉处理、行政复议或行政诉讼程序的。</w:t>
      </w:r>
    </w:p>
    <w:p w14:paraId="07DE9765">
      <w:pPr>
        <w:spacing w:line="520" w:lineRule="exact"/>
        <w:ind w:firstLine="480" w:firstLineChars="200"/>
        <w:rPr>
          <w:rFonts w:ascii="宋体" w:hAnsi="宋体"/>
          <w:bCs/>
          <w:sz w:val="24"/>
          <w:highlight w:val="none"/>
        </w:rPr>
      </w:pPr>
      <w:r>
        <w:rPr>
          <w:rFonts w:hint="eastAsia" w:ascii="宋体" w:hAnsi="宋体"/>
          <w:bCs/>
          <w:sz w:val="24"/>
          <w:highlight w:val="none"/>
        </w:rPr>
        <w:t>5、经审查符合质疑条件的，自收到质疑之日起即为受理。采购人及采购代理机构将在质疑受理后7个工作日内作出答复或相关处理决定，并以书面形式通知质疑人，答复的内容不得涉及商业秘密。</w:t>
      </w:r>
    </w:p>
    <w:p w14:paraId="00E205E7">
      <w:pPr>
        <w:spacing w:line="520" w:lineRule="exact"/>
        <w:ind w:firstLine="480" w:firstLineChars="200"/>
        <w:rPr>
          <w:rFonts w:ascii="宋体" w:hAnsi="宋体"/>
          <w:bCs/>
          <w:sz w:val="24"/>
          <w:highlight w:val="none"/>
        </w:rPr>
      </w:pPr>
      <w:r>
        <w:rPr>
          <w:rFonts w:hint="eastAsia" w:ascii="宋体" w:hAnsi="宋体"/>
          <w:bCs/>
          <w:sz w:val="24"/>
          <w:highlight w:val="none"/>
        </w:rPr>
        <w:t>6、质疑人在答复期满前撤回质疑的，应由法定代表人或授权代表人签字确认，即终止质疑处理程序。质疑人不得以同一理由再次提出质疑。</w:t>
      </w:r>
    </w:p>
    <w:p w14:paraId="384E1442">
      <w:pPr>
        <w:spacing w:line="520" w:lineRule="exact"/>
        <w:ind w:firstLine="480" w:firstLineChars="200"/>
        <w:rPr>
          <w:rFonts w:ascii="宋体" w:hAnsi="宋体"/>
          <w:bCs/>
          <w:sz w:val="24"/>
          <w:highlight w:val="none"/>
        </w:rPr>
      </w:pPr>
      <w:r>
        <w:rPr>
          <w:rFonts w:hint="eastAsia" w:ascii="宋体" w:hAnsi="宋体"/>
          <w:bCs/>
          <w:sz w:val="24"/>
          <w:highlight w:val="none"/>
        </w:rPr>
        <w:t>质疑人对质疑答复不满意或采购人及采购代理机构未在规定时间内做出答复的，可以在规定期限内向</w:t>
      </w:r>
      <w:r>
        <w:rPr>
          <w:rFonts w:hint="eastAsia" w:ascii="宋体" w:hAnsi="宋体"/>
          <w:bCs/>
          <w:sz w:val="24"/>
          <w:highlight w:val="none"/>
          <w:lang w:val="en-US" w:eastAsia="zh-CN"/>
        </w:rPr>
        <w:t>霍山县城关小学</w:t>
      </w:r>
      <w:r>
        <w:rPr>
          <w:rFonts w:hint="eastAsia" w:ascii="宋体" w:hAnsi="宋体"/>
          <w:bCs/>
          <w:sz w:val="24"/>
          <w:highlight w:val="none"/>
        </w:rPr>
        <w:t>提起投诉。</w:t>
      </w:r>
    </w:p>
    <w:p w14:paraId="5FBBE73F">
      <w:pPr>
        <w:spacing w:line="520" w:lineRule="exact"/>
        <w:ind w:firstLine="480" w:firstLineChars="200"/>
        <w:rPr>
          <w:rFonts w:hint="eastAsia" w:ascii="宋体" w:hAnsi="宋体"/>
          <w:bCs/>
          <w:sz w:val="24"/>
          <w:highlight w:val="none"/>
        </w:rPr>
      </w:pPr>
      <w:r>
        <w:rPr>
          <w:rFonts w:hint="eastAsia" w:ascii="宋体" w:hAnsi="宋体"/>
          <w:bCs/>
          <w:sz w:val="24"/>
          <w:highlight w:val="none"/>
        </w:rPr>
        <w:t>质疑人应在答复期满后十五个工作日内提起投诉。</w:t>
      </w:r>
    </w:p>
    <w:p w14:paraId="3D7AD3C0">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rPr>
        <w:t>7、</w:t>
      </w:r>
      <w:bookmarkStart w:id="86" w:name="_Toc216158630"/>
      <w:r>
        <w:rPr>
          <w:rFonts w:hint="eastAsia" w:ascii="宋体" w:hAnsi="宋体"/>
          <w:bCs/>
          <w:sz w:val="24"/>
          <w:highlight w:val="none"/>
          <w:lang w:val="en-US" w:eastAsia="zh-CN"/>
        </w:rPr>
        <w:t>投诉人在全国范围12个月内三次以上投诉查无实据的，由财政部门列入不良行为记录名单。</w:t>
      </w:r>
    </w:p>
    <w:p w14:paraId="6178382B">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投诉人有下列行为之一的，属于虚假、恶意投诉，由财政部门列入不良行为记录名单，禁止其1至3年内参加政府采购活动：</w:t>
      </w:r>
    </w:p>
    <w:p w14:paraId="407330A1">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（一）捏造事实；</w:t>
      </w:r>
    </w:p>
    <w:p w14:paraId="0AA063A7">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（二）提供虚假材料；</w:t>
      </w:r>
    </w:p>
    <w:p w14:paraId="2992A6B1">
      <w:pPr>
        <w:spacing w:line="520" w:lineRule="exact"/>
        <w:ind w:firstLine="480" w:firstLineChars="200"/>
        <w:rPr>
          <w:rFonts w:hint="eastAsia" w:ascii="宋体" w:hAnsi="宋体"/>
          <w:bCs/>
          <w:sz w:val="24"/>
          <w:highlight w:val="none"/>
          <w:lang w:val="en-US" w:eastAsia="zh-CN"/>
        </w:rPr>
      </w:pPr>
      <w:r>
        <w:rPr>
          <w:rFonts w:hint="eastAsia" w:ascii="宋体" w:hAnsi="宋体"/>
          <w:bCs/>
          <w:sz w:val="24"/>
          <w:highlight w:val="none"/>
          <w:lang w:val="en-US" w:eastAsia="zh-CN"/>
        </w:rPr>
        <w:t>（三）以非法手段取得证明材料。证据来源的合法性存在明显疑问，投诉人无法证明其取得方式合法的，视为以非法手段取得证明材料。</w:t>
      </w:r>
    </w:p>
    <w:p w14:paraId="5A90753B">
      <w:pPr>
        <w:rPr>
          <w:rFonts w:hint="eastAsia" w:ascii="宋体" w:hAnsi="宋体"/>
          <w:bCs/>
          <w:sz w:val="24"/>
          <w:highlight w:val="none"/>
          <w:lang w:val="en-US" w:eastAsia="zh-CN"/>
        </w:rPr>
      </w:pPr>
      <w:r>
        <w:rPr>
          <w:rFonts w:hint="eastAsia" w:ascii="宋体" w:hAnsi="宋体"/>
          <w:bCs/>
          <w:sz w:val="24"/>
          <w:highlight w:val="none"/>
          <w:lang w:val="en-US" w:eastAsia="zh-CN"/>
        </w:rPr>
        <w:br w:type="page"/>
      </w:r>
    </w:p>
    <w:p w14:paraId="67A0B53C">
      <w:pPr>
        <w:pStyle w:val="2"/>
        <w:spacing w:before="0" w:after="0" w:line="560" w:lineRule="exact"/>
        <w:jc w:val="center"/>
        <w:outlineLvl w:val="0"/>
        <w:rPr>
          <w:rFonts w:ascii="宋体" w:hAnsi="宋体" w:eastAsia="宋体" w:cs="宋体"/>
          <w:b/>
          <w:bCs/>
          <w:sz w:val="30"/>
          <w:szCs w:val="30"/>
          <w:highlight w:val="none"/>
        </w:rPr>
      </w:pPr>
      <w:bookmarkStart w:id="87" w:name="_Toc22378"/>
      <w:bookmarkStart w:id="88" w:name="_Toc27341"/>
      <w:r>
        <w:rPr>
          <w:rFonts w:hint="eastAsia" w:ascii="宋体" w:hAnsi="宋体" w:eastAsia="宋体" w:cs="宋体"/>
          <w:b/>
          <w:bCs/>
          <w:sz w:val="30"/>
          <w:szCs w:val="30"/>
          <w:highlight w:val="none"/>
        </w:rPr>
        <w:t>二、采购合同</w:t>
      </w:r>
      <w:bookmarkEnd w:id="87"/>
      <w:bookmarkEnd w:id="88"/>
    </w:p>
    <w:bookmarkEnd w:id="86"/>
    <w:p w14:paraId="246AD3C5">
      <w:pPr>
        <w:pStyle w:val="55"/>
        <w:tabs>
          <w:tab w:val="left" w:pos="1978"/>
          <w:tab w:val="center" w:pos="4482"/>
        </w:tabs>
        <w:jc w:val="center"/>
        <w:outlineLvl w:val="9"/>
        <w:rPr>
          <w:sz w:val="32"/>
          <w:szCs w:val="32"/>
          <w:highlight w:val="none"/>
        </w:rPr>
      </w:pPr>
      <w:bookmarkStart w:id="89" w:name="_Toc363199273"/>
      <w:r>
        <w:rPr>
          <w:rFonts w:hint="eastAsia"/>
          <w:sz w:val="32"/>
          <w:szCs w:val="32"/>
          <w:highlight w:val="none"/>
        </w:rPr>
        <w:t>（</w:t>
      </w:r>
      <w:r>
        <w:rPr>
          <w:rFonts w:hint="eastAsia"/>
          <w:bCs/>
          <w:sz w:val="28"/>
          <w:szCs w:val="28"/>
          <w:highlight w:val="none"/>
        </w:rPr>
        <w:t>甲乙双方自行拟定</w:t>
      </w:r>
      <w:r>
        <w:rPr>
          <w:rFonts w:hint="eastAsia" w:ascii="Times New Roman" w:hAnsi="Times New Roman"/>
          <w:bCs/>
          <w:sz w:val="28"/>
          <w:szCs w:val="28"/>
          <w:highlight w:val="none"/>
        </w:rPr>
        <w:t>，但不得有违背采购文件精神的条款。</w:t>
      </w:r>
      <w:r>
        <w:rPr>
          <w:rFonts w:hint="eastAsia"/>
          <w:sz w:val="32"/>
          <w:szCs w:val="32"/>
          <w:highlight w:val="none"/>
        </w:rPr>
        <w:t>）</w:t>
      </w:r>
    </w:p>
    <w:p w14:paraId="5417FCF9">
      <w:pPr>
        <w:spacing w:line="480" w:lineRule="auto"/>
        <w:rPr>
          <w:sz w:val="28"/>
          <w:szCs w:val="28"/>
          <w:highlight w:val="none"/>
        </w:rPr>
      </w:pPr>
    </w:p>
    <w:p w14:paraId="1CEBCEA2">
      <w:pPr>
        <w:rPr>
          <w:rFonts w:ascii="宋体" w:hAnsi="宋体" w:eastAsia="宋体" w:cs="宋体"/>
          <w:sz w:val="28"/>
          <w:szCs w:val="28"/>
          <w:highlight w:val="none"/>
        </w:rPr>
      </w:pPr>
      <w:bookmarkStart w:id="90" w:name="_Toc17199"/>
      <w:r>
        <w:rPr>
          <w:rFonts w:hint="eastAsia" w:ascii="宋体" w:hAnsi="宋体" w:eastAsia="宋体" w:cs="宋体"/>
          <w:sz w:val="28"/>
          <w:szCs w:val="28"/>
          <w:highlight w:val="none"/>
        </w:rPr>
        <w:br w:type="page"/>
      </w:r>
    </w:p>
    <w:p w14:paraId="0A2ACA16">
      <w:pPr>
        <w:pStyle w:val="2"/>
        <w:numPr>
          <w:ilvl w:val="0"/>
          <w:numId w:val="0"/>
        </w:numPr>
        <w:spacing w:before="0" w:after="0" w:line="560" w:lineRule="exact"/>
        <w:jc w:val="center"/>
        <w:outlineLvl w:val="0"/>
        <w:rPr>
          <w:rFonts w:ascii="宋体" w:hAnsi="宋体" w:eastAsia="宋体" w:cs="宋体"/>
          <w:b/>
          <w:bCs/>
          <w:sz w:val="30"/>
          <w:szCs w:val="30"/>
          <w:highlight w:val="none"/>
        </w:rPr>
      </w:pPr>
      <w:bookmarkStart w:id="91" w:name="_Toc15847"/>
      <w:r>
        <w:rPr>
          <w:rFonts w:hint="eastAsia" w:ascii="宋体" w:hAnsi="宋体" w:eastAsia="宋体" w:cs="宋体"/>
          <w:b/>
          <w:bCs/>
          <w:kern w:val="2"/>
          <w:sz w:val="30"/>
          <w:szCs w:val="30"/>
          <w:highlight w:val="none"/>
          <w:lang w:val="en-US" w:eastAsia="zh-CN" w:bidi="ar-SA"/>
        </w:rPr>
        <w:t>三、</w:t>
      </w:r>
      <w:r>
        <w:rPr>
          <w:rFonts w:hint="eastAsia" w:ascii="宋体" w:hAnsi="宋体" w:eastAsia="宋体" w:cs="宋体"/>
          <w:b/>
          <w:bCs/>
          <w:sz w:val="30"/>
          <w:szCs w:val="30"/>
          <w:highlight w:val="none"/>
        </w:rPr>
        <w:t>采购需求</w:t>
      </w:r>
      <w:bookmarkEnd w:id="90"/>
      <w:bookmarkEnd w:id="91"/>
    </w:p>
    <w:bookmarkEnd w:id="89"/>
    <w:p w14:paraId="2B72D64E">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6" w:firstLineChars="200"/>
        <w:textAlignment w:val="auto"/>
        <w:rPr>
          <w:rFonts w:hint="eastAsia" w:ascii="宋体" w:hAnsi="宋体" w:cs="宋体"/>
          <w:b/>
          <w:bCs/>
          <w:spacing w:val="1"/>
          <w:kern w:val="0"/>
          <w:sz w:val="24"/>
          <w:lang w:val="zh-CN"/>
        </w:rPr>
      </w:pPr>
      <w:bookmarkStart w:id="92" w:name="_Toc19815"/>
      <w:bookmarkStart w:id="93" w:name="_Toc21831"/>
      <w:bookmarkStart w:id="94" w:name="_Toc25911"/>
    </w:p>
    <w:p w14:paraId="07432F99">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6" w:firstLineChars="200"/>
        <w:textAlignment w:val="auto"/>
        <w:rPr>
          <w:rFonts w:ascii="宋体" w:cs="宋体"/>
          <w:b/>
          <w:bCs/>
          <w:spacing w:val="1"/>
          <w:kern w:val="0"/>
          <w:sz w:val="24"/>
          <w:lang w:val="zh-CN"/>
        </w:rPr>
      </w:pPr>
      <w:r>
        <w:rPr>
          <w:rFonts w:hint="eastAsia" w:ascii="宋体" w:hAnsi="宋体" w:cs="宋体"/>
          <w:b/>
          <w:bCs/>
          <w:spacing w:val="1"/>
          <w:kern w:val="0"/>
          <w:sz w:val="24"/>
          <w:lang w:val="zh-CN"/>
        </w:rPr>
        <w:t>一、食堂劳务派遣模式</w:t>
      </w:r>
    </w:p>
    <w:p w14:paraId="36E7F4EB">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hint="eastAsia" w:ascii="宋体" w:hAnsi="宋体" w:cs="宋体"/>
          <w:spacing w:val="1"/>
          <w:kern w:val="0"/>
          <w:sz w:val="24"/>
          <w:lang w:val="zh-CN"/>
        </w:rPr>
        <w:t>根据上级部门文件精神，结合我校实际，霍山县诸佛庵中学食堂实行劳务派遣模式，由劳务派遣公司负责专业管理，为学校师生员工提供优质的膳食服务。</w:t>
      </w:r>
    </w:p>
    <w:p w14:paraId="681564D2">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6" w:firstLineChars="200"/>
        <w:textAlignment w:val="auto"/>
        <w:rPr>
          <w:rFonts w:ascii="宋体" w:cs="宋体"/>
          <w:b/>
          <w:bCs/>
          <w:spacing w:val="1"/>
          <w:kern w:val="0"/>
          <w:sz w:val="24"/>
          <w:lang w:val="zh-CN"/>
        </w:rPr>
      </w:pPr>
      <w:r>
        <w:rPr>
          <w:rFonts w:hint="eastAsia" w:ascii="宋体" w:hAnsi="宋体" w:cs="宋体"/>
          <w:b/>
          <w:bCs/>
          <w:spacing w:val="1"/>
          <w:kern w:val="0"/>
          <w:sz w:val="24"/>
          <w:lang w:val="zh-CN"/>
        </w:rPr>
        <w:t>二、</w:t>
      </w:r>
      <w:r>
        <w:rPr>
          <w:rFonts w:hint="eastAsia" w:ascii="宋体" w:hAnsi="宋体" w:cs="宋体"/>
          <w:b/>
          <w:bCs/>
          <w:spacing w:val="1"/>
          <w:kern w:val="0"/>
          <w:sz w:val="24"/>
        </w:rPr>
        <w:t>学</w:t>
      </w:r>
      <w:r>
        <w:rPr>
          <w:rFonts w:hint="eastAsia" w:ascii="宋体" w:hAnsi="宋体" w:cs="宋体"/>
          <w:b/>
          <w:bCs/>
          <w:spacing w:val="1"/>
          <w:kern w:val="0"/>
          <w:sz w:val="24"/>
          <w:lang w:val="zh-CN"/>
        </w:rPr>
        <w:t>校食堂具体劳务派遣方案及要求</w:t>
      </w:r>
    </w:p>
    <w:p w14:paraId="3275ECD0">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lang w:val="zh-CN"/>
        </w:rPr>
        <w:t>1</w:t>
      </w:r>
      <w:r>
        <w:rPr>
          <w:rFonts w:hint="eastAsia" w:ascii="宋体" w:hAnsi="宋体" w:cs="宋体"/>
          <w:spacing w:val="1"/>
          <w:kern w:val="0"/>
          <w:sz w:val="24"/>
          <w:lang w:val="zh-CN"/>
        </w:rPr>
        <w:t>、食堂食材执行教育局的相关配送政策。（具体政策参照霍教【</w:t>
      </w:r>
      <w:r>
        <w:rPr>
          <w:rFonts w:ascii="宋体" w:hAnsi="宋体" w:cs="宋体"/>
          <w:spacing w:val="1"/>
          <w:kern w:val="0"/>
          <w:sz w:val="24"/>
          <w:lang w:val="zh-CN"/>
        </w:rPr>
        <w:t>2019</w:t>
      </w:r>
      <w:r>
        <w:rPr>
          <w:rFonts w:hint="eastAsia" w:ascii="宋体" w:hAnsi="宋体" w:cs="宋体"/>
          <w:spacing w:val="1"/>
          <w:kern w:val="0"/>
          <w:sz w:val="24"/>
          <w:lang w:val="zh-CN"/>
        </w:rPr>
        <w:t>】</w:t>
      </w:r>
      <w:r>
        <w:rPr>
          <w:rFonts w:ascii="宋体" w:hAnsi="宋体" w:cs="宋体"/>
          <w:spacing w:val="1"/>
          <w:kern w:val="0"/>
          <w:sz w:val="24"/>
          <w:lang w:val="zh-CN"/>
        </w:rPr>
        <w:t>68</w:t>
      </w:r>
      <w:r>
        <w:rPr>
          <w:rFonts w:hint="eastAsia" w:ascii="宋体" w:hAnsi="宋体" w:cs="宋体"/>
          <w:spacing w:val="1"/>
          <w:kern w:val="0"/>
          <w:sz w:val="24"/>
          <w:lang w:val="zh-CN"/>
        </w:rPr>
        <w:t>号等文件）</w:t>
      </w:r>
    </w:p>
    <w:p w14:paraId="59D7D40D">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jc w:val="left"/>
        <w:textAlignment w:val="auto"/>
        <w:rPr>
          <w:rFonts w:ascii="宋体" w:cs="宋体"/>
          <w:spacing w:val="1"/>
          <w:kern w:val="0"/>
          <w:sz w:val="24"/>
          <w:lang w:val="zh-CN"/>
        </w:rPr>
      </w:pPr>
      <w:r>
        <w:rPr>
          <w:rFonts w:ascii="宋体" w:hAnsi="宋体" w:cs="宋体"/>
          <w:spacing w:val="1"/>
          <w:kern w:val="0"/>
          <w:sz w:val="24"/>
          <w:lang w:val="zh-CN"/>
        </w:rPr>
        <w:t>2</w:t>
      </w:r>
      <w:r>
        <w:rPr>
          <w:rFonts w:hint="eastAsia" w:ascii="宋体" w:hAnsi="宋体" w:cs="宋体"/>
          <w:spacing w:val="1"/>
          <w:kern w:val="0"/>
          <w:sz w:val="24"/>
          <w:lang w:val="zh-CN"/>
        </w:rPr>
        <w:t>、</w:t>
      </w:r>
      <w:r>
        <w:rPr>
          <w:rFonts w:hint="eastAsia" w:ascii="宋体" w:hAnsi="宋体" w:cs="宋体"/>
          <w:kern w:val="0"/>
          <w:sz w:val="24"/>
          <w:lang w:val="zh-CN"/>
        </w:rPr>
        <w:t>劳务派遣费</w:t>
      </w:r>
      <w:r>
        <w:rPr>
          <w:rFonts w:hint="eastAsia" w:ascii="宋体" w:hAnsi="宋体" w:cs="宋体"/>
          <w:spacing w:val="1"/>
          <w:kern w:val="0"/>
          <w:sz w:val="24"/>
          <w:lang w:val="zh-CN"/>
        </w:rPr>
        <w:t>包含：劳务派遣管理费、利润、派遣人员工资、保险、社保、加班工资、防暑降温费、税金等相关费用。</w:t>
      </w:r>
    </w:p>
    <w:p w14:paraId="32849288">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lang w:val="zh-CN"/>
        </w:rPr>
        <w:t>3</w:t>
      </w:r>
      <w:r>
        <w:rPr>
          <w:rFonts w:hint="eastAsia" w:ascii="宋体" w:hAnsi="宋体" w:cs="宋体"/>
          <w:spacing w:val="1"/>
          <w:kern w:val="0"/>
          <w:sz w:val="24"/>
          <w:lang w:val="zh-CN"/>
        </w:rPr>
        <w:t>、学校与</w:t>
      </w:r>
      <w:r>
        <w:rPr>
          <w:rFonts w:hint="eastAsia" w:ascii="宋体" w:hAnsi="宋体" w:cs="宋体"/>
          <w:spacing w:val="1"/>
          <w:kern w:val="0"/>
          <w:sz w:val="24"/>
          <w:lang w:val="en-US" w:eastAsia="zh-CN"/>
        </w:rPr>
        <w:t>成交方</w:t>
      </w:r>
      <w:r>
        <w:rPr>
          <w:rFonts w:hint="eastAsia" w:ascii="宋体" w:hAnsi="宋体" w:cs="宋体"/>
          <w:spacing w:val="1"/>
          <w:kern w:val="0"/>
          <w:sz w:val="24"/>
          <w:lang w:val="zh-CN"/>
        </w:rPr>
        <w:t>采用</w:t>
      </w:r>
      <w:r>
        <w:rPr>
          <w:rFonts w:ascii="宋体" w:hAnsi="宋体" w:cs="宋体"/>
          <w:spacing w:val="1"/>
          <w:kern w:val="0"/>
          <w:sz w:val="24"/>
          <w:lang w:val="zh-CN"/>
        </w:rPr>
        <w:t>1+1</w:t>
      </w:r>
      <w:r>
        <w:rPr>
          <w:rFonts w:ascii="宋体" w:hAnsi="宋体" w:cs="宋体"/>
          <w:spacing w:val="1"/>
          <w:kern w:val="0"/>
          <w:sz w:val="24"/>
        </w:rPr>
        <w:t>+1</w:t>
      </w:r>
      <w:r>
        <w:rPr>
          <w:rFonts w:hint="eastAsia" w:ascii="宋体" w:hAnsi="宋体" w:cs="宋体"/>
          <w:spacing w:val="1"/>
          <w:kern w:val="0"/>
          <w:sz w:val="24"/>
          <w:lang w:val="zh-CN"/>
        </w:rPr>
        <w:t>的模式签订合同。学校每学期对食堂饭菜质量、服务质量及卫生安全测评实行权重打分制。具体测评措施如下：</w:t>
      </w:r>
      <w:r>
        <w:rPr>
          <w:rFonts w:hint="eastAsia" w:ascii="宋体" w:hAnsi="宋体" w:cs="宋体"/>
          <w:spacing w:val="1"/>
          <w:kern w:val="0"/>
          <w:sz w:val="24"/>
        </w:rPr>
        <w:t>学校学期结束后</w:t>
      </w:r>
      <w:r>
        <w:rPr>
          <w:rFonts w:hint="eastAsia" w:ascii="宋体" w:hAnsi="宋体" w:cs="宋体"/>
          <w:spacing w:val="1"/>
          <w:kern w:val="0"/>
          <w:sz w:val="24"/>
          <w:lang w:val="en-US" w:eastAsia="zh-CN"/>
        </w:rPr>
        <w:t>对成交方服务情况</w:t>
      </w:r>
      <w:r>
        <w:rPr>
          <w:rFonts w:hint="eastAsia" w:ascii="宋体" w:hAnsi="宋体" w:cs="宋体"/>
          <w:spacing w:val="1"/>
          <w:kern w:val="0"/>
          <w:sz w:val="24"/>
        </w:rPr>
        <w:t>组织</w:t>
      </w:r>
      <w:r>
        <w:rPr>
          <w:rFonts w:hint="eastAsia" w:ascii="宋体" w:hAnsi="宋体" w:cs="宋体"/>
          <w:spacing w:val="1"/>
          <w:kern w:val="0"/>
          <w:sz w:val="24"/>
          <w:lang w:val="zh-CN"/>
        </w:rPr>
        <w:t>考核打分，分制为</w:t>
      </w:r>
      <w:r>
        <w:rPr>
          <w:rFonts w:ascii="宋体" w:hAnsi="宋体" w:cs="宋体"/>
          <w:spacing w:val="1"/>
          <w:kern w:val="0"/>
          <w:sz w:val="24"/>
          <w:lang w:val="zh-CN"/>
        </w:rPr>
        <w:t>100</w:t>
      </w:r>
      <w:r>
        <w:rPr>
          <w:rFonts w:hint="eastAsia" w:ascii="宋体" w:hAnsi="宋体" w:cs="宋体"/>
          <w:spacing w:val="1"/>
          <w:kern w:val="0"/>
          <w:sz w:val="24"/>
          <w:lang w:val="zh-CN"/>
        </w:rPr>
        <w:t>分。测评分低于</w:t>
      </w:r>
      <w:r>
        <w:rPr>
          <w:rFonts w:ascii="宋体" w:hAnsi="宋体" w:cs="宋体"/>
          <w:spacing w:val="1"/>
          <w:kern w:val="0"/>
          <w:sz w:val="24"/>
        </w:rPr>
        <w:t>6</w:t>
      </w:r>
      <w:r>
        <w:rPr>
          <w:rFonts w:ascii="宋体" w:cs="宋体"/>
          <w:spacing w:val="1"/>
          <w:kern w:val="0"/>
          <w:sz w:val="24"/>
          <w:lang w:val="zh-CN"/>
        </w:rPr>
        <w:t>0</w:t>
      </w:r>
      <w:r>
        <w:rPr>
          <w:rFonts w:hint="eastAsia" w:ascii="宋体" w:hAnsi="宋体" w:cs="宋体"/>
          <w:spacing w:val="1"/>
          <w:kern w:val="0"/>
          <w:sz w:val="24"/>
          <w:lang w:val="zh-CN"/>
        </w:rPr>
        <w:t>分的无条件退出，学校有权随时终止劳务派遣协议。</w:t>
      </w:r>
    </w:p>
    <w:p w14:paraId="1D69E153">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rPr>
        <w:t>4</w:t>
      </w:r>
      <w:r>
        <w:rPr>
          <w:rFonts w:hint="eastAsia" w:ascii="宋体" w:hAnsi="宋体" w:cs="宋体"/>
          <w:spacing w:val="1"/>
          <w:kern w:val="0"/>
          <w:sz w:val="24"/>
        </w:rPr>
        <w:t>、</w:t>
      </w:r>
      <w:r>
        <w:rPr>
          <w:rFonts w:hint="eastAsia" w:ascii="宋体" w:hAnsi="宋体" w:cs="宋体"/>
          <w:spacing w:val="1"/>
          <w:kern w:val="0"/>
          <w:sz w:val="24"/>
          <w:lang w:val="zh-CN"/>
        </w:rPr>
        <w:t>食堂水、电等费用纳入食堂成本核算（</w:t>
      </w:r>
      <w:r>
        <w:rPr>
          <w:rFonts w:hint="eastAsia" w:ascii="宋体" w:hAnsi="宋体" w:cs="宋体"/>
          <w:spacing w:val="1"/>
          <w:kern w:val="0"/>
          <w:sz w:val="24"/>
          <w:lang w:val="en-US" w:eastAsia="zh-CN"/>
        </w:rPr>
        <w:t>包含在不超营业额10%内</w:t>
      </w:r>
      <w:r>
        <w:rPr>
          <w:rFonts w:hint="eastAsia" w:ascii="宋体" w:hAnsi="宋体" w:cs="宋体"/>
          <w:spacing w:val="1"/>
          <w:kern w:val="0"/>
          <w:sz w:val="24"/>
          <w:lang w:val="zh-CN"/>
        </w:rPr>
        <w:t>），</w:t>
      </w:r>
      <w:r>
        <w:rPr>
          <w:rFonts w:hint="eastAsia" w:ascii="宋体" w:hAnsi="宋体" w:cs="宋体"/>
          <w:spacing w:val="1"/>
          <w:kern w:val="0"/>
          <w:sz w:val="24"/>
        </w:rPr>
        <w:t>由学校按月支付</w:t>
      </w:r>
      <w:r>
        <w:rPr>
          <w:rFonts w:hint="eastAsia" w:ascii="宋体" w:hAnsi="宋体" w:cs="宋体"/>
          <w:spacing w:val="1"/>
          <w:kern w:val="0"/>
          <w:sz w:val="24"/>
          <w:lang w:val="zh-CN"/>
        </w:rPr>
        <w:t>。</w:t>
      </w:r>
    </w:p>
    <w:p w14:paraId="17980268">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lang w:val="zh-CN"/>
        </w:rPr>
        <w:t>5</w:t>
      </w:r>
      <w:r>
        <w:rPr>
          <w:rFonts w:hint="eastAsia" w:ascii="宋体" w:hAnsi="宋体" w:cs="宋体"/>
          <w:spacing w:val="1"/>
          <w:kern w:val="0"/>
          <w:sz w:val="24"/>
          <w:lang w:val="zh-CN"/>
        </w:rPr>
        <w:t>、成交人必须保护好食堂所有财产，对招标人提供的设备、设施应及时进行保养、维护，延长其使用年限。成交人进场后如需添加其他设备、对设备、设施进行保养、维护的，</w:t>
      </w:r>
      <w:r>
        <w:rPr>
          <w:rFonts w:hint="eastAsia" w:ascii="宋体" w:hAnsi="宋体" w:cs="宋体"/>
          <w:spacing w:val="1"/>
          <w:kern w:val="0"/>
          <w:sz w:val="24"/>
          <w:lang w:val="en-US" w:eastAsia="zh-CN"/>
        </w:rPr>
        <w:t>需报校方同意后实施，</w:t>
      </w:r>
      <w:r>
        <w:rPr>
          <w:rFonts w:hint="eastAsia" w:ascii="宋体" w:hAnsi="宋体" w:cs="宋体"/>
          <w:spacing w:val="1"/>
          <w:kern w:val="0"/>
          <w:sz w:val="24"/>
          <w:lang w:val="zh-CN"/>
        </w:rPr>
        <w:t>由校方负责。</w:t>
      </w:r>
      <w:r>
        <w:rPr>
          <w:rFonts w:hint="eastAsia" w:ascii="宋体" w:hAnsi="宋体" w:cs="宋体"/>
          <w:spacing w:val="1"/>
          <w:kern w:val="0"/>
          <w:sz w:val="24"/>
          <w:lang w:val="en-US" w:eastAsia="zh-CN"/>
        </w:rPr>
        <w:t>成交人如</w:t>
      </w:r>
      <w:r>
        <w:rPr>
          <w:rFonts w:hint="eastAsia" w:ascii="宋体" w:hAnsi="宋体" w:cs="宋体"/>
          <w:spacing w:val="1"/>
          <w:kern w:val="0"/>
          <w:sz w:val="24"/>
          <w:lang w:val="zh-CN"/>
        </w:rPr>
        <w:t>退出经营，</w:t>
      </w:r>
      <w:r>
        <w:rPr>
          <w:rFonts w:hint="eastAsia" w:ascii="宋体" w:hAnsi="宋体" w:cs="宋体"/>
          <w:spacing w:val="1"/>
          <w:kern w:val="0"/>
          <w:sz w:val="24"/>
          <w:lang w:val="en-US" w:eastAsia="zh-CN"/>
        </w:rPr>
        <w:t>需</w:t>
      </w:r>
      <w:r>
        <w:rPr>
          <w:rFonts w:hint="eastAsia" w:ascii="宋体" w:hAnsi="宋体" w:cs="宋体"/>
          <w:spacing w:val="1"/>
          <w:kern w:val="0"/>
          <w:sz w:val="24"/>
          <w:lang w:val="zh-CN"/>
        </w:rPr>
        <w:t>保证房屋、设备、设施、墙面、地面的完好，若有损坏、遗失，成交人必须承担由此产生的相关费用；</w:t>
      </w:r>
      <w:r>
        <w:rPr>
          <w:rFonts w:hint="eastAsia" w:ascii="宋体" w:hAnsi="宋体" w:cs="宋体"/>
          <w:spacing w:val="1"/>
          <w:kern w:val="0"/>
          <w:sz w:val="24"/>
          <w:lang w:val="en-US" w:eastAsia="zh-CN"/>
        </w:rPr>
        <w:t>成交人</w:t>
      </w:r>
      <w:r>
        <w:rPr>
          <w:rFonts w:hint="eastAsia" w:ascii="宋体" w:hAnsi="宋体" w:cs="宋体"/>
          <w:spacing w:val="1"/>
          <w:kern w:val="0"/>
          <w:sz w:val="24"/>
          <w:lang w:val="zh-CN"/>
        </w:rPr>
        <w:t>自行采购的其他设备，成交人自行处理。</w:t>
      </w:r>
    </w:p>
    <w:p w14:paraId="20745F42">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lang w:val="zh-CN"/>
        </w:rPr>
        <w:t>6</w:t>
      </w:r>
      <w:r>
        <w:rPr>
          <w:rFonts w:hint="eastAsia" w:ascii="宋体" w:hAnsi="宋体" w:cs="宋体"/>
          <w:spacing w:val="1"/>
          <w:kern w:val="0"/>
          <w:sz w:val="24"/>
          <w:lang w:val="zh-CN"/>
        </w:rPr>
        <w:t>、食堂经营管理要按照“教育部等十五部门关于印发《农村义务教育学生营养改善计划实施细则》等五个配套文件的通知”、《学校食堂与学生集体用餐卫生管理规定》、《食品卫生法》等法律、法规及规定进行管理。</w:t>
      </w:r>
    </w:p>
    <w:p w14:paraId="40388C0B">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lang w:val="zh-CN"/>
        </w:rPr>
        <w:t>7</w:t>
      </w:r>
      <w:r>
        <w:rPr>
          <w:rFonts w:hint="eastAsia" w:ascii="宋体" w:hAnsi="宋体" w:cs="宋体"/>
          <w:spacing w:val="1"/>
          <w:kern w:val="0"/>
          <w:sz w:val="24"/>
          <w:lang w:val="zh-CN"/>
        </w:rPr>
        <w:t>、成交人不得将食堂私自转让或委托他人经营，更不能在校内搞不法经营。一经发现，招标方有权取消其经营资格，并视情况轻重扣除全额或部分</w:t>
      </w:r>
      <w:r>
        <w:rPr>
          <w:rFonts w:hint="eastAsia" w:ascii="宋体" w:hAnsi="宋体" w:cs="宋体"/>
          <w:spacing w:val="1"/>
          <w:kern w:val="0"/>
          <w:sz w:val="24"/>
          <w:lang w:val="en-US" w:eastAsia="zh-CN"/>
        </w:rPr>
        <w:t>服务质量考评</w:t>
      </w:r>
      <w:r>
        <w:rPr>
          <w:rFonts w:hint="eastAsia" w:ascii="宋体" w:hAnsi="宋体" w:cs="宋体"/>
          <w:spacing w:val="1"/>
          <w:kern w:val="0"/>
          <w:sz w:val="24"/>
          <w:lang w:val="zh-CN"/>
        </w:rPr>
        <w:t>金。</w:t>
      </w:r>
    </w:p>
    <w:p w14:paraId="72E4B1FA">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lang w:val="zh-CN"/>
        </w:rPr>
        <w:t>8</w:t>
      </w:r>
      <w:r>
        <w:rPr>
          <w:rFonts w:hint="eastAsia" w:ascii="宋体" w:hAnsi="宋体" w:cs="宋体"/>
          <w:spacing w:val="1"/>
          <w:kern w:val="0"/>
          <w:sz w:val="24"/>
          <w:lang w:val="zh-CN"/>
        </w:rPr>
        <w:t>、餐厅、操作间、</w:t>
      </w:r>
      <w:r>
        <w:rPr>
          <w:rFonts w:hint="eastAsia" w:ascii="宋体" w:hAnsi="宋体" w:cs="宋体"/>
          <w:spacing w:val="1"/>
          <w:kern w:val="0"/>
          <w:sz w:val="24"/>
          <w:lang w:val="en-US" w:eastAsia="zh-CN"/>
        </w:rPr>
        <w:t>食材储藏室</w:t>
      </w:r>
      <w:r>
        <w:rPr>
          <w:rFonts w:hint="eastAsia" w:ascii="宋体" w:hAnsi="宋体" w:cs="宋体"/>
          <w:spacing w:val="1"/>
          <w:kern w:val="0"/>
          <w:sz w:val="24"/>
          <w:lang w:val="zh-CN"/>
        </w:rPr>
        <w:t>等均属于成交人管理范围，成交人需负责承包区域内的卫生清扫和安全管理。</w:t>
      </w:r>
      <w:r>
        <w:rPr>
          <w:rFonts w:hint="eastAsia" w:ascii="宋体" w:hAnsi="宋体" w:cs="宋体"/>
          <w:spacing w:val="1"/>
          <w:kern w:val="0"/>
          <w:sz w:val="24"/>
          <w:lang w:val="en-US" w:eastAsia="zh-CN"/>
        </w:rPr>
        <w:t>劳务派遣</w:t>
      </w:r>
      <w:r>
        <w:rPr>
          <w:rFonts w:hint="eastAsia" w:ascii="宋体" w:hAnsi="宋体" w:cs="宋体"/>
          <w:spacing w:val="1"/>
          <w:kern w:val="0"/>
          <w:sz w:val="24"/>
          <w:lang w:val="zh-CN"/>
        </w:rPr>
        <w:t>人员要遵守餐饮法规以及校纪、校规，</w:t>
      </w:r>
      <w:r>
        <w:rPr>
          <w:rFonts w:hint="eastAsia" w:ascii="宋体" w:hAnsi="宋体" w:cs="宋体"/>
          <w:spacing w:val="1"/>
          <w:kern w:val="0"/>
          <w:sz w:val="24"/>
          <w:lang w:val="en-US" w:eastAsia="zh-CN"/>
        </w:rPr>
        <w:t>服从学校管理，</w:t>
      </w:r>
      <w:r>
        <w:rPr>
          <w:rFonts w:hint="eastAsia" w:ascii="宋体" w:hAnsi="宋体" w:cs="宋体"/>
          <w:spacing w:val="1"/>
          <w:kern w:val="0"/>
          <w:sz w:val="24"/>
          <w:lang w:val="zh-CN"/>
        </w:rPr>
        <w:t>为师生提供热情周到服务，不得与师生发生争吵或冲突，如发现违规者，学校有权视情节提出处理意见。</w:t>
      </w:r>
    </w:p>
    <w:p w14:paraId="13548BB1">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lang w:val="zh-CN"/>
        </w:rPr>
        <w:t>9</w:t>
      </w:r>
      <w:r>
        <w:rPr>
          <w:rFonts w:hint="eastAsia" w:ascii="宋体" w:hAnsi="宋体" w:cs="宋体"/>
          <w:spacing w:val="1"/>
          <w:kern w:val="0"/>
          <w:sz w:val="24"/>
          <w:lang w:val="zh-CN"/>
        </w:rPr>
        <w:t>、所有工作人员需持有健康证上岗，卫生检疫、体检等费用均由成交人自理，食堂的卫生防疫、就餐环境必须达到卫生监督部门制订的标准，学校有权监督检查。</w:t>
      </w:r>
    </w:p>
    <w:p w14:paraId="23597951">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hint="eastAsia" w:ascii="宋体" w:hAnsi="宋体" w:cs="宋体"/>
          <w:spacing w:val="1"/>
          <w:kern w:val="0"/>
          <w:sz w:val="24"/>
          <w:lang w:val="zh-CN"/>
        </w:rPr>
        <w:t>1</w:t>
      </w:r>
      <w:r>
        <w:rPr>
          <w:rFonts w:ascii="宋体" w:hAnsi="宋体" w:cs="宋体"/>
          <w:spacing w:val="1"/>
          <w:kern w:val="0"/>
          <w:sz w:val="24"/>
          <w:lang w:val="zh-CN"/>
        </w:rPr>
        <w:t>0</w:t>
      </w:r>
      <w:r>
        <w:rPr>
          <w:rFonts w:hint="eastAsia" w:ascii="宋体" w:hAnsi="宋体" w:cs="宋体"/>
          <w:spacing w:val="1"/>
          <w:kern w:val="0"/>
          <w:sz w:val="24"/>
          <w:lang w:val="zh-CN"/>
        </w:rPr>
        <w:t>、成交人劳务派遣服务所需用工必须符合《劳动合同法》要求，依法用工。如发生用工纠纷，由成交人自行承担责任。</w:t>
      </w:r>
    </w:p>
    <w:p w14:paraId="0E3D2108">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hint="eastAsia" w:ascii="宋体" w:hAnsi="宋体" w:cs="宋体"/>
          <w:spacing w:val="1"/>
          <w:kern w:val="0"/>
          <w:sz w:val="24"/>
          <w:lang w:val="zh-CN"/>
        </w:rPr>
        <w:t>1</w:t>
      </w:r>
      <w:r>
        <w:rPr>
          <w:rFonts w:ascii="宋体" w:hAnsi="宋体" w:cs="宋体"/>
          <w:spacing w:val="1"/>
          <w:kern w:val="0"/>
          <w:sz w:val="24"/>
          <w:lang w:val="zh-CN"/>
        </w:rPr>
        <w:t>1</w:t>
      </w:r>
      <w:r>
        <w:rPr>
          <w:rFonts w:hint="eastAsia" w:ascii="宋体" w:hAnsi="宋体" w:cs="宋体"/>
          <w:spacing w:val="1"/>
          <w:kern w:val="0"/>
          <w:sz w:val="24"/>
          <w:lang w:val="zh-CN"/>
        </w:rPr>
        <w:t>、食堂工作人员、从业人员要合理配置，服装要求统一。工作服（包括衣、帽、口罩）宜用白色或浅色布料制作，</w:t>
      </w:r>
      <w:r>
        <w:rPr>
          <w:rFonts w:hint="eastAsia" w:ascii="宋体" w:hAnsi="宋体" w:cs="宋体"/>
          <w:spacing w:val="1"/>
          <w:kern w:val="0"/>
          <w:sz w:val="24"/>
        </w:rPr>
        <w:t>由</w:t>
      </w:r>
      <w:r>
        <w:rPr>
          <w:rFonts w:hint="eastAsia" w:ascii="宋体" w:hAnsi="宋体" w:cs="宋体"/>
          <w:spacing w:val="1"/>
          <w:kern w:val="0"/>
          <w:sz w:val="24"/>
          <w:lang w:val="en-US" w:eastAsia="zh-CN"/>
        </w:rPr>
        <w:t>成交人</w:t>
      </w:r>
      <w:r>
        <w:rPr>
          <w:rFonts w:hint="eastAsia" w:ascii="宋体" w:hAnsi="宋体" w:cs="宋体"/>
          <w:spacing w:val="1"/>
          <w:kern w:val="0"/>
          <w:sz w:val="24"/>
        </w:rPr>
        <w:t>负责购买</w:t>
      </w:r>
      <w:r>
        <w:rPr>
          <w:rFonts w:hint="eastAsia" w:ascii="宋体" w:hAnsi="宋体" w:cs="宋体"/>
          <w:spacing w:val="1"/>
          <w:kern w:val="0"/>
          <w:sz w:val="24"/>
          <w:lang w:val="zh-CN"/>
        </w:rPr>
        <w:t>。食堂消费全部刷卡，不得收取现金，违者罚款，如发现一次，罚款</w:t>
      </w:r>
      <w:r>
        <w:rPr>
          <w:rFonts w:ascii="宋体" w:hAnsi="宋体" w:cs="宋体"/>
          <w:spacing w:val="1"/>
          <w:kern w:val="0"/>
          <w:sz w:val="24"/>
          <w:lang w:val="zh-CN"/>
        </w:rPr>
        <w:t>500</w:t>
      </w:r>
      <w:r>
        <w:rPr>
          <w:rFonts w:hint="eastAsia" w:ascii="宋体" w:hAnsi="宋体" w:cs="宋体"/>
          <w:spacing w:val="1"/>
          <w:kern w:val="0"/>
          <w:sz w:val="24"/>
          <w:lang w:val="zh-CN"/>
        </w:rPr>
        <w:t>元</w:t>
      </w:r>
      <w:r>
        <w:rPr>
          <w:rFonts w:ascii="宋体" w:hAnsi="宋体" w:cs="宋体"/>
          <w:spacing w:val="1"/>
          <w:kern w:val="0"/>
          <w:sz w:val="24"/>
          <w:lang w:val="zh-CN"/>
        </w:rPr>
        <w:t>/</w:t>
      </w:r>
      <w:r>
        <w:rPr>
          <w:rFonts w:hint="eastAsia" w:ascii="宋体" w:hAnsi="宋体" w:cs="宋体"/>
          <w:spacing w:val="1"/>
          <w:kern w:val="0"/>
          <w:sz w:val="24"/>
          <w:lang w:val="zh-CN"/>
        </w:rPr>
        <w:t>次。</w:t>
      </w:r>
    </w:p>
    <w:p w14:paraId="756DBCC8">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hint="eastAsia" w:ascii="宋体" w:hAnsi="宋体" w:cs="宋体"/>
          <w:spacing w:val="1"/>
          <w:kern w:val="0"/>
          <w:sz w:val="24"/>
          <w:lang w:val="zh-CN"/>
        </w:rPr>
        <w:t>1</w:t>
      </w:r>
      <w:r>
        <w:rPr>
          <w:rFonts w:ascii="宋体" w:hAnsi="宋体" w:cs="宋体"/>
          <w:spacing w:val="1"/>
          <w:kern w:val="0"/>
          <w:sz w:val="24"/>
          <w:lang w:val="zh-CN"/>
        </w:rPr>
        <w:t>2</w:t>
      </w:r>
      <w:r>
        <w:rPr>
          <w:rFonts w:hint="eastAsia" w:ascii="宋体" w:hAnsi="宋体" w:cs="宋体"/>
          <w:spacing w:val="1"/>
          <w:kern w:val="0"/>
          <w:sz w:val="24"/>
          <w:lang w:val="zh-CN"/>
        </w:rPr>
        <w:t>、</w:t>
      </w:r>
      <w:r>
        <w:rPr>
          <w:rFonts w:hint="eastAsia" w:ascii="宋体" w:hAnsi="宋体" w:cs="宋体"/>
          <w:spacing w:val="1"/>
          <w:kern w:val="0"/>
          <w:sz w:val="24"/>
          <w:lang w:val="en-US" w:eastAsia="zh-CN"/>
        </w:rPr>
        <w:t>中标方严格按校方要求的时间供餐，</w:t>
      </w:r>
      <w:r>
        <w:rPr>
          <w:rFonts w:hint="eastAsia" w:ascii="宋体" w:hAnsi="宋体" w:cs="宋体"/>
          <w:spacing w:val="1"/>
          <w:kern w:val="0"/>
          <w:sz w:val="24"/>
          <w:lang w:val="zh-CN"/>
        </w:rPr>
        <w:t>保证一日三餐准点开膳，保证饭菜足量、优质，</w:t>
      </w:r>
      <w:r>
        <w:rPr>
          <w:rFonts w:hint="eastAsia" w:ascii="宋体" w:hAnsi="宋体" w:cs="宋体"/>
          <w:spacing w:val="1"/>
          <w:kern w:val="0"/>
          <w:sz w:val="24"/>
          <w:lang w:val="en-US" w:eastAsia="zh-CN"/>
        </w:rPr>
        <w:t>学校</w:t>
      </w:r>
      <w:r>
        <w:rPr>
          <w:rFonts w:hint="eastAsia" w:ascii="宋体" w:hAnsi="宋体" w:cs="宋体"/>
          <w:spacing w:val="1"/>
          <w:kern w:val="0"/>
          <w:sz w:val="24"/>
          <w:lang w:val="zh-CN"/>
        </w:rPr>
        <w:t>要根据</w:t>
      </w:r>
      <w:r>
        <w:rPr>
          <w:rFonts w:hint="eastAsia" w:ascii="宋体" w:hAnsi="宋体" w:cs="宋体"/>
          <w:spacing w:val="1"/>
          <w:kern w:val="0"/>
          <w:sz w:val="24"/>
          <w:lang w:val="en-US" w:eastAsia="zh-CN"/>
        </w:rPr>
        <w:t>营养膳食需要</w:t>
      </w:r>
      <w:r>
        <w:rPr>
          <w:rFonts w:hint="eastAsia" w:ascii="宋体" w:hAnsi="宋体" w:cs="宋体"/>
          <w:spacing w:val="1"/>
          <w:kern w:val="0"/>
          <w:sz w:val="24"/>
          <w:lang w:val="zh-CN"/>
        </w:rPr>
        <w:t>、师生饮食特点、季节变化</w:t>
      </w:r>
      <w:r>
        <w:rPr>
          <w:rFonts w:hint="eastAsia" w:ascii="宋体" w:hAnsi="宋体" w:cs="宋体"/>
          <w:spacing w:val="1"/>
          <w:kern w:val="0"/>
          <w:sz w:val="24"/>
          <w:lang w:val="en-US" w:eastAsia="zh-CN"/>
        </w:rPr>
        <w:t>等</w:t>
      </w:r>
      <w:r>
        <w:rPr>
          <w:rFonts w:hint="eastAsia" w:ascii="宋体" w:hAnsi="宋体" w:cs="宋体"/>
          <w:spacing w:val="1"/>
          <w:kern w:val="0"/>
          <w:sz w:val="24"/>
          <w:lang w:val="zh-CN"/>
        </w:rPr>
        <w:t>需求，制订</w:t>
      </w:r>
      <w:r>
        <w:rPr>
          <w:rFonts w:hint="eastAsia" w:ascii="宋体" w:hAnsi="宋体" w:cs="宋体"/>
          <w:spacing w:val="1"/>
          <w:kern w:val="0"/>
          <w:sz w:val="24"/>
          <w:lang w:val="en-US" w:eastAsia="zh-CN"/>
        </w:rPr>
        <w:t>科学的周</w:t>
      </w:r>
      <w:r>
        <w:rPr>
          <w:rFonts w:hint="eastAsia" w:ascii="宋体" w:hAnsi="宋体" w:cs="宋体"/>
          <w:spacing w:val="1"/>
          <w:kern w:val="0"/>
          <w:sz w:val="24"/>
          <w:lang w:val="zh-CN"/>
        </w:rPr>
        <w:t>食谱，</w:t>
      </w:r>
      <w:r>
        <w:rPr>
          <w:rFonts w:hint="eastAsia" w:ascii="宋体" w:hAnsi="宋体" w:cs="宋体"/>
          <w:spacing w:val="1"/>
          <w:kern w:val="0"/>
          <w:sz w:val="24"/>
          <w:lang w:val="en-US" w:eastAsia="zh-CN"/>
        </w:rPr>
        <w:t>成交人需严格执行，不得擅自改变</w:t>
      </w:r>
      <w:r>
        <w:rPr>
          <w:rFonts w:hint="eastAsia" w:ascii="宋体" w:hAnsi="宋体" w:cs="宋体"/>
          <w:spacing w:val="1"/>
          <w:kern w:val="0"/>
          <w:sz w:val="24"/>
          <w:lang w:val="zh-CN"/>
        </w:rPr>
        <w:t>。</w:t>
      </w:r>
    </w:p>
    <w:p w14:paraId="1EBC0BDE">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ascii="宋体" w:hAnsi="宋体" w:cs="宋体"/>
          <w:spacing w:val="1"/>
          <w:kern w:val="0"/>
          <w:sz w:val="24"/>
          <w:lang w:val="zh-CN"/>
        </w:rPr>
        <w:t>13</w:t>
      </w:r>
      <w:r>
        <w:rPr>
          <w:rFonts w:hint="eastAsia" w:ascii="宋体" w:hAnsi="宋体" w:cs="宋体"/>
          <w:spacing w:val="1"/>
          <w:kern w:val="0"/>
          <w:sz w:val="24"/>
          <w:lang w:val="zh-CN"/>
        </w:rPr>
        <w:t>、提供优质服务，优化品种结构，开展多层次餐饮服务，满足师生的需求，早餐品种应有</w:t>
      </w:r>
      <w:r>
        <w:rPr>
          <w:rFonts w:ascii="宋体" w:hAnsi="宋体" w:cs="宋体"/>
          <w:spacing w:val="1"/>
          <w:kern w:val="0"/>
          <w:sz w:val="24"/>
        </w:rPr>
        <w:t>5</w:t>
      </w:r>
      <w:r>
        <w:rPr>
          <w:rFonts w:hint="eastAsia" w:ascii="宋体" w:hAnsi="宋体" w:cs="宋体"/>
          <w:spacing w:val="1"/>
          <w:kern w:val="0"/>
          <w:sz w:val="24"/>
          <w:lang w:val="zh-CN"/>
        </w:rPr>
        <w:t>种以上（干</w:t>
      </w:r>
      <w:r>
        <w:rPr>
          <w:rFonts w:ascii="宋体" w:hAnsi="宋体" w:cs="宋体"/>
          <w:spacing w:val="1"/>
          <w:kern w:val="0"/>
          <w:sz w:val="24"/>
        </w:rPr>
        <w:t>3</w:t>
      </w:r>
      <w:r>
        <w:rPr>
          <w:rFonts w:hint="eastAsia" w:ascii="宋体" w:hAnsi="宋体" w:cs="宋体"/>
          <w:spacing w:val="1"/>
          <w:kern w:val="0"/>
          <w:sz w:val="24"/>
          <w:lang w:val="zh-CN"/>
        </w:rPr>
        <w:t>种、稀</w:t>
      </w:r>
      <w:r>
        <w:rPr>
          <w:rFonts w:ascii="宋体" w:hAnsi="宋体" w:cs="宋体"/>
          <w:spacing w:val="1"/>
          <w:kern w:val="0"/>
          <w:sz w:val="24"/>
        </w:rPr>
        <w:t>2</w:t>
      </w:r>
      <w:r>
        <w:rPr>
          <w:rFonts w:hint="eastAsia" w:ascii="宋体" w:hAnsi="宋体" w:cs="宋体"/>
          <w:spacing w:val="1"/>
          <w:kern w:val="0"/>
          <w:sz w:val="24"/>
          <w:lang w:val="zh-CN"/>
        </w:rPr>
        <w:t>种），中餐、晚餐</w:t>
      </w:r>
      <w:r>
        <w:rPr>
          <w:rFonts w:hint="eastAsia" w:ascii="宋体" w:hAnsi="宋体" w:cs="宋体"/>
          <w:spacing w:val="1"/>
          <w:kern w:val="0"/>
          <w:sz w:val="24"/>
        </w:rPr>
        <w:t>菜品为</w:t>
      </w:r>
      <w:r>
        <w:rPr>
          <w:rFonts w:ascii="宋体" w:hAnsi="宋体" w:cs="宋体"/>
          <w:spacing w:val="1"/>
          <w:kern w:val="0"/>
          <w:sz w:val="24"/>
          <w:lang w:val="zh-CN"/>
        </w:rPr>
        <w:t>2</w:t>
      </w:r>
      <w:r>
        <w:rPr>
          <w:rFonts w:hint="eastAsia" w:ascii="宋体" w:hAnsi="宋体" w:cs="宋体"/>
          <w:spacing w:val="1"/>
          <w:kern w:val="0"/>
          <w:sz w:val="24"/>
          <w:lang w:val="zh-CN"/>
        </w:rPr>
        <w:t>荤、</w:t>
      </w:r>
      <w:r>
        <w:rPr>
          <w:rFonts w:ascii="宋体" w:hAnsi="宋体" w:cs="宋体"/>
          <w:spacing w:val="1"/>
          <w:kern w:val="0"/>
          <w:sz w:val="24"/>
          <w:lang w:val="zh-CN"/>
        </w:rPr>
        <w:t>1</w:t>
      </w:r>
      <w:r>
        <w:rPr>
          <w:rFonts w:hint="eastAsia" w:ascii="宋体" w:hAnsi="宋体" w:cs="宋体"/>
          <w:spacing w:val="1"/>
          <w:kern w:val="0"/>
          <w:sz w:val="24"/>
          <w:lang w:val="zh-CN"/>
        </w:rPr>
        <w:t>素，中晚餐要提供免费汤</w:t>
      </w:r>
      <w:r>
        <w:rPr>
          <w:rFonts w:ascii="宋体" w:hAnsi="宋体" w:cs="宋体"/>
          <w:spacing w:val="1"/>
          <w:kern w:val="0"/>
          <w:sz w:val="24"/>
          <w:lang w:val="zh-CN"/>
        </w:rPr>
        <w:t>1</w:t>
      </w:r>
      <w:r>
        <w:rPr>
          <w:rFonts w:hint="eastAsia" w:ascii="宋体" w:hAnsi="宋体" w:cs="宋体"/>
          <w:spacing w:val="1"/>
          <w:kern w:val="0"/>
          <w:sz w:val="24"/>
          <w:lang w:val="zh-CN"/>
        </w:rPr>
        <w:t>种。</w:t>
      </w:r>
    </w:p>
    <w:p w14:paraId="00C6B920">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textAlignment w:val="auto"/>
        <w:rPr>
          <w:rFonts w:ascii="宋体" w:cs="宋体"/>
          <w:spacing w:val="1"/>
          <w:kern w:val="0"/>
          <w:sz w:val="24"/>
          <w:lang w:val="zh-CN"/>
        </w:rPr>
      </w:pPr>
      <w:r>
        <w:rPr>
          <w:rFonts w:hint="eastAsia" w:ascii="宋体" w:hAnsi="宋体" w:cs="宋体"/>
          <w:spacing w:val="1"/>
          <w:kern w:val="0"/>
          <w:sz w:val="24"/>
        </w:rPr>
        <w:t>1</w:t>
      </w:r>
      <w:r>
        <w:rPr>
          <w:rFonts w:ascii="宋体" w:hAnsi="宋体" w:cs="宋体"/>
          <w:spacing w:val="1"/>
          <w:kern w:val="0"/>
          <w:sz w:val="24"/>
        </w:rPr>
        <w:t>4</w:t>
      </w:r>
      <w:r>
        <w:rPr>
          <w:rFonts w:hint="eastAsia" w:ascii="宋体" w:hAnsi="宋体" w:cs="宋体"/>
          <w:spacing w:val="1"/>
          <w:kern w:val="0"/>
          <w:sz w:val="24"/>
        </w:rPr>
        <w:t>、需</w:t>
      </w:r>
      <w:r>
        <w:rPr>
          <w:rFonts w:hint="eastAsia" w:ascii="宋体" w:hAnsi="宋体" w:cs="宋体"/>
          <w:spacing w:val="1"/>
          <w:kern w:val="0"/>
          <w:sz w:val="24"/>
          <w:lang w:val="zh-CN"/>
        </w:rPr>
        <w:t>提供足量</w:t>
      </w:r>
      <w:r>
        <w:rPr>
          <w:rFonts w:hint="eastAsia" w:ascii="宋体" w:hAnsi="宋体" w:cs="宋体"/>
          <w:spacing w:val="1"/>
          <w:kern w:val="0"/>
          <w:sz w:val="24"/>
        </w:rPr>
        <w:t>能</w:t>
      </w:r>
      <w:r>
        <w:rPr>
          <w:rFonts w:hint="eastAsia" w:ascii="宋体" w:hAnsi="宋体" w:cs="宋体"/>
          <w:spacing w:val="1"/>
          <w:kern w:val="0"/>
          <w:sz w:val="24"/>
          <w:lang w:val="zh-CN"/>
        </w:rPr>
        <w:t>保证学生需求的饭菜。不准出售变质、变味的饭菜和剩菜剩饭。中晚餐出售</w:t>
      </w:r>
      <w:r>
        <w:rPr>
          <w:rFonts w:ascii="宋体" w:hAnsi="宋体" w:cs="宋体"/>
          <w:spacing w:val="1"/>
          <w:kern w:val="0"/>
          <w:sz w:val="24"/>
          <w:lang w:val="zh-CN"/>
        </w:rPr>
        <w:t>10</w:t>
      </w:r>
      <w:r>
        <w:rPr>
          <w:rFonts w:hint="eastAsia" w:ascii="宋体" w:hAnsi="宋体" w:cs="宋体"/>
          <w:spacing w:val="1"/>
          <w:kern w:val="0"/>
          <w:sz w:val="24"/>
          <w:lang w:val="zh-CN"/>
        </w:rPr>
        <w:t>元套餐及面条。不得出售价格虚高的辅食，不得出售对学生健康不利的垃圾食品，不得制作出售含有色素添加剂的饮料。以上各项每发现一次罚款</w:t>
      </w:r>
      <w:r>
        <w:rPr>
          <w:rFonts w:ascii="宋体" w:hAnsi="宋体" w:cs="宋体"/>
          <w:spacing w:val="1"/>
          <w:kern w:val="0"/>
          <w:sz w:val="24"/>
          <w:lang w:val="zh-CN"/>
        </w:rPr>
        <w:t>1000</w:t>
      </w:r>
      <w:r>
        <w:rPr>
          <w:rFonts w:hint="eastAsia" w:ascii="宋体" w:hAnsi="宋体" w:cs="宋体"/>
          <w:spacing w:val="1"/>
          <w:kern w:val="0"/>
          <w:sz w:val="24"/>
          <w:lang w:val="zh-CN"/>
        </w:rPr>
        <w:t>元。</w:t>
      </w:r>
    </w:p>
    <w:p w14:paraId="6C7A605A">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jc w:val="left"/>
        <w:textAlignment w:val="auto"/>
        <w:rPr>
          <w:rFonts w:ascii="宋体" w:hAnsi="宋体" w:cs="宋体"/>
          <w:spacing w:val="1"/>
          <w:kern w:val="0"/>
          <w:sz w:val="24"/>
          <w:lang w:val="zh-CN"/>
        </w:rPr>
      </w:pPr>
      <w:r>
        <w:rPr>
          <w:rFonts w:hint="eastAsia" w:ascii="宋体" w:hAnsi="宋体" w:cs="宋体"/>
          <w:spacing w:val="1"/>
          <w:kern w:val="0"/>
          <w:sz w:val="24"/>
        </w:rPr>
        <w:t>1</w:t>
      </w:r>
      <w:r>
        <w:rPr>
          <w:rFonts w:ascii="宋体" w:hAnsi="宋体" w:cs="宋体"/>
          <w:spacing w:val="1"/>
          <w:kern w:val="0"/>
          <w:sz w:val="24"/>
        </w:rPr>
        <w:t>5</w:t>
      </w:r>
      <w:r>
        <w:rPr>
          <w:rFonts w:hint="eastAsia" w:ascii="宋体" w:hAnsi="宋体" w:cs="宋体"/>
          <w:spacing w:val="1"/>
          <w:kern w:val="0"/>
          <w:sz w:val="24"/>
        </w:rPr>
        <w:t>、对违反有关法律法规，造成</w:t>
      </w:r>
      <w:r>
        <w:rPr>
          <w:rFonts w:hint="eastAsia" w:ascii="宋体" w:hAnsi="宋体" w:cs="宋体"/>
          <w:spacing w:val="1"/>
          <w:kern w:val="0"/>
          <w:sz w:val="24"/>
          <w:lang w:val="en-US" w:eastAsia="zh-CN"/>
        </w:rPr>
        <w:t>重大食物中毒事故或</w:t>
      </w:r>
      <w:r>
        <w:rPr>
          <w:rFonts w:hint="eastAsia" w:ascii="宋体" w:hAnsi="宋体" w:cs="宋体"/>
          <w:spacing w:val="1"/>
          <w:kern w:val="0"/>
          <w:sz w:val="24"/>
        </w:rPr>
        <w:t>安全事故</w:t>
      </w:r>
      <w:r>
        <w:rPr>
          <w:rFonts w:hint="eastAsia" w:ascii="宋体" w:hAnsi="宋体" w:cs="宋体"/>
          <w:spacing w:val="1"/>
          <w:kern w:val="0"/>
          <w:sz w:val="24"/>
          <w:lang w:val="en-US" w:eastAsia="zh-CN"/>
        </w:rPr>
        <w:t>的</w:t>
      </w:r>
      <w:r>
        <w:rPr>
          <w:rFonts w:hint="eastAsia" w:ascii="宋体" w:hAnsi="宋体" w:cs="宋体"/>
          <w:spacing w:val="1"/>
          <w:kern w:val="0"/>
          <w:sz w:val="24"/>
        </w:rPr>
        <w:t>，</w:t>
      </w:r>
      <w:r>
        <w:rPr>
          <w:rFonts w:hint="eastAsia" w:ascii="宋体" w:hAnsi="宋体" w:cs="宋体"/>
          <w:spacing w:val="1"/>
          <w:kern w:val="0"/>
          <w:sz w:val="24"/>
          <w:lang w:val="en-US" w:eastAsia="zh-CN"/>
        </w:rPr>
        <w:t>情</w:t>
      </w:r>
      <w:r>
        <w:rPr>
          <w:rFonts w:hint="eastAsia" w:ascii="宋体" w:hAnsi="宋体" w:cs="宋体"/>
          <w:spacing w:val="1"/>
          <w:kern w:val="0"/>
          <w:sz w:val="24"/>
        </w:rPr>
        <w:t>节特别严重，</w:t>
      </w:r>
      <w:r>
        <w:rPr>
          <w:rFonts w:hint="eastAsia" w:ascii="宋体" w:hAnsi="宋体" w:cs="宋体"/>
          <w:spacing w:val="1"/>
          <w:kern w:val="0"/>
          <w:sz w:val="24"/>
          <w:lang w:val="zh-CN"/>
        </w:rPr>
        <w:t>由上级行政机关或公安部门依法追究相关责任人的民事及刑事责任，并同时终止合同。</w:t>
      </w:r>
    </w:p>
    <w:p w14:paraId="7DFADB8D">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jc w:val="left"/>
        <w:textAlignment w:val="auto"/>
        <w:rPr>
          <w:rFonts w:ascii="宋体" w:hAnsi="宋体" w:cs="宋体"/>
          <w:spacing w:val="1"/>
          <w:kern w:val="0"/>
          <w:sz w:val="24"/>
        </w:rPr>
      </w:pPr>
      <w:r>
        <w:rPr>
          <w:rFonts w:ascii="宋体" w:hAnsi="宋体" w:cs="宋体"/>
          <w:spacing w:val="1"/>
          <w:kern w:val="0"/>
          <w:sz w:val="24"/>
        </w:rPr>
        <w:t>16</w:t>
      </w:r>
      <w:r>
        <w:rPr>
          <w:rFonts w:hint="eastAsia" w:ascii="宋体" w:hAnsi="宋体" w:cs="宋体"/>
          <w:spacing w:val="1"/>
          <w:kern w:val="0"/>
          <w:sz w:val="24"/>
        </w:rPr>
        <w:t>、对玩忽职守、疏于管理，造成学生食物中毒或者其他食源性疾患或重大安全事故的，视其情况予以扣除部分</w:t>
      </w:r>
      <w:r>
        <w:rPr>
          <w:rFonts w:hint="eastAsia" w:ascii="宋体" w:hAnsi="宋体" w:cs="宋体"/>
          <w:spacing w:val="1"/>
          <w:kern w:val="0"/>
          <w:sz w:val="24"/>
          <w:lang w:val="en-US" w:eastAsia="zh-CN"/>
        </w:rPr>
        <w:t>服务质量考评</w:t>
      </w:r>
      <w:r>
        <w:rPr>
          <w:rFonts w:hint="eastAsia" w:ascii="宋体" w:hAnsi="宋体" w:cs="宋体"/>
          <w:spacing w:val="1"/>
          <w:kern w:val="0"/>
          <w:sz w:val="24"/>
        </w:rPr>
        <w:t>金作为事故处理费用，情节严重的将终止合同。</w:t>
      </w:r>
    </w:p>
    <w:p w14:paraId="39C63B9A">
      <w:pPr>
        <w:keepNext w:val="0"/>
        <w:keepLines w:val="0"/>
        <w:pageBreakBefore w:val="0"/>
        <w:widowControl w:val="0"/>
        <w:kinsoku/>
        <w:wordWrap/>
        <w:overflowPunct/>
        <w:topLinePunct w:val="0"/>
        <w:autoSpaceDE w:val="0"/>
        <w:autoSpaceDN w:val="0"/>
        <w:bidi w:val="0"/>
        <w:adjustRightInd w:val="0"/>
        <w:snapToGrid w:val="0"/>
        <w:spacing w:line="360" w:lineRule="auto"/>
        <w:ind w:left="0" w:firstLine="484" w:firstLineChars="200"/>
        <w:jc w:val="left"/>
        <w:textAlignment w:val="auto"/>
        <w:rPr>
          <w:rFonts w:ascii="宋体" w:hAnsi="宋体" w:cs="宋体"/>
          <w:spacing w:val="1"/>
          <w:kern w:val="0"/>
          <w:sz w:val="24"/>
        </w:rPr>
      </w:pPr>
      <w:r>
        <w:rPr>
          <w:rFonts w:ascii="宋体" w:hAnsi="宋体" w:cs="宋体"/>
          <w:spacing w:val="1"/>
          <w:kern w:val="0"/>
          <w:sz w:val="24"/>
        </w:rPr>
        <w:t>17</w:t>
      </w:r>
      <w:r>
        <w:rPr>
          <w:rFonts w:hint="eastAsia" w:ascii="宋体" w:hAnsi="宋体" w:cs="宋体"/>
          <w:spacing w:val="1"/>
          <w:kern w:val="0"/>
          <w:sz w:val="24"/>
        </w:rPr>
        <w:t>、学校不定期地对食堂的经营服务质量进行检查评估，为确保饮食安全，学校有权对</w:t>
      </w:r>
      <w:r>
        <w:rPr>
          <w:rFonts w:hint="eastAsia" w:ascii="宋体" w:hAnsi="宋体" w:cs="宋体"/>
          <w:spacing w:val="1"/>
          <w:kern w:val="0"/>
          <w:sz w:val="24"/>
          <w:lang w:val="en-US" w:eastAsia="zh-CN"/>
        </w:rPr>
        <w:t>饭菜及</w:t>
      </w:r>
      <w:r>
        <w:rPr>
          <w:rFonts w:hint="eastAsia" w:ascii="宋体" w:hAnsi="宋体" w:cs="宋体"/>
          <w:spacing w:val="1"/>
          <w:kern w:val="0"/>
          <w:sz w:val="24"/>
        </w:rPr>
        <w:t>服务质量进行监督和提出改善意见，对在检查中发现有违反规定的，及时发出整改意见书予以通告；对屡教不改者，学校有权终止合同。</w:t>
      </w:r>
    </w:p>
    <w:p w14:paraId="622FE6BE">
      <w:pPr>
        <w:keepNext w:val="0"/>
        <w:keepLines w:val="0"/>
        <w:pageBreakBefore w:val="0"/>
        <w:widowControl w:val="0"/>
        <w:kinsoku/>
        <w:wordWrap/>
        <w:overflowPunct/>
        <w:topLinePunct w:val="0"/>
        <w:bidi w:val="0"/>
        <w:adjustRightInd w:val="0"/>
        <w:snapToGrid w:val="0"/>
        <w:spacing w:line="360" w:lineRule="auto"/>
        <w:ind w:left="0" w:firstLine="562" w:firstLineChars="200"/>
        <w:textAlignment w:val="auto"/>
        <w:rPr>
          <w:rFonts w:ascii="宋体" w:cs="宋体"/>
          <w:b/>
          <w:bCs/>
          <w:kern w:val="0"/>
          <w:sz w:val="28"/>
          <w:szCs w:val="21"/>
        </w:rPr>
      </w:pPr>
      <w:r>
        <w:rPr>
          <w:rFonts w:hint="eastAsia" w:ascii="宋体" w:hAnsi="宋体" w:cs="宋体"/>
          <w:b/>
          <w:bCs/>
          <w:kern w:val="0"/>
          <w:sz w:val="28"/>
          <w:szCs w:val="21"/>
        </w:rPr>
        <w:t>三、食堂实际用工及工资情况</w:t>
      </w:r>
    </w:p>
    <w:p w14:paraId="52211B6E">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hAnsi="宋体" w:cs="宋体"/>
          <w:kern w:val="0"/>
          <w:sz w:val="24"/>
        </w:rPr>
      </w:pPr>
      <w:r>
        <w:rPr>
          <w:rFonts w:hint="eastAsia" w:ascii="宋体" w:hAnsi="宋体" w:cs="宋体"/>
          <w:kern w:val="0"/>
          <w:sz w:val="24"/>
        </w:rPr>
        <w:t>我校食堂</w:t>
      </w:r>
      <w:r>
        <w:rPr>
          <w:rFonts w:ascii="宋体" w:hAnsi="宋体" w:cs="宋体"/>
          <w:kern w:val="0"/>
          <w:sz w:val="24"/>
        </w:rPr>
        <w:t>2024</w:t>
      </w:r>
      <w:r>
        <w:rPr>
          <w:rFonts w:hint="eastAsia" w:ascii="宋体" w:hAnsi="宋体" w:cs="宋体"/>
          <w:kern w:val="0"/>
          <w:sz w:val="24"/>
        </w:rPr>
        <w:t>年秋学期在校就餐师生约5</w:t>
      </w:r>
      <w:r>
        <w:rPr>
          <w:rFonts w:hint="eastAsia" w:ascii="宋体" w:hAnsi="宋体" w:cs="宋体"/>
          <w:kern w:val="0"/>
          <w:sz w:val="24"/>
          <w:lang w:val="en-US" w:eastAsia="zh-CN"/>
        </w:rPr>
        <w:t>60</w:t>
      </w:r>
      <w:r>
        <w:rPr>
          <w:rFonts w:hint="eastAsia" w:ascii="宋体" w:hAnsi="宋体" w:cs="宋体"/>
          <w:kern w:val="0"/>
          <w:sz w:val="24"/>
        </w:rPr>
        <w:t>人左右，需用食堂员工为7人，食堂员工与师生比约为</w:t>
      </w:r>
      <w:r>
        <w:rPr>
          <w:rFonts w:ascii="宋体" w:hAnsi="宋体" w:cs="宋体"/>
          <w:kern w:val="0"/>
          <w:sz w:val="24"/>
        </w:rPr>
        <w:t>1</w:t>
      </w:r>
      <w:r>
        <w:rPr>
          <w:rFonts w:hint="eastAsia" w:ascii="宋体" w:hAnsi="宋体" w:cs="宋体"/>
          <w:kern w:val="0"/>
          <w:sz w:val="24"/>
          <w:lang w:eastAsia="zh-CN"/>
        </w:rPr>
        <w:t>：</w:t>
      </w:r>
      <w:r>
        <w:rPr>
          <w:rFonts w:hint="eastAsia" w:ascii="宋体" w:hAnsi="宋体" w:cs="宋体"/>
          <w:kern w:val="0"/>
          <w:sz w:val="24"/>
          <w:lang w:val="en-US" w:eastAsia="zh-CN"/>
        </w:rPr>
        <w:t>80</w:t>
      </w:r>
      <w:r>
        <w:rPr>
          <w:rFonts w:hint="eastAsia" w:ascii="宋体" w:hAnsi="宋体" w:cs="宋体"/>
          <w:kern w:val="0"/>
          <w:sz w:val="24"/>
        </w:rPr>
        <w:t>，</w:t>
      </w:r>
      <w:r>
        <w:rPr>
          <w:rFonts w:hint="eastAsia" w:ascii="宋体" w:hAnsi="宋体" w:cs="宋体"/>
          <w:kern w:val="0"/>
          <w:sz w:val="24"/>
          <w:lang w:eastAsia="zh-CN"/>
        </w:rPr>
        <w:t>（</w:t>
      </w:r>
      <w:r>
        <w:rPr>
          <w:rFonts w:hint="eastAsia" w:ascii="宋体" w:hAnsi="宋体" w:cs="宋体"/>
          <w:kern w:val="0"/>
          <w:sz w:val="24"/>
          <w:lang w:val="en-US" w:eastAsia="zh-CN"/>
        </w:rPr>
        <w:t>食堂员工随实际就餐人数相应调整，如果每学期就餐人数增加或减少未超过10%，按原合同要求不变，如果每学期就餐人数增加或减少超过10%，按以上员工与师生比相应增减。</w:t>
      </w:r>
      <w:r>
        <w:rPr>
          <w:rFonts w:hint="eastAsia" w:ascii="宋体" w:hAnsi="宋体" w:cs="宋体"/>
          <w:kern w:val="0"/>
          <w:sz w:val="24"/>
          <w:lang w:eastAsia="zh-CN"/>
        </w:rPr>
        <w:t>）</w:t>
      </w:r>
      <w:r>
        <w:rPr>
          <w:rFonts w:hint="eastAsia" w:ascii="宋体" w:hAnsi="宋体" w:cs="宋体"/>
          <w:kern w:val="0"/>
          <w:sz w:val="24"/>
          <w:lang w:val="en-US" w:eastAsia="zh-CN"/>
        </w:rPr>
        <w:t>食堂劳务派遣用工</w:t>
      </w:r>
      <w:r>
        <w:rPr>
          <w:rFonts w:hint="eastAsia" w:ascii="宋体" w:hAnsi="宋体" w:cs="宋体"/>
          <w:kern w:val="0"/>
          <w:sz w:val="24"/>
        </w:rPr>
        <w:t>工资每月为</w:t>
      </w:r>
      <w:r>
        <w:rPr>
          <w:rFonts w:ascii="宋体" w:hAnsi="宋体" w:cs="宋体"/>
          <w:kern w:val="0"/>
          <w:sz w:val="24"/>
        </w:rPr>
        <w:t>2.662</w:t>
      </w:r>
      <w:r>
        <w:rPr>
          <w:rFonts w:hint="eastAsia" w:ascii="宋体" w:hAnsi="宋体" w:cs="宋体"/>
          <w:kern w:val="0"/>
          <w:sz w:val="24"/>
        </w:rPr>
        <w:t>万元，按每年</w:t>
      </w:r>
      <w:r>
        <w:rPr>
          <w:rFonts w:ascii="宋体" w:hAnsi="宋体" w:cs="宋体"/>
          <w:kern w:val="0"/>
          <w:sz w:val="24"/>
        </w:rPr>
        <w:t>10</w:t>
      </w:r>
      <w:r>
        <w:rPr>
          <w:rFonts w:hint="eastAsia" w:ascii="宋体" w:hAnsi="宋体" w:cs="宋体"/>
          <w:kern w:val="0"/>
          <w:sz w:val="24"/>
        </w:rPr>
        <w:t>个月计算，全年工资为</w:t>
      </w:r>
      <w:r>
        <w:rPr>
          <w:rFonts w:ascii="宋体" w:hAnsi="宋体" w:cs="宋体"/>
          <w:kern w:val="0"/>
          <w:sz w:val="24"/>
        </w:rPr>
        <w:t>26.62</w:t>
      </w:r>
      <w:r>
        <w:rPr>
          <w:rFonts w:hint="eastAsia" w:ascii="宋体" w:hAnsi="宋体" w:cs="宋体"/>
          <w:kern w:val="0"/>
          <w:sz w:val="24"/>
        </w:rPr>
        <w:t>万元（如暑期托管因政策原因取消，将按每年</w:t>
      </w:r>
      <w:r>
        <w:rPr>
          <w:rFonts w:ascii="宋体" w:hAnsi="宋体" w:cs="宋体"/>
          <w:kern w:val="0"/>
          <w:sz w:val="24"/>
        </w:rPr>
        <w:t>9</w:t>
      </w:r>
      <w:r>
        <w:rPr>
          <w:rFonts w:hint="eastAsia" w:ascii="宋体" w:hAnsi="宋体" w:cs="宋体"/>
          <w:kern w:val="0"/>
          <w:sz w:val="24"/>
        </w:rPr>
        <w:t>个月计算全年工资为</w:t>
      </w:r>
      <w:r>
        <w:rPr>
          <w:rFonts w:ascii="宋体" w:hAnsi="宋体" w:cs="宋体"/>
          <w:kern w:val="0"/>
          <w:sz w:val="24"/>
        </w:rPr>
        <w:t>23.958</w:t>
      </w:r>
      <w:r>
        <w:rPr>
          <w:rFonts w:hint="eastAsia" w:ascii="宋体" w:hAnsi="宋体" w:cs="宋体"/>
          <w:kern w:val="0"/>
          <w:sz w:val="24"/>
        </w:rPr>
        <w:t>万元）。</w:t>
      </w:r>
    </w:p>
    <w:p w14:paraId="49532DA0">
      <w:pPr>
        <w:keepNext w:val="0"/>
        <w:keepLines w:val="0"/>
        <w:pageBreakBefore w:val="0"/>
        <w:widowControl w:val="0"/>
        <w:kinsoku/>
        <w:wordWrap/>
        <w:overflowPunct/>
        <w:topLinePunct w:val="0"/>
        <w:bidi w:val="0"/>
        <w:adjustRightInd w:val="0"/>
        <w:snapToGrid w:val="0"/>
        <w:spacing w:line="360" w:lineRule="auto"/>
        <w:ind w:left="0" w:firstLine="562" w:firstLineChars="200"/>
        <w:textAlignment w:val="auto"/>
        <w:rPr>
          <w:rFonts w:ascii="宋体" w:cs="宋体"/>
          <w:b/>
          <w:bCs w:val="0"/>
          <w:kern w:val="0"/>
          <w:sz w:val="28"/>
          <w:szCs w:val="21"/>
        </w:rPr>
      </w:pPr>
      <w:r>
        <w:rPr>
          <w:rFonts w:hint="eastAsia" w:ascii="宋体" w:hAnsi="宋体" w:cs="宋体"/>
          <w:b/>
          <w:bCs w:val="0"/>
          <w:kern w:val="0"/>
          <w:sz w:val="28"/>
          <w:szCs w:val="21"/>
        </w:rPr>
        <w:t>四、食堂劳务派遣公司费用</w:t>
      </w:r>
    </w:p>
    <w:p w14:paraId="7D150A38">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cs="宋体"/>
          <w:kern w:val="0"/>
          <w:sz w:val="24"/>
        </w:rPr>
      </w:pPr>
      <w:r>
        <w:rPr>
          <w:rFonts w:hint="eastAsia" w:ascii="宋体" w:hAnsi="宋体" w:cs="宋体"/>
          <w:kern w:val="0"/>
          <w:sz w:val="24"/>
        </w:rPr>
        <w:t>全年食堂的劳务派遣费为</w:t>
      </w:r>
      <w:r>
        <w:rPr>
          <w:rFonts w:ascii="宋体" w:hAnsi="宋体" w:cs="宋体"/>
          <w:kern w:val="0"/>
          <w:sz w:val="24"/>
        </w:rPr>
        <w:t>31.</w:t>
      </w:r>
      <w:r>
        <w:rPr>
          <w:rFonts w:hint="eastAsia" w:ascii="宋体" w:hAnsi="宋体" w:cs="宋体"/>
          <w:kern w:val="0"/>
          <w:sz w:val="24"/>
          <w:lang w:val="en-US" w:eastAsia="zh-CN"/>
        </w:rPr>
        <w:t>2785</w:t>
      </w:r>
      <w:r>
        <w:rPr>
          <w:rFonts w:hint="eastAsia" w:ascii="宋体" w:hAnsi="宋体" w:cs="宋体"/>
          <w:kern w:val="0"/>
          <w:sz w:val="24"/>
        </w:rPr>
        <w:t>万元，全年食堂员工工资为</w:t>
      </w:r>
      <w:r>
        <w:rPr>
          <w:rFonts w:ascii="宋体" w:hAnsi="宋体" w:cs="宋体"/>
          <w:kern w:val="0"/>
          <w:sz w:val="24"/>
        </w:rPr>
        <w:t>26.62</w:t>
      </w:r>
      <w:r>
        <w:rPr>
          <w:rFonts w:hint="eastAsia" w:ascii="宋体" w:hAnsi="宋体" w:cs="宋体"/>
          <w:kern w:val="0"/>
          <w:sz w:val="24"/>
        </w:rPr>
        <w:t>万元，实际劳务派遣管理费为</w:t>
      </w:r>
      <w:r>
        <w:rPr>
          <w:rFonts w:hint="eastAsia" w:ascii="宋体" w:hAnsi="宋体" w:cs="宋体"/>
          <w:kern w:val="0"/>
          <w:sz w:val="24"/>
          <w:lang w:val="en-US" w:eastAsia="zh-CN"/>
        </w:rPr>
        <w:t>4.6585</w:t>
      </w:r>
      <w:r>
        <w:rPr>
          <w:rFonts w:hint="eastAsia" w:ascii="宋体" w:hAnsi="宋体" w:cs="宋体"/>
          <w:kern w:val="0"/>
          <w:sz w:val="24"/>
        </w:rPr>
        <w:t>万元。（如暑期托管因政策取消，将按每年</w:t>
      </w:r>
      <w:r>
        <w:rPr>
          <w:rFonts w:ascii="宋体" w:hAnsi="宋体" w:cs="宋体"/>
          <w:kern w:val="0"/>
          <w:sz w:val="24"/>
        </w:rPr>
        <w:t>9</w:t>
      </w:r>
      <w:r>
        <w:rPr>
          <w:rFonts w:hint="eastAsia" w:ascii="宋体" w:hAnsi="宋体" w:cs="宋体"/>
          <w:kern w:val="0"/>
          <w:sz w:val="24"/>
        </w:rPr>
        <w:t>个月计算为</w:t>
      </w:r>
      <w:r>
        <w:rPr>
          <w:rFonts w:ascii="宋体" w:hAnsi="宋体" w:cs="宋体"/>
          <w:kern w:val="0"/>
          <w:sz w:val="24"/>
        </w:rPr>
        <w:t>4.</w:t>
      </w:r>
      <w:r>
        <w:rPr>
          <w:rFonts w:hint="eastAsia" w:ascii="宋体" w:hAnsi="宋体" w:cs="宋体"/>
          <w:kern w:val="0"/>
          <w:sz w:val="24"/>
          <w:lang w:val="en-US" w:eastAsia="zh-CN"/>
        </w:rPr>
        <w:t>19265</w:t>
      </w:r>
      <w:r>
        <w:rPr>
          <w:rFonts w:hint="eastAsia" w:ascii="宋体" w:hAnsi="宋体" w:cs="宋体"/>
          <w:kern w:val="0"/>
          <w:sz w:val="24"/>
        </w:rPr>
        <w:t>万元）。</w:t>
      </w:r>
    </w:p>
    <w:p w14:paraId="49CCB49D">
      <w:pPr>
        <w:keepNext w:val="0"/>
        <w:keepLines w:val="0"/>
        <w:pageBreakBefore w:val="0"/>
        <w:widowControl w:val="0"/>
        <w:kinsoku/>
        <w:wordWrap/>
        <w:overflowPunct/>
        <w:topLinePunct w:val="0"/>
        <w:bidi w:val="0"/>
        <w:adjustRightInd w:val="0"/>
        <w:snapToGrid w:val="0"/>
        <w:spacing w:line="360" w:lineRule="auto"/>
        <w:ind w:left="0" w:firstLine="562" w:firstLineChars="200"/>
        <w:textAlignment w:val="auto"/>
        <w:rPr>
          <w:rFonts w:hint="eastAsia" w:ascii="宋体" w:eastAsia="宋体" w:cs="宋体"/>
          <w:b/>
          <w:bCs/>
          <w:kern w:val="0"/>
          <w:sz w:val="28"/>
          <w:szCs w:val="21"/>
          <w:lang w:val="en-US" w:eastAsia="zh-CN"/>
        </w:rPr>
      </w:pPr>
      <w:r>
        <w:rPr>
          <w:rFonts w:hint="eastAsia" w:ascii="宋体" w:hAnsi="宋体" w:cs="宋体"/>
          <w:b/>
          <w:bCs/>
          <w:kern w:val="0"/>
          <w:sz w:val="28"/>
          <w:szCs w:val="21"/>
        </w:rPr>
        <w:t>五、招标事项的说明和要求</w:t>
      </w:r>
    </w:p>
    <w:p w14:paraId="7EB4CFE4">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hint="default" w:ascii="宋体" w:hAnsi="宋体" w:eastAsia="宋体" w:cs="宋体"/>
          <w:kern w:val="0"/>
          <w:sz w:val="24"/>
          <w:lang w:val="en-US" w:eastAsia="zh-CN"/>
        </w:rPr>
      </w:pPr>
      <w:r>
        <w:rPr>
          <w:rFonts w:hint="eastAsia" w:ascii="宋体" w:hAnsi="宋体" w:cs="宋体"/>
          <w:kern w:val="0"/>
          <w:sz w:val="24"/>
          <w:lang w:val="en-US" w:eastAsia="zh-CN"/>
        </w:rPr>
        <w:t>1</w:t>
      </w:r>
      <w:r>
        <w:rPr>
          <w:rFonts w:hint="eastAsia" w:ascii="宋体" w:hAnsi="宋体" w:cs="宋体"/>
          <w:spacing w:val="1"/>
          <w:kern w:val="0"/>
          <w:sz w:val="24"/>
        </w:rPr>
        <w:t>、</w:t>
      </w:r>
      <w:r>
        <w:rPr>
          <w:rFonts w:hint="eastAsia" w:ascii="宋体" w:hAnsi="宋体" w:cs="宋体"/>
          <w:spacing w:val="1"/>
          <w:kern w:val="0"/>
          <w:sz w:val="24"/>
          <w:lang w:val="en-US" w:eastAsia="zh-CN"/>
        </w:rPr>
        <w:t>最高限价：31.2785万元</w:t>
      </w:r>
    </w:p>
    <w:p w14:paraId="5E59331E">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hint="eastAsia" w:ascii="宋体" w:hAnsi="宋体" w:cs="宋体"/>
          <w:kern w:val="0"/>
          <w:sz w:val="24"/>
        </w:rPr>
      </w:pPr>
      <w:r>
        <w:rPr>
          <w:rFonts w:hint="eastAsia" w:ascii="宋体" w:hAnsi="宋体" w:cs="宋体"/>
          <w:kern w:val="0"/>
          <w:sz w:val="24"/>
          <w:lang w:val="en-US" w:eastAsia="zh-CN"/>
        </w:rPr>
        <w:t>2</w:t>
      </w:r>
      <w:r>
        <w:rPr>
          <w:rFonts w:hint="eastAsia" w:ascii="宋体" w:hAnsi="宋体" w:cs="宋体"/>
          <w:spacing w:val="1"/>
          <w:kern w:val="0"/>
          <w:sz w:val="24"/>
        </w:rPr>
        <w:t>、</w:t>
      </w:r>
      <w:r>
        <w:rPr>
          <w:rFonts w:hint="eastAsia" w:ascii="宋体" w:hAnsi="宋体" w:cs="宋体"/>
          <w:kern w:val="0"/>
          <w:sz w:val="24"/>
        </w:rPr>
        <w:t>投标报价为完成本次招标项目的全费用价格。费用组成包括但不限于劳务派遣管理费、利润、派遣人员工资、保险、社保、加班工资、防暑降温费、食宿交通费、招标代理费、</w:t>
      </w:r>
      <w:r>
        <w:rPr>
          <w:rFonts w:hint="eastAsia" w:ascii="宋体" w:hAnsi="宋体" w:cs="宋体"/>
          <w:kern w:val="0"/>
          <w:sz w:val="24"/>
          <w:lang w:val="en-US" w:eastAsia="zh-CN"/>
        </w:rPr>
        <w:t>税金</w:t>
      </w:r>
      <w:r>
        <w:rPr>
          <w:rFonts w:hint="eastAsia" w:ascii="宋体" w:hAnsi="宋体" w:cs="宋体"/>
          <w:kern w:val="0"/>
          <w:sz w:val="24"/>
        </w:rPr>
        <w:t>等为完成本次招投标项目所发生的一切费用（注：所有费用均含税金）。</w:t>
      </w:r>
    </w:p>
    <w:p w14:paraId="645F6B97">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cs="宋体"/>
          <w:kern w:val="0"/>
          <w:sz w:val="24"/>
        </w:rPr>
      </w:pPr>
      <w:r>
        <w:rPr>
          <w:rFonts w:hint="eastAsia" w:ascii="宋体" w:hAnsi="宋体" w:cs="宋体"/>
          <w:kern w:val="0"/>
          <w:sz w:val="24"/>
          <w:lang w:val="en-US" w:eastAsia="zh-CN"/>
        </w:rPr>
        <w:t>3</w:t>
      </w:r>
      <w:r>
        <w:rPr>
          <w:rFonts w:hint="eastAsia" w:ascii="宋体" w:hAnsi="宋体" w:cs="宋体"/>
          <w:kern w:val="0"/>
          <w:sz w:val="24"/>
        </w:rPr>
        <w:t>、投标方应考虑合同期内政策性费用调整的风险，履约期内不得以任何理由增加劳务派遣费用。如遇不可抗力或上级要求，放假时间超过</w:t>
      </w:r>
      <w:r>
        <w:rPr>
          <w:rFonts w:ascii="宋体" w:hAnsi="宋体" w:cs="宋体"/>
          <w:kern w:val="0"/>
          <w:sz w:val="24"/>
        </w:rPr>
        <w:t>10</w:t>
      </w:r>
      <w:r>
        <w:rPr>
          <w:rFonts w:hint="eastAsia" w:ascii="宋体" w:hAnsi="宋体" w:cs="宋体"/>
          <w:kern w:val="0"/>
          <w:sz w:val="24"/>
        </w:rPr>
        <w:t>个日历天以上的（每月按30个日历天计算），校方不支付此时段的劳务派遣费。</w:t>
      </w:r>
    </w:p>
    <w:p w14:paraId="4781DA2B">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cs="宋体"/>
          <w:kern w:val="0"/>
          <w:sz w:val="24"/>
        </w:rPr>
      </w:pPr>
      <w:r>
        <w:rPr>
          <w:rFonts w:hint="eastAsia" w:ascii="宋体" w:hAnsi="宋体" w:cs="宋体"/>
          <w:kern w:val="0"/>
          <w:sz w:val="24"/>
          <w:lang w:val="en-US" w:eastAsia="zh-CN"/>
        </w:rPr>
        <w:t>4</w:t>
      </w:r>
      <w:r>
        <w:rPr>
          <w:rFonts w:hint="eastAsia" w:ascii="宋体" w:hAnsi="宋体" w:cs="宋体"/>
          <w:kern w:val="0"/>
          <w:sz w:val="24"/>
        </w:rPr>
        <w:t>、</w:t>
      </w:r>
      <w:r>
        <w:rPr>
          <w:rFonts w:hint="eastAsia" w:ascii="宋体" w:hAnsi="宋体" w:cs="宋体"/>
          <w:kern w:val="0"/>
          <w:sz w:val="24"/>
          <w:lang w:val="en-US" w:eastAsia="zh-CN"/>
        </w:rPr>
        <w:t>成交人</w:t>
      </w:r>
      <w:r>
        <w:rPr>
          <w:rFonts w:hint="eastAsia" w:ascii="宋体" w:hAnsi="宋体" w:cs="宋体"/>
          <w:kern w:val="0"/>
          <w:sz w:val="24"/>
        </w:rPr>
        <w:t>原则上不得增加或减少工人人数、工人工资，如特殊原因需要变动，必须经校方同意。如学校要求临时加班，由</w:t>
      </w:r>
      <w:r>
        <w:rPr>
          <w:rFonts w:hint="eastAsia" w:ascii="宋体" w:hAnsi="宋体" w:cs="宋体"/>
          <w:kern w:val="0"/>
          <w:sz w:val="24"/>
          <w:lang w:val="en-US" w:eastAsia="zh-CN"/>
        </w:rPr>
        <w:t>成交人</w:t>
      </w:r>
      <w:r>
        <w:rPr>
          <w:rFonts w:hint="eastAsia" w:ascii="宋体" w:hAnsi="宋体" w:cs="宋体"/>
          <w:kern w:val="0"/>
          <w:sz w:val="24"/>
        </w:rPr>
        <w:t>负责人员的安排调配，校方不再另外支付费用。</w:t>
      </w:r>
    </w:p>
    <w:p w14:paraId="03A882CA">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cs="宋体"/>
          <w:kern w:val="0"/>
          <w:sz w:val="24"/>
        </w:rPr>
      </w:pPr>
      <w:r>
        <w:rPr>
          <w:rFonts w:hint="eastAsia" w:ascii="宋体" w:hAnsi="宋体" w:cs="宋体"/>
          <w:kern w:val="0"/>
          <w:sz w:val="24"/>
          <w:lang w:val="en-US" w:eastAsia="zh-CN"/>
        </w:rPr>
        <w:t>5</w:t>
      </w:r>
      <w:r>
        <w:rPr>
          <w:rFonts w:hint="eastAsia" w:ascii="宋体" w:hAnsi="宋体" w:cs="宋体"/>
          <w:kern w:val="0"/>
          <w:sz w:val="24"/>
        </w:rPr>
        <w:t>、</w:t>
      </w:r>
      <w:r>
        <w:rPr>
          <w:rFonts w:hint="eastAsia" w:ascii="宋体" w:hAnsi="宋体" w:cs="宋体"/>
          <w:kern w:val="0"/>
          <w:sz w:val="24"/>
          <w:lang w:val="en-US" w:eastAsia="zh-CN"/>
        </w:rPr>
        <w:t>成交人</w:t>
      </w:r>
      <w:r>
        <w:rPr>
          <w:rFonts w:hint="eastAsia" w:ascii="宋体" w:hAnsi="宋体" w:cs="宋体"/>
          <w:kern w:val="0"/>
          <w:sz w:val="24"/>
        </w:rPr>
        <w:t>负责按规程正确操作使用烹饪设备、空调及通风系统、消防系统等设备，监控其运行状态，并做好日常简单维护工作，如操作中出现异常情况应及时报告校方并联系维保单位，以确保设备完好和正常运行。</w:t>
      </w:r>
    </w:p>
    <w:p w14:paraId="782DFE04">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cs="宋体"/>
          <w:kern w:val="0"/>
          <w:sz w:val="24"/>
        </w:rPr>
      </w:pPr>
      <w:r>
        <w:rPr>
          <w:rFonts w:hint="eastAsia" w:ascii="宋体" w:hAnsi="宋体" w:cs="宋体"/>
          <w:kern w:val="0"/>
          <w:sz w:val="24"/>
          <w:lang w:val="en-US" w:eastAsia="zh-CN"/>
        </w:rPr>
        <w:t>6</w:t>
      </w:r>
      <w:r>
        <w:rPr>
          <w:rFonts w:hint="eastAsia" w:ascii="宋体" w:hAnsi="宋体" w:cs="宋体"/>
          <w:kern w:val="0"/>
          <w:sz w:val="24"/>
        </w:rPr>
        <w:t>、在工作期间如发生伤亡事故等，由</w:t>
      </w:r>
      <w:r>
        <w:rPr>
          <w:rFonts w:hint="eastAsia" w:ascii="宋体" w:hAnsi="宋体" w:cs="宋体"/>
          <w:kern w:val="0"/>
          <w:sz w:val="24"/>
          <w:lang w:val="en-US" w:eastAsia="zh-CN"/>
        </w:rPr>
        <w:t>成交人</w:t>
      </w:r>
      <w:r>
        <w:rPr>
          <w:rFonts w:hint="eastAsia" w:ascii="宋体" w:hAnsi="宋体" w:cs="宋体"/>
          <w:kern w:val="0"/>
          <w:sz w:val="24"/>
        </w:rPr>
        <w:t>负责处理，并承担全部责任，与校方无关。</w:t>
      </w:r>
    </w:p>
    <w:p w14:paraId="60471B51">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cs="宋体"/>
          <w:kern w:val="0"/>
          <w:sz w:val="24"/>
        </w:rPr>
      </w:pPr>
      <w:r>
        <w:rPr>
          <w:rFonts w:hint="eastAsia" w:ascii="宋体" w:hAnsi="宋体" w:cs="宋体"/>
          <w:kern w:val="0"/>
          <w:sz w:val="24"/>
          <w:lang w:val="en-US" w:eastAsia="zh-CN"/>
        </w:rPr>
        <w:t>7</w:t>
      </w:r>
      <w:r>
        <w:rPr>
          <w:rFonts w:hint="eastAsia" w:ascii="宋体" w:hAnsi="宋体" w:cs="宋体"/>
          <w:kern w:val="0"/>
          <w:sz w:val="24"/>
        </w:rPr>
        <w:t>、</w:t>
      </w:r>
      <w:r>
        <w:rPr>
          <w:rFonts w:hint="eastAsia" w:ascii="宋体" w:hAnsi="宋体" w:cs="宋体"/>
          <w:kern w:val="0"/>
          <w:sz w:val="24"/>
          <w:lang w:val="en-US" w:eastAsia="zh-CN"/>
        </w:rPr>
        <w:t>成交人</w:t>
      </w:r>
      <w:r>
        <w:rPr>
          <w:rFonts w:hint="eastAsia" w:ascii="宋体" w:hAnsi="宋体" w:cs="宋体"/>
          <w:kern w:val="0"/>
          <w:sz w:val="24"/>
        </w:rPr>
        <w:t>负责学校食堂管理相关资料的准备，配合校方完成食材的验收、留样等相关工作，接受校方及上级部门的指导、监督、检查。</w:t>
      </w:r>
    </w:p>
    <w:p w14:paraId="414F29FC">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hint="eastAsia" w:ascii="宋体" w:hAnsi="宋体" w:cs="宋体"/>
          <w:kern w:val="0"/>
          <w:sz w:val="24"/>
          <w:lang w:eastAsia="zh-CN"/>
        </w:rPr>
      </w:pPr>
      <w:r>
        <w:rPr>
          <w:rFonts w:ascii="宋体" w:hAnsi="宋体" w:cs="宋体"/>
          <w:kern w:val="0"/>
          <w:sz w:val="24"/>
        </w:rPr>
        <w:t>8</w:t>
      </w:r>
      <w:r>
        <w:rPr>
          <w:rFonts w:hint="eastAsia" w:ascii="宋体" w:hAnsi="宋体" w:cs="宋体"/>
          <w:kern w:val="0"/>
          <w:sz w:val="24"/>
        </w:rPr>
        <w:t>、食堂所有员工都需按校方规定交纳餐费，与</w:t>
      </w:r>
      <w:r>
        <w:rPr>
          <w:rFonts w:hint="eastAsia" w:ascii="宋体" w:hAnsi="宋体" w:cs="宋体"/>
          <w:kern w:val="0"/>
          <w:sz w:val="24"/>
          <w:lang w:val="en-US" w:eastAsia="zh-CN"/>
        </w:rPr>
        <w:t>教师</w:t>
      </w:r>
      <w:r>
        <w:rPr>
          <w:rFonts w:hint="eastAsia" w:ascii="宋体" w:hAnsi="宋体" w:cs="宋体"/>
          <w:kern w:val="0"/>
          <w:sz w:val="24"/>
        </w:rPr>
        <w:t>同餐同价</w:t>
      </w:r>
      <w:r>
        <w:rPr>
          <w:rFonts w:hint="eastAsia" w:ascii="宋体" w:hAnsi="宋体" w:cs="宋体"/>
          <w:kern w:val="0"/>
          <w:sz w:val="24"/>
          <w:lang w:eastAsia="zh-CN"/>
        </w:rPr>
        <w:t>。</w:t>
      </w:r>
    </w:p>
    <w:p w14:paraId="384C631D">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cs="宋体"/>
          <w:kern w:val="0"/>
          <w:sz w:val="24"/>
        </w:rPr>
      </w:pPr>
      <w:r>
        <w:rPr>
          <w:rFonts w:ascii="宋体" w:hAnsi="宋体" w:cs="宋体"/>
          <w:kern w:val="0"/>
          <w:sz w:val="24"/>
        </w:rPr>
        <w:t>9</w:t>
      </w:r>
      <w:r>
        <w:rPr>
          <w:rFonts w:hint="eastAsia" w:ascii="宋体" w:hAnsi="宋体" w:cs="宋体"/>
          <w:kern w:val="0"/>
          <w:sz w:val="24"/>
        </w:rPr>
        <w:t>、付款方式：按全年招标价分</w:t>
      </w:r>
      <w:r>
        <w:rPr>
          <w:rFonts w:ascii="宋体" w:hAnsi="宋体" w:cs="宋体"/>
          <w:kern w:val="0"/>
          <w:sz w:val="24"/>
        </w:rPr>
        <w:t>10</w:t>
      </w:r>
      <w:r>
        <w:rPr>
          <w:rFonts w:hint="eastAsia" w:ascii="宋体" w:hAnsi="宋体" w:cs="宋体"/>
          <w:kern w:val="0"/>
          <w:sz w:val="24"/>
        </w:rPr>
        <w:t>个月支付劳务派遣费用，下月初支付上月的费用。每月在应付劳务派遣费中扣除</w:t>
      </w:r>
      <w:r>
        <w:rPr>
          <w:rFonts w:hint="eastAsia" w:ascii="宋体" w:hAnsi="宋体" w:cs="宋体"/>
          <w:kern w:val="0"/>
          <w:sz w:val="24"/>
          <w:lang w:val="en-US" w:eastAsia="zh-CN"/>
        </w:rPr>
        <w:t>2</w:t>
      </w:r>
      <w:r>
        <w:rPr>
          <w:rFonts w:ascii="宋体" w:hAnsi="宋体" w:cs="宋体"/>
          <w:kern w:val="0"/>
          <w:sz w:val="24"/>
        </w:rPr>
        <w:t>000</w:t>
      </w:r>
      <w:r>
        <w:rPr>
          <w:rFonts w:hint="eastAsia" w:ascii="宋体" w:hAnsi="宋体" w:cs="宋体"/>
          <w:kern w:val="0"/>
          <w:sz w:val="24"/>
        </w:rPr>
        <w:t>元为服务质量</w:t>
      </w:r>
      <w:r>
        <w:rPr>
          <w:rFonts w:hint="eastAsia" w:ascii="宋体" w:hAnsi="宋体" w:cs="宋体"/>
          <w:kern w:val="0"/>
          <w:sz w:val="24"/>
          <w:lang w:val="en-US" w:eastAsia="zh-CN"/>
        </w:rPr>
        <w:t>考评</w:t>
      </w:r>
      <w:r>
        <w:rPr>
          <w:rFonts w:hint="eastAsia" w:ascii="宋体" w:hAnsi="宋体" w:cs="宋体"/>
          <w:kern w:val="0"/>
          <w:sz w:val="24"/>
        </w:rPr>
        <w:t>金，在每学期结束后由校方组织考核并按考核等次发放服务质量</w:t>
      </w:r>
      <w:r>
        <w:rPr>
          <w:rFonts w:hint="eastAsia" w:ascii="宋体" w:hAnsi="宋体" w:cs="宋体"/>
          <w:kern w:val="0"/>
          <w:sz w:val="24"/>
          <w:lang w:val="en-US" w:eastAsia="zh-CN"/>
        </w:rPr>
        <w:t>考评</w:t>
      </w:r>
      <w:r>
        <w:rPr>
          <w:rFonts w:hint="eastAsia" w:ascii="宋体" w:hAnsi="宋体" w:cs="宋体"/>
          <w:kern w:val="0"/>
          <w:sz w:val="24"/>
        </w:rPr>
        <w:t>金。总分为</w:t>
      </w:r>
      <w:r>
        <w:rPr>
          <w:rFonts w:ascii="宋体" w:hAnsi="宋体" w:cs="宋体"/>
          <w:kern w:val="0"/>
          <w:sz w:val="24"/>
        </w:rPr>
        <w:t>100</w:t>
      </w:r>
      <w:r>
        <w:rPr>
          <w:rFonts w:hint="eastAsia" w:ascii="宋体" w:hAnsi="宋体" w:cs="宋体"/>
          <w:kern w:val="0"/>
          <w:sz w:val="24"/>
        </w:rPr>
        <w:t>分，得分在</w:t>
      </w:r>
      <w:r>
        <w:rPr>
          <w:rFonts w:ascii="宋体" w:hAnsi="宋体" w:cs="宋体"/>
          <w:kern w:val="0"/>
          <w:sz w:val="24"/>
        </w:rPr>
        <w:t>90</w:t>
      </w:r>
      <w:r>
        <w:rPr>
          <w:rFonts w:hint="eastAsia" w:ascii="宋体" w:hAnsi="宋体" w:cs="宋体"/>
          <w:kern w:val="0"/>
          <w:sz w:val="24"/>
        </w:rPr>
        <w:t>分以上的全额发放，</w:t>
      </w:r>
      <w:r>
        <w:rPr>
          <w:rFonts w:ascii="宋体" w:hAnsi="宋体" w:cs="宋体"/>
          <w:kern w:val="0"/>
          <w:sz w:val="24"/>
        </w:rPr>
        <w:t>80--90</w:t>
      </w:r>
      <w:r>
        <w:rPr>
          <w:rFonts w:hint="eastAsia" w:ascii="宋体" w:hAnsi="宋体" w:cs="宋体"/>
          <w:kern w:val="0"/>
          <w:sz w:val="24"/>
        </w:rPr>
        <w:t>分的发放</w:t>
      </w:r>
      <w:r>
        <w:rPr>
          <w:rFonts w:ascii="宋体" w:hAnsi="宋体" w:cs="宋体"/>
          <w:kern w:val="0"/>
          <w:sz w:val="24"/>
        </w:rPr>
        <w:t>90%</w:t>
      </w:r>
      <w:r>
        <w:rPr>
          <w:rFonts w:hint="eastAsia" w:ascii="宋体" w:hAnsi="宋体" w:cs="宋体"/>
          <w:kern w:val="0"/>
          <w:sz w:val="24"/>
        </w:rPr>
        <w:t>，</w:t>
      </w:r>
      <w:r>
        <w:rPr>
          <w:rFonts w:ascii="宋体" w:hAnsi="宋体" w:cs="宋体"/>
          <w:kern w:val="0"/>
          <w:sz w:val="24"/>
        </w:rPr>
        <w:t>70--80</w:t>
      </w:r>
      <w:r>
        <w:rPr>
          <w:rFonts w:hint="eastAsia" w:ascii="宋体" w:hAnsi="宋体" w:cs="宋体"/>
          <w:kern w:val="0"/>
          <w:sz w:val="24"/>
        </w:rPr>
        <w:t>分的发放</w:t>
      </w:r>
      <w:r>
        <w:rPr>
          <w:rFonts w:ascii="宋体" w:hAnsi="宋体" w:cs="宋体"/>
          <w:kern w:val="0"/>
          <w:sz w:val="24"/>
        </w:rPr>
        <w:t>80%</w:t>
      </w:r>
      <w:r>
        <w:rPr>
          <w:rFonts w:hint="eastAsia" w:ascii="宋体" w:hAnsi="宋体" w:cs="宋体"/>
          <w:kern w:val="0"/>
          <w:sz w:val="24"/>
        </w:rPr>
        <w:t>，</w:t>
      </w:r>
      <w:r>
        <w:rPr>
          <w:rFonts w:ascii="宋体" w:hAnsi="宋体" w:cs="宋体"/>
          <w:kern w:val="0"/>
          <w:sz w:val="24"/>
        </w:rPr>
        <w:t>60--70</w:t>
      </w:r>
      <w:r>
        <w:rPr>
          <w:rFonts w:hint="eastAsia" w:ascii="宋体" w:hAnsi="宋体" w:cs="宋体"/>
          <w:kern w:val="0"/>
          <w:sz w:val="24"/>
        </w:rPr>
        <w:t>分的发放</w:t>
      </w:r>
      <w:r>
        <w:rPr>
          <w:rFonts w:ascii="宋体" w:hAnsi="宋体" w:cs="宋体"/>
          <w:kern w:val="0"/>
          <w:sz w:val="24"/>
        </w:rPr>
        <w:t>60%</w:t>
      </w:r>
      <w:r>
        <w:rPr>
          <w:rFonts w:hint="eastAsia" w:ascii="宋体" w:hAnsi="宋体" w:cs="宋体"/>
          <w:kern w:val="0"/>
          <w:sz w:val="24"/>
        </w:rPr>
        <w:t>，低于</w:t>
      </w:r>
      <w:r>
        <w:rPr>
          <w:rFonts w:ascii="宋体" w:hAnsi="宋体" w:cs="宋体"/>
          <w:kern w:val="0"/>
          <w:sz w:val="24"/>
        </w:rPr>
        <w:t>60</w:t>
      </w:r>
      <w:r>
        <w:rPr>
          <w:rFonts w:hint="eastAsia" w:ascii="宋体" w:hAnsi="宋体" w:cs="宋体"/>
          <w:kern w:val="0"/>
          <w:sz w:val="24"/>
        </w:rPr>
        <w:t>分的不发放，下一年不再续签合同。中标方在经营管理过程中，如出现以下问题，将从每学期服务质量</w:t>
      </w:r>
      <w:r>
        <w:rPr>
          <w:rFonts w:hint="eastAsia" w:ascii="宋体" w:hAnsi="宋体" w:cs="宋体"/>
          <w:kern w:val="0"/>
          <w:sz w:val="24"/>
          <w:lang w:val="en-US" w:eastAsia="zh-CN"/>
        </w:rPr>
        <w:t>考评</w:t>
      </w:r>
      <w:r>
        <w:rPr>
          <w:rFonts w:hint="eastAsia" w:ascii="宋体" w:hAnsi="宋体" w:cs="宋体"/>
          <w:kern w:val="0"/>
          <w:sz w:val="24"/>
        </w:rPr>
        <w:t>金中优先扣除部分费用</w:t>
      </w:r>
      <w:r>
        <w:rPr>
          <w:rFonts w:hint="eastAsia" w:ascii="宋体" w:hAnsi="宋体" w:cs="宋体"/>
          <w:kern w:val="0"/>
          <w:sz w:val="24"/>
          <w:lang w:eastAsia="zh-CN"/>
        </w:rPr>
        <w:t>：</w:t>
      </w:r>
      <w:r>
        <w:rPr>
          <w:rFonts w:hint="eastAsia" w:ascii="宋体" w:hAnsi="宋体" w:cs="宋体"/>
          <w:kern w:val="0"/>
          <w:sz w:val="24"/>
        </w:rPr>
        <w:t>学校在食堂自查中发现问题</w:t>
      </w:r>
      <w:r>
        <w:rPr>
          <w:rFonts w:hint="eastAsia" w:ascii="宋体" w:hAnsi="宋体" w:cs="宋体"/>
          <w:kern w:val="0"/>
          <w:sz w:val="24"/>
          <w:lang w:val="en-US" w:eastAsia="zh-CN"/>
        </w:rPr>
        <w:t>要立即整改，如一个问题屡次出现</w:t>
      </w:r>
      <w:r>
        <w:rPr>
          <w:rFonts w:hint="eastAsia" w:ascii="宋体" w:hAnsi="宋体" w:cs="宋体"/>
          <w:kern w:val="0"/>
          <w:sz w:val="24"/>
        </w:rPr>
        <w:t>，</w:t>
      </w:r>
      <w:r>
        <w:rPr>
          <w:rFonts w:hint="eastAsia" w:ascii="宋体" w:hAnsi="宋体" w:cs="宋体"/>
          <w:kern w:val="0"/>
          <w:sz w:val="24"/>
          <w:lang w:val="en-US" w:eastAsia="zh-CN"/>
        </w:rPr>
        <w:t>即</w:t>
      </w:r>
      <w:r>
        <w:rPr>
          <w:rFonts w:hint="eastAsia" w:ascii="宋体" w:hAnsi="宋体" w:cs="宋体"/>
          <w:kern w:val="0"/>
          <w:sz w:val="24"/>
        </w:rPr>
        <w:t>扣除</w:t>
      </w:r>
      <w:r>
        <w:rPr>
          <w:rFonts w:ascii="宋体" w:hAnsi="宋体" w:cs="宋体"/>
          <w:kern w:val="0"/>
          <w:sz w:val="24"/>
        </w:rPr>
        <w:t>100</w:t>
      </w:r>
      <w:r>
        <w:rPr>
          <w:rFonts w:hint="eastAsia" w:ascii="宋体" w:hAnsi="宋体" w:cs="宋体"/>
          <w:kern w:val="0"/>
          <w:sz w:val="24"/>
        </w:rPr>
        <w:t>元，县级主管部门</w:t>
      </w:r>
      <w:r>
        <w:rPr>
          <w:rFonts w:ascii="宋体" w:hAnsi="宋体" w:cs="宋体"/>
          <w:kern w:val="0"/>
          <w:sz w:val="24"/>
        </w:rPr>
        <w:t>(</w:t>
      </w:r>
      <w:r>
        <w:rPr>
          <w:rFonts w:hint="eastAsia" w:ascii="宋体" w:hAnsi="宋体" w:cs="宋体"/>
          <w:kern w:val="0"/>
          <w:sz w:val="24"/>
        </w:rPr>
        <w:t>含市场监管局、教育局等</w:t>
      </w:r>
      <w:r>
        <w:rPr>
          <w:rFonts w:ascii="宋体" w:hAnsi="宋体" w:cs="宋体"/>
          <w:kern w:val="0"/>
          <w:sz w:val="24"/>
        </w:rPr>
        <w:t>)</w:t>
      </w:r>
      <w:r>
        <w:rPr>
          <w:rFonts w:hint="eastAsia" w:ascii="宋体" w:hAnsi="宋体" w:cs="宋体"/>
          <w:kern w:val="0"/>
          <w:sz w:val="24"/>
        </w:rPr>
        <w:t>各类检查中每发现一个问题，扣除</w:t>
      </w:r>
      <w:r>
        <w:rPr>
          <w:rFonts w:ascii="宋体" w:hAnsi="宋体" w:cs="宋体"/>
          <w:kern w:val="0"/>
          <w:sz w:val="24"/>
        </w:rPr>
        <w:t>200</w:t>
      </w:r>
      <w:r>
        <w:rPr>
          <w:rFonts w:hint="eastAsia" w:ascii="宋体" w:hAnsi="宋体" w:cs="宋体"/>
          <w:kern w:val="0"/>
          <w:sz w:val="24"/>
        </w:rPr>
        <w:t>元，省市主管部门各类检查中每发现一个问题，扣除</w:t>
      </w:r>
      <w:r>
        <w:rPr>
          <w:rFonts w:ascii="宋体" w:hAnsi="宋体" w:cs="宋体"/>
          <w:kern w:val="0"/>
          <w:sz w:val="24"/>
        </w:rPr>
        <w:t>3</w:t>
      </w:r>
      <w:r>
        <w:rPr>
          <w:rFonts w:ascii="宋体" w:cs="宋体"/>
          <w:kern w:val="0"/>
          <w:sz w:val="24"/>
        </w:rPr>
        <w:t>00</w:t>
      </w:r>
      <w:r>
        <w:rPr>
          <w:rFonts w:hint="eastAsia" w:ascii="宋体" w:hAnsi="宋体" w:cs="宋体"/>
          <w:kern w:val="0"/>
          <w:sz w:val="24"/>
        </w:rPr>
        <w:t>元，服务质量</w:t>
      </w:r>
      <w:r>
        <w:rPr>
          <w:rFonts w:hint="eastAsia" w:ascii="宋体" w:hAnsi="宋体" w:cs="宋体"/>
          <w:kern w:val="0"/>
          <w:sz w:val="24"/>
          <w:lang w:val="en-US" w:eastAsia="zh-CN"/>
        </w:rPr>
        <w:t>考评</w:t>
      </w:r>
      <w:r>
        <w:rPr>
          <w:rFonts w:hint="eastAsia" w:ascii="宋体" w:hAnsi="宋体" w:cs="宋体"/>
          <w:kern w:val="0"/>
          <w:sz w:val="24"/>
        </w:rPr>
        <w:t>金扣完为止。</w:t>
      </w:r>
    </w:p>
    <w:p w14:paraId="0F2EE023">
      <w:pPr>
        <w:keepNext w:val="0"/>
        <w:keepLines w:val="0"/>
        <w:pageBreakBefore w:val="0"/>
        <w:widowControl w:val="0"/>
        <w:kinsoku/>
        <w:wordWrap/>
        <w:overflowPunct/>
        <w:topLinePunct w:val="0"/>
        <w:bidi w:val="0"/>
        <w:adjustRightInd w:val="0"/>
        <w:snapToGrid w:val="0"/>
        <w:spacing w:line="360" w:lineRule="auto"/>
        <w:ind w:left="0" w:firstLine="480" w:firstLineChars="200"/>
        <w:textAlignment w:val="auto"/>
        <w:rPr>
          <w:rFonts w:ascii="宋体" w:hAnsi="宋体" w:cs="宋体"/>
          <w:kern w:val="0"/>
          <w:sz w:val="24"/>
        </w:rPr>
      </w:pPr>
      <w:r>
        <w:rPr>
          <w:rFonts w:ascii="宋体" w:hAnsi="宋体" w:cs="宋体"/>
          <w:kern w:val="0"/>
          <w:sz w:val="24"/>
        </w:rPr>
        <w:t>10</w:t>
      </w:r>
      <w:r>
        <w:rPr>
          <w:rFonts w:hint="eastAsia" w:ascii="宋体" w:hAnsi="宋体" w:cs="宋体"/>
          <w:kern w:val="0"/>
          <w:sz w:val="24"/>
        </w:rPr>
        <w:t>、校方负责财务管理、食材采购</w:t>
      </w:r>
      <w:r>
        <w:rPr>
          <w:rFonts w:hint="eastAsia" w:ascii="宋体" w:hAnsi="宋体" w:cs="宋体"/>
          <w:kern w:val="0"/>
          <w:sz w:val="24"/>
          <w:lang w:val="en-US" w:eastAsia="zh-CN"/>
        </w:rPr>
        <w:t>和验收</w:t>
      </w:r>
      <w:r>
        <w:rPr>
          <w:rFonts w:hint="eastAsia" w:ascii="宋体" w:hAnsi="宋体" w:cs="宋体"/>
          <w:kern w:val="0"/>
          <w:sz w:val="24"/>
        </w:rPr>
        <w:t>，学校食堂使用食材由县中小学食堂集中配送</w:t>
      </w:r>
      <w:r>
        <w:rPr>
          <w:rFonts w:hint="eastAsia" w:ascii="宋体" w:hAnsi="宋体" w:cs="宋体"/>
          <w:kern w:val="0"/>
          <w:sz w:val="24"/>
          <w:lang w:val="en-US" w:eastAsia="zh-CN"/>
        </w:rPr>
        <w:t>企业</w:t>
      </w:r>
      <w:r>
        <w:rPr>
          <w:rFonts w:hint="eastAsia" w:ascii="宋体" w:hAnsi="宋体" w:cs="宋体"/>
          <w:kern w:val="0"/>
          <w:sz w:val="24"/>
        </w:rPr>
        <w:t>集中</w:t>
      </w:r>
      <w:r>
        <w:rPr>
          <w:rFonts w:hint="eastAsia" w:ascii="宋体" w:hAnsi="宋体" w:cs="宋体"/>
          <w:kern w:val="0"/>
          <w:sz w:val="24"/>
          <w:lang w:val="en-US" w:eastAsia="zh-CN"/>
        </w:rPr>
        <w:t>统一</w:t>
      </w:r>
      <w:r>
        <w:rPr>
          <w:rFonts w:hint="eastAsia" w:ascii="宋体" w:hAnsi="宋体" w:cs="宋体"/>
          <w:kern w:val="0"/>
          <w:sz w:val="24"/>
        </w:rPr>
        <w:t>配送，校方负责水、电、低值易耗品、维保维修、劳保用品等相关费用。</w:t>
      </w:r>
    </w:p>
    <w:p w14:paraId="68E333A1">
      <w:pPr>
        <w:rPr>
          <w:rFonts w:hint="eastAsia" w:ascii="宋体" w:hAnsi="宋体" w:eastAsia="宋体" w:cs="宋体"/>
          <w:sz w:val="28"/>
          <w:szCs w:val="24"/>
          <w:highlight w:val="none"/>
        </w:rPr>
      </w:pPr>
      <w:bookmarkStart w:id="95" w:name="_Toc22919"/>
      <w:r>
        <w:rPr>
          <w:rFonts w:hint="eastAsia" w:ascii="宋体" w:hAnsi="宋体" w:eastAsia="宋体" w:cs="宋体"/>
          <w:sz w:val="28"/>
          <w:szCs w:val="24"/>
          <w:highlight w:val="none"/>
        </w:rPr>
        <w:br w:type="page"/>
      </w:r>
    </w:p>
    <w:p w14:paraId="087AA5D3">
      <w:pPr>
        <w:jc w:val="center"/>
        <w:outlineLvl w:val="0"/>
        <w:rPr>
          <w:rFonts w:ascii="宋体" w:hAnsi="宋体" w:eastAsia="宋体" w:cs="宋体"/>
          <w:b/>
          <w:bCs/>
          <w:sz w:val="30"/>
          <w:szCs w:val="30"/>
          <w:highlight w:val="none"/>
        </w:rPr>
      </w:pPr>
      <w:r>
        <w:rPr>
          <w:rFonts w:hint="eastAsia" w:ascii="宋体" w:hAnsi="宋体" w:eastAsia="宋体" w:cs="宋体"/>
          <w:b/>
          <w:bCs/>
          <w:sz w:val="30"/>
          <w:szCs w:val="30"/>
          <w:highlight w:val="none"/>
        </w:rPr>
        <w:t>四、评分标准</w:t>
      </w:r>
      <w:bookmarkEnd w:id="92"/>
      <w:bookmarkEnd w:id="93"/>
      <w:bookmarkEnd w:id="94"/>
      <w:bookmarkEnd w:id="95"/>
    </w:p>
    <w:p w14:paraId="409B1B5D">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1、本次磋商采用百分制评分法，商务（报价）权重30%，经评审满足磋商文件要求且最后报价最低的供应商的价格为磋商基准价，其价格为满分，得30分。其他供应商的价格分统一按照下列公式计算：</w:t>
      </w:r>
    </w:p>
    <w:p w14:paraId="758F14F1">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磋商报价得分=（磋商基准价/最后磋商报价）×30%×100。</w:t>
      </w:r>
    </w:p>
    <w:p w14:paraId="609257EE">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注：超过最高限价的最后磋商报价为无效报价，按废标处理。</w:t>
      </w:r>
    </w:p>
    <w:p w14:paraId="0082C9E7">
      <w:pPr>
        <w:pStyle w:val="12"/>
        <w:keepNext w:val="0"/>
        <w:keepLines w:val="0"/>
        <w:pageBreakBefore w:val="0"/>
        <w:widowControl w:val="0"/>
        <w:kinsoku/>
        <w:wordWrap/>
        <w:overflowPunct/>
        <w:topLinePunct w:val="0"/>
        <w:autoSpaceDE/>
        <w:autoSpaceDN/>
        <w:bidi w:val="0"/>
        <w:adjustRightInd w:val="0"/>
        <w:snapToGrid w:val="0"/>
        <w:spacing w:line="360" w:lineRule="auto"/>
        <w:ind w:firstLine="480" w:firstLineChars="200"/>
        <w:textAlignment w:val="auto"/>
        <w:rPr>
          <w:rFonts w:hint="eastAsia" w:ascii="宋体" w:hAnsi="宋体" w:eastAsia="宋体" w:cs="宋体"/>
          <w:kern w:val="2"/>
          <w:sz w:val="24"/>
          <w:szCs w:val="24"/>
          <w:highlight w:val="none"/>
          <w:lang w:val="en-US" w:eastAsia="zh-CN" w:bidi="ar-SA"/>
        </w:rPr>
      </w:pPr>
      <w:r>
        <w:rPr>
          <w:rFonts w:hint="eastAsia" w:ascii="宋体" w:hAnsi="宋体" w:eastAsia="宋体" w:cs="宋体"/>
          <w:kern w:val="2"/>
          <w:sz w:val="24"/>
          <w:szCs w:val="24"/>
          <w:highlight w:val="none"/>
          <w:lang w:val="en-US" w:eastAsia="zh-CN" w:bidi="ar-SA"/>
        </w:rPr>
        <w:t>具体评分细则如下：</w:t>
      </w:r>
    </w:p>
    <w:tbl>
      <w:tblPr>
        <w:tblStyle w:val="34"/>
        <w:tblW w:w="10155" w:type="dxa"/>
        <w:jc w:val="center"/>
        <w:tblLayout w:type="fixed"/>
        <w:tblCellMar>
          <w:top w:w="0" w:type="dxa"/>
          <w:left w:w="50" w:type="dxa"/>
          <w:bottom w:w="0" w:type="dxa"/>
          <w:right w:w="50" w:type="dxa"/>
        </w:tblCellMar>
      </w:tblPr>
      <w:tblGrid>
        <w:gridCol w:w="1087"/>
        <w:gridCol w:w="1129"/>
        <w:gridCol w:w="6753"/>
        <w:gridCol w:w="1186"/>
      </w:tblGrid>
      <w:tr w14:paraId="43FF2419">
        <w:tblPrEx>
          <w:tblCellMar>
            <w:top w:w="0" w:type="dxa"/>
            <w:left w:w="50" w:type="dxa"/>
            <w:bottom w:w="0" w:type="dxa"/>
            <w:right w:w="50" w:type="dxa"/>
          </w:tblCellMar>
        </w:tblPrEx>
        <w:trPr>
          <w:trHeight w:val="789" w:hRule="atLeast"/>
          <w:jc w:val="center"/>
        </w:trPr>
        <w:tc>
          <w:tcPr>
            <w:tcW w:w="1087"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BAA0DCF">
            <w:pPr>
              <w:keepNext w:val="0"/>
              <w:keepLines w:val="0"/>
              <w:pageBreakBefore w:val="0"/>
              <w:widowControl w:val="0"/>
              <w:kinsoku/>
              <w:wordWrap/>
              <w:overflowPunct/>
              <w:topLinePunct w:val="0"/>
              <w:autoSpaceDE w:val="0"/>
              <w:autoSpaceDN w:val="0"/>
              <w:bidi w:val="0"/>
              <w:adjustRightInd w:val="0"/>
              <w:spacing w:line="240" w:lineRule="auto"/>
              <w:ind w:firstLine="0" w:firstLineChars="0"/>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b/>
                <w:bCs/>
                <w:kern w:val="0"/>
                <w:sz w:val="24"/>
                <w:highlight w:val="none"/>
                <w:lang w:val="zh-CN"/>
              </w:rPr>
              <w:t>类别</w:t>
            </w: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55729FC">
            <w:pPr>
              <w:keepNext w:val="0"/>
              <w:keepLines w:val="0"/>
              <w:pageBreakBefore w:val="0"/>
              <w:widowControl w:val="0"/>
              <w:kinsoku/>
              <w:wordWrap/>
              <w:overflowPunct/>
              <w:topLinePunct w:val="0"/>
              <w:autoSpaceDE w:val="0"/>
              <w:autoSpaceDN w:val="0"/>
              <w:bidi w:val="0"/>
              <w:adjustRightInd w:val="0"/>
              <w:spacing w:line="240" w:lineRule="auto"/>
              <w:ind w:firstLine="0" w:firstLineChars="0"/>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b/>
                <w:bCs/>
                <w:kern w:val="0"/>
                <w:sz w:val="24"/>
                <w:highlight w:val="none"/>
                <w:lang w:val="zh-CN"/>
              </w:rPr>
              <w:t>评分内容</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54A81DC2">
            <w:pPr>
              <w:keepNext w:val="0"/>
              <w:keepLines w:val="0"/>
              <w:pageBreakBefore w:val="0"/>
              <w:widowControl w:val="0"/>
              <w:kinsoku/>
              <w:wordWrap/>
              <w:overflowPunct/>
              <w:topLinePunct w:val="0"/>
              <w:autoSpaceDE w:val="0"/>
              <w:autoSpaceDN w:val="0"/>
              <w:bidi w:val="0"/>
              <w:adjustRightInd w:val="0"/>
              <w:spacing w:line="240" w:lineRule="auto"/>
              <w:ind w:firstLine="0" w:firstLineChars="0"/>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b/>
                <w:bCs/>
                <w:kern w:val="0"/>
                <w:sz w:val="24"/>
                <w:highlight w:val="none"/>
                <w:lang w:val="zh-CN"/>
              </w:rPr>
              <w:t>评分标准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740FF0A">
            <w:pPr>
              <w:keepNext w:val="0"/>
              <w:keepLines w:val="0"/>
              <w:pageBreakBefore w:val="0"/>
              <w:widowControl w:val="0"/>
              <w:kinsoku/>
              <w:wordWrap/>
              <w:overflowPunct/>
              <w:topLinePunct w:val="0"/>
              <w:autoSpaceDE w:val="0"/>
              <w:autoSpaceDN w:val="0"/>
              <w:bidi w:val="0"/>
              <w:adjustRightInd w:val="0"/>
              <w:spacing w:line="240" w:lineRule="auto"/>
              <w:ind w:firstLine="0" w:firstLineChars="0"/>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b/>
                <w:bCs/>
                <w:kern w:val="0"/>
                <w:sz w:val="24"/>
                <w:highlight w:val="none"/>
                <w:lang w:val="zh-CN"/>
              </w:rPr>
              <w:t>分值范围</w:t>
            </w:r>
          </w:p>
        </w:tc>
      </w:tr>
      <w:tr w14:paraId="17C931C0">
        <w:tblPrEx>
          <w:tblCellMar>
            <w:top w:w="0" w:type="dxa"/>
            <w:left w:w="50" w:type="dxa"/>
            <w:bottom w:w="0" w:type="dxa"/>
            <w:right w:w="50" w:type="dxa"/>
          </w:tblCellMar>
        </w:tblPrEx>
        <w:trPr>
          <w:trHeight w:val="1755" w:hRule="atLeast"/>
          <w:jc w:val="center"/>
        </w:trPr>
        <w:tc>
          <w:tcPr>
            <w:tcW w:w="1087" w:type="dxa"/>
            <w:vMerge w:val="restart"/>
            <w:tcBorders>
              <w:top w:val="single" w:color="000000" w:sz="2" w:space="0"/>
              <w:left w:val="single" w:color="000000" w:sz="2" w:space="0"/>
              <w:right w:val="single" w:color="000000" w:sz="2" w:space="0"/>
            </w:tcBorders>
            <w:shd w:val="clear" w:color="000000" w:fill="FFFFFF"/>
            <w:noWrap w:val="0"/>
            <w:vAlign w:val="center"/>
          </w:tcPr>
          <w:p w14:paraId="239A84D3">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kern w:val="0"/>
                <w:sz w:val="24"/>
                <w:highlight w:val="none"/>
                <w:lang w:val="zh-CN"/>
              </w:rPr>
            </w:pPr>
            <w:r>
              <w:rPr>
                <w:rFonts w:hint="eastAsia" w:ascii="宋体" w:hAnsi="宋体" w:eastAsia="宋体" w:cs="宋体"/>
                <w:kern w:val="0"/>
                <w:sz w:val="24"/>
                <w:highlight w:val="none"/>
                <w:lang w:val="zh-CN"/>
              </w:rPr>
              <w:t>技术标分</w:t>
            </w:r>
          </w:p>
          <w:p w14:paraId="6033E625">
            <w:pPr>
              <w:keepNext w:val="0"/>
              <w:keepLines w:val="0"/>
              <w:pageBreakBefore w:val="0"/>
              <w:widowControl w:val="0"/>
              <w:kinsoku/>
              <w:wordWrap/>
              <w:overflowPunct/>
              <w:topLinePunct w:val="0"/>
              <w:autoSpaceDE w:val="0"/>
              <w:autoSpaceDN w:val="0"/>
              <w:bidi w:val="0"/>
              <w:adjustRightInd w:val="0"/>
              <w:snapToGrid w:val="0"/>
              <w:spacing w:line="240" w:lineRule="auto"/>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kern w:val="0"/>
                <w:sz w:val="24"/>
                <w:highlight w:val="none"/>
                <w:lang w:val="zh-CN"/>
              </w:rPr>
              <w:t>（</w:t>
            </w:r>
            <w:r>
              <w:rPr>
                <w:rFonts w:hint="eastAsia" w:ascii="宋体" w:hAnsi="宋体" w:cs="宋体"/>
                <w:kern w:val="0"/>
                <w:sz w:val="24"/>
                <w:highlight w:val="none"/>
                <w:u w:val="single"/>
                <w:lang w:val="en-US" w:eastAsia="zh-CN"/>
              </w:rPr>
              <w:t>7</w:t>
            </w:r>
            <w:r>
              <w:rPr>
                <w:rFonts w:hint="eastAsia" w:ascii="宋体" w:hAnsi="宋体" w:eastAsia="宋体" w:cs="宋体"/>
                <w:kern w:val="0"/>
                <w:sz w:val="24"/>
                <w:highlight w:val="none"/>
                <w:u w:val="single"/>
                <w:lang w:val="zh-CN"/>
              </w:rPr>
              <w:t>0</w:t>
            </w:r>
            <w:r>
              <w:rPr>
                <w:rFonts w:hint="eastAsia" w:ascii="宋体" w:hAnsi="宋体" w:eastAsia="宋体" w:cs="宋体"/>
                <w:kern w:val="0"/>
                <w:sz w:val="24"/>
                <w:highlight w:val="none"/>
                <w:lang w:val="zh-CN"/>
              </w:rPr>
              <w:t>分）</w:t>
            </w: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0E5F1E06">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供应商情况</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09561E4">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Chars="0"/>
              <w:jc w:val="left"/>
              <w:textAlignment w:val="auto"/>
              <w:rPr>
                <w:rFonts w:hint="eastAsia" w:ascii="宋体" w:hAnsi="宋体" w:eastAsia="宋体" w:cs="宋体"/>
                <w:kern w:val="0"/>
                <w:sz w:val="24"/>
                <w:highlight w:val="none"/>
              </w:rPr>
            </w:pPr>
            <w:r>
              <w:rPr>
                <w:rFonts w:hint="eastAsia" w:ascii="宋体" w:hAnsi="宋体" w:eastAsia="宋体" w:cs="宋体"/>
                <w:color w:val="000000"/>
                <w:kern w:val="0"/>
                <w:sz w:val="24"/>
                <w:highlight w:val="none"/>
                <w:lang w:val="en-US" w:eastAsia="zh-CN"/>
              </w:rPr>
              <w:t>1、</w:t>
            </w:r>
            <w:r>
              <w:rPr>
                <w:rFonts w:hint="eastAsia" w:ascii="宋体" w:hAnsi="宋体" w:eastAsia="宋体" w:cs="宋体"/>
                <w:color w:val="000000"/>
                <w:kern w:val="0"/>
                <w:sz w:val="24"/>
                <w:highlight w:val="none"/>
                <w:lang w:val="zh-CN"/>
              </w:rPr>
              <w:t>具有劳务派遣经营许可证得</w:t>
            </w: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lang w:val="zh-CN"/>
              </w:rPr>
              <w:t>分</w:t>
            </w:r>
          </w:p>
          <w:p w14:paraId="075BCB6B">
            <w:pPr>
              <w:keepNext w:val="0"/>
              <w:keepLines w:val="0"/>
              <w:pageBreakBefore w:val="0"/>
              <w:widowControl w:val="0"/>
              <w:numPr>
                <w:ilvl w:val="0"/>
                <w:numId w:val="0"/>
              </w:numPr>
              <w:kinsoku/>
              <w:wordWrap/>
              <w:overflowPunct/>
              <w:topLinePunct w:val="0"/>
              <w:autoSpaceDE w:val="0"/>
              <w:autoSpaceDN w:val="0"/>
              <w:bidi w:val="0"/>
              <w:adjustRightInd w:val="0"/>
              <w:snapToGrid/>
              <w:spacing w:line="240" w:lineRule="auto"/>
              <w:ind w:leftChars="0"/>
              <w:jc w:val="left"/>
              <w:textAlignment w:val="auto"/>
              <w:rPr>
                <w:rFonts w:hint="eastAsia" w:ascii="宋体" w:hAnsi="宋体" w:eastAsia="宋体" w:cs="宋体"/>
                <w:kern w:val="0"/>
                <w:sz w:val="24"/>
                <w:highlight w:val="none"/>
              </w:rPr>
            </w:pP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en-US" w:eastAsia="zh-CN"/>
              </w:rPr>
              <w:t>、</w:t>
            </w:r>
            <w:r>
              <w:rPr>
                <w:rFonts w:hint="eastAsia" w:ascii="宋体" w:hAnsi="宋体" w:eastAsia="宋体" w:cs="宋体"/>
                <w:color w:val="000000"/>
                <w:kern w:val="0"/>
                <w:sz w:val="24"/>
                <w:highlight w:val="none"/>
                <w:lang w:val="zh-CN"/>
              </w:rPr>
              <w:t>具有有效的食品经营许可证得</w:t>
            </w: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lang w:val="zh-CN"/>
              </w:rPr>
              <w:t>分</w:t>
            </w:r>
          </w:p>
          <w:p w14:paraId="5385D059">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cs="宋体"/>
                <w:color w:val="000000"/>
                <w:kern w:val="0"/>
                <w:sz w:val="24"/>
                <w:highlight w:val="none"/>
                <w:lang w:val="en-US" w:eastAsia="zh-CN"/>
              </w:rPr>
              <w:t>3</w:t>
            </w:r>
            <w:r>
              <w:rPr>
                <w:rFonts w:hint="eastAsia" w:ascii="宋体" w:hAnsi="宋体" w:eastAsia="宋体" w:cs="宋体"/>
                <w:color w:val="000000"/>
                <w:kern w:val="0"/>
                <w:sz w:val="24"/>
                <w:highlight w:val="none"/>
                <w:lang w:val="zh-CN"/>
              </w:rPr>
              <w:t>、具有质量管理体系认证书得</w:t>
            </w:r>
            <w:r>
              <w:rPr>
                <w:rFonts w:hint="eastAsia" w:ascii="宋体" w:hAnsi="宋体" w:cs="宋体"/>
                <w:color w:val="000000"/>
                <w:kern w:val="0"/>
                <w:sz w:val="24"/>
                <w:highlight w:val="none"/>
                <w:lang w:val="en-US" w:eastAsia="zh-CN"/>
              </w:rPr>
              <w:t>4</w:t>
            </w:r>
            <w:r>
              <w:rPr>
                <w:rFonts w:hint="eastAsia" w:ascii="宋体" w:hAnsi="宋体" w:eastAsia="宋体" w:cs="宋体"/>
                <w:color w:val="000000"/>
                <w:kern w:val="0"/>
                <w:sz w:val="24"/>
                <w:highlight w:val="none"/>
                <w:lang w:val="zh-CN"/>
              </w:rPr>
              <w:t>分</w:t>
            </w:r>
          </w:p>
          <w:p w14:paraId="7C6C0C6C">
            <w:pPr>
              <w:keepNext w:val="0"/>
              <w:keepLines w:val="0"/>
              <w:pageBreakBefore w:val="0"/>
              <w:widowControl w:val="0"/>
              <w:kinsoku/>
              <w:wordWrap/>
              <w:overflowPunct/>
              <w:topLinePunct w:val="0"/>
              <w:autoSpaceDE w:val="0"/>
              <w:autoSpaceDN w:val="0"/>
              <w:bidi w:val="0"/>
              <w:adjustRightInd w:val="0"/>
              <w:snapToGrid/>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b/>
                <w:bCs/>
                <w:color w:val="000000"/>
                <w:kern w:val="0"/>
                <w:sz w:val="24"/>
                <w:highlight w:val="none"/>
                <w:lang w:val="zh-CN"/>
              </w:rPr>
              <w:t>注：响应文件中提供证书原件扫描件加盖公章或复印件加盖公章</w:t>
            </w:r>
            <w:r>
              <w:rPr>
                <w:rFonts w:hint="eastAsia" w:ascii="宋体" w:hAnsi="宋体" w:cs="宋体"/>
                <w:b/>
                <w:bCs/>
                <w:color w:val="000000"/>
                <w:kern w:val="0"/>
                <w:sz w:val="24"/>
                <w:highlight w:val="none"/>
                <w:lang w:val="zh-CN"/>
              </w:rPr>
              <w:t>。</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9EF67C9">
            <w:pPr>
              <w:autoSpaceDE w:val="0"/>
              <w:autoSpaceDN w:val="0"/>
              <w:adjustRightInd w:val="0"/>
              <w:spacing w:line="390" w:lineRule="atLeast"/>
              <w:jc w:val="center"/>
              <w:rPr>
                <w:rFonts w:hint="eastAsia"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0-1</w:t>
            </w:r>
            <w:r>
              <w:rPr>
                <w:rFonts w:hint="eastAsia" w:ascii="宋体" w:hAnsi="宋体" w:cs="宋体"/>
                <w:color w:val="000000"/>
                <w:kern w:val="0"/>
                <w:sz w:val="24"/>
                <w:highlight w:val="none"/>
                <w:lang w:val="en-US" w:eastAsia="zh-CN"/>
              </w:rPr>
              <w:t>2</w:t>
            </w:r>
          </w:p>
        </w:tc>
      </w:tr>
      <w:tr w14:paraId="78C36616">
        <w:tblPrEx>
          <w:tblCellMar>
            <w:top w:w="0" w:type="dxa"/>
            <w:left w:w="50" w:type="dxa"/>
            <w:bottom w:w="0" w:type="dxa"/>
            <w:right w:w="50" w:type="dxa"/>
          </w:tblCellMar>
        </w:tblPrEx>
        <w:trPr>
          <w:trHeight w:val="2107"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6879EED2">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8E5498D">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同类项目业绩</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4A1793B">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自20</w:t>
            </w:r>
            <w:r>
              <w:rPr>
                <w:rFonts w:hint="eastAsia" w:ascii="宋体" w:hAnsi="宋体" w:cs="宋体"/>
                <w:color w:val="000000"/>
                <w:kern w:val="0"/>
                <w:sz w:val="24"/>
                <w:highlight w:val="none"/>
                <w:lang w:val="en-US" w:eastAsia="zh-CN"/>
              </w:rPr>
              <w:t>19</w:t>
            </w:r>
            <w:r>
              <w:rPr>
                <w:rFonts w:hint="eastAsia" w:ascii="宋体" w:hAnsi="宋体" w:eastAsia="宋体" w:cs="宋体"/>
                <w:color w:val="000000"/>
                <w:kern w:val="0"/>
                <w:sz w:val="24"/>
                <w:highlight w:val="none"/>
                <w:lang w:val="en-US" w:eastAsia="zh-CN"/>
              </w:rPr>
              <w:t>年</w:t>
            </w:r>
            <w:r>
              <w:rPr>
                <w:rFonts w:hint="eastAsia" w:ascii="宋体" w:hAnsi="宋体" w:cs="宋体"/>
                <w:color w:val="000000"/>
                <w:kern w:val="0"/>
                <w:sz w:val="24"/>
                <w:highlight w:val="none"/>
                <w:lang w:val="en-US" w:eastAsia="zh-CN"/>
              </w:rPr>
              <w:t>8</w:t>
            </w:r>
            <w:r>
              <w:rPr>
                <w:rFonts w:hint="eastAsia" w:ascii="宋体" w:hAnsi="宋体" w:eastAsia="宋体" w:cs="宋体"/>
                <w:color w:val="000000"/>
                <w:kern w:val="0"/>
                <w:sz w:val="24"/>
                <w:highlight w:val="none"/>
                <w:lang w:val="zh-CN"/>
              </w:rPr>
              <w:t>月1日以来</w:t>
            </w:r>
            <w:r>
              <w:rPr>
                <w:rFonts w:hint="eastAsia" w:ascii="宋体" w:hAnsi="宋体" w:cs="宋体"/>
                <w:color w:val="000000"/>
                <w:kern w:val="0"/>
                <w:sz w:val="24"/>
                <w:highlight w:val="none"/>
                <w:lang w:val="en-US" w:eastAsia="zh-CN"/>
              </w:rPr>
              <w:t>有食堂</w:t>
            </w:r>
            <w:r>
              <w:rPr>
                <w:rFonts w:hint="eastAsia" w:ascii="宋体" w:hAnsi="宋体" w:eastAsia="宋体" w:cs="宋体"/>
                <w:color w:val="000000"/>
                <w:kern w:val="0"/>
                <w:sz w:val="24"/>
                <w:highlight w:val="none"/>
                <w:lang w:val="zh-CN"/>
              </w:rPr>
              <w:t>劳务派遣</w:t>
            </w:r>
            <w:r>
              <w:rPr>
                <w:rFonts w:hint="eastAsia" w:ascii="宋体" w:hAnsi="宋体" w:eastAsia="宋体" w:cs="宋体"/>
                <w:color w:val="000000"/>
                <w:kern w:val="0"/>
                <w:sz w:val="24"/>
                <w:highlight w:val="none"/>
                <w:lang w:val="en-US" w:eastAsia="zh-CN"/>
              </w:rPr>
              <w:t>相关</w:t>
            </w:r>
            <w:r>
              <w:rPr>
                <w:rFonts w:hint="eastAsia" w:ascii="宋体" w:hAnsi="宋体" w:eastAsia="宋体" w:cs="宋体"/>
                <w:color w:val="000000"/>
                <w:kern w:val="0"/>
                <w:sz w:val="24"/>
                <w:highlight w:val="none"/>
                <w:lang w:val="zh-CN"/>
              </w:rPr>
              <w:t>业绩，得</w:t>
            </w: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zh-CN"/>
              </w:rPr>
              <w:t>分。每增一个加</w:t>
            </w: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zh-CN"/>
              </w:rPr>
              <w:t>分。满分</w:t>
            </w:r>
            <w:r>
              <w:rPr>
                <w:rFonts w:hint="eastAsia" w:ascii="宋体" w:hAnsi="宋体" w:cs="宋体"/>
                <w:color w:val="000000"/>
                <w:kern w:val="0"/>
                <w:sz w:val="24"/>
                <w:highlight w:val="none"/>
                <w:lang w:val="en-US" w:eastAsia="zh-CN"/>
              </w:rPr>
              <w:t>6</w:t>
            </w:r>
            <w:r>
              <w:rPr>
                <w:rFonts w:hint="eastAsia" w:ascii="宋体" w:hAnsi="宋体" w:eastAsia="宋体" w:cs="宋体"/>
                <w:color w:val="000000"/>
                <w:kern w:val="0"/>
                <w:sz w:val="24"/>
                <w:highlight w:val="none"/>
                <w:lang w:val="zh-CN"/>
              </w:rPr>
              <w:t>分。</w:t>
            </w:r>
          </w:p>
          <w:p w14:paraId="567CB72A">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b/>
                <w:bCs/>
                <w:color w:val="000000"/>
                <w:kern w:val="0"/>
                <w:sz w:val="24"/>
                <w:highlight w:val="none"/>
                <w:lang w:val="zh-CN"/>
              </w:rPr>
              <w:t>注：响应文件中提供</w:t>
            </w:r>
            <w:r>
              <w:rPr>
                <w:rFonts w:hint="eastAsia" w:ascii="宋体" w:hAnsi="宋体" w:cs="宋体"/>
                <w:b/>
                <w:bCs/>
                <w:color w:val="000000"/>
                <w:kern w:val="0"/>
                <w:sz w:val="24"/>
                <w:highlight w:val="none"/>
                <w:lang w:val="en-US" w:eastAsia="zh-CN"/>
              </w:rPr>
              <w:t>中标（成交）通知书及</w:t>
            </w:r>
            <w:r>
              <w:rPr>
                <w:rFonts w:hint="eastAsia" w:ascii="宋体" w:hAnsi="宋体" w:eastAsia="宋体" w:cs="宋体"/>
                <w:b/>
                <w:bCs/>
                <w:color w:val="000000"/>
                <w:kern w:val="0"/>
                <w:sz w:val="24"/>
                <w:highlight w:val="none"/>
                <w:lang w:val="zh-CN"/>
              </w:rPr>
              <w:t>合同关键页（合同封面、合同内容页、签订合同双方的落款盖章、签订日期的关键页及</w:t>
            </w:r>
            <w:r>
              <w:rPr>
                <w:rFonts w:hint="eastAsia" w:ascii="宋体" w:hAnsi="宋体" w:cs="宋体"/>
                <w:b/>
                <w:bCs/>
                <w:color w:val="000000"/>
                <w:kern w:val="0"/>
                <w:sz w:val="24"/>
                <w:highlight w:val="none"/>
                <w:lang w:val="en-US" w:eastAsia="zh-CN"/>
              </w:rPr>
              <w:t>劳务派遣单单位签字盖章</w:t>
            </w:r>
            <w:r>
              <w:rPr>
                <w:rFonts w:hint="eastAsia" w:ascii="宋体" w:hAnsi="宋体" w:eastAsia="宋体" w:cs="宋体"/>
                <w:b/>
                <w:bCs/>
                <w:color w:val="000000"/>
                <w:kern w:val="0"/>
                <w:sz w:val="24"/>
                <w:highlight w:val="none"/>
                <w:lang w:val="zh-CN"/>
              </w:rPr>
              <w:t>），以上证明文件均需加盖供应商公章。</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592F5D68">
            <w:pPr>
              <w:autoSpaceDE w:val="0"/>
              <w:autoSpaceDN w:val="0"/>
              <w:adjustRightInd w:val="0"/>
              <w:spacing w:line="390" w:lineRule="atLeast"/>
              <w:jc w:val="center"/>
              <w:rPr>
                <w:rFonts w:hint="eastAsia"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6</w:t>
            </w:r>
          </w:p>
        </w:tc>
      </w:tr>
      <w:tr w14:paraId="5502E822">
        <w:tblPrEx>
          <w:tblCellMar>
            <w:top w:w="0" w:type="dxa"/>
            <w:left w:w="50" w:type="dxa"/>
            <w:bottom w:w="0" w:type="dxa"/>
            <w:right w:w="50" w:type="dxa"/>
          </w:tblCellMar>
        </w:tblPrEx>
        <w:trPr>
          <w:trHeight w:val="3369"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4B1B078E">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F1D2D66">
            <w:pPr>
              <w:autoSpaceDE w:val="0"/>
              <w:autoSpaceDN w:val="0"/>
              <w:adjustRightInd w:val="0"/>
              <w:spacing w:line="390" w:lineRule="atLeast"/>
              <w:jc w:val="both"/>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餐饮管理</w:t>
            </w:r>
          </w:p>
          <w:p w14:paraId="30F40789">
            <w:pPr>
              <w:autoSpaceDE w:val="0"/>
              <w:autoSpaceDN w:val="0"/>
              <w:adjustRightInd w:val="0"/>
              <w:spacing w:line="390" w:lineRule="atLeast"/>
              <w:jc w:val="center"/>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服务人员</w:t>
            </w:r>
          </w:p>
          <w:p w14:paraId="795BE8F5">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配备方案</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8BE3092">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方案须包含服务人员配备原则、组织结构、岗位职责、应急预案等，由磋商小组根据投标供应商制定的食堂餐饮管理服务人员配备方案科学性、合理性、安全性、完整性和承诺的可行性等因素进行评分。</w:t>
            </w:r>
          </w:p>
          <w:p w14:paraId="125F1FFB">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（1）方案全面、科学合理，可行性高、针对性强的，得8-1</w:t>
            </w:r>
            <w:r>
              <w:rPr>
                <w:rFonts w:hint="eastAsia" w:ascii="宋体" w:hAnsi="宋体" w:cs="宋体"/>
                <w:color w:val="000000"/>
                <w:kern w:val="0"/>
                <w:sz w:val="24"/>
                <w:highlight w:val="none"/>
                <w:lang w:val="en-US" w:eastAsia="zh-CN"/>
              </w:rPr>
              <w:t>0</w:t>
            </w:r>
            <w:r>
              <w:rPr>
                <w:rFonts w:hint="eastAsia" w:ascii="宋体" w:hAnsi="宋体" w:eastAsia="宋体" w:cs="宋体"/>
                <w:color w:val="000000"/>
                <w:kern w:val="0"/>
                <w:sz w:val="24"/>
                <w:highlight w:val="none"/>
                <w:lang w:val="zh-CN"/>
              </w:rPr>
              <w:t xml:space="preserve">分； </w:t>
            </w:r>
          </w:p>
          <w:p w14:paraId="4BEEFBA9">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（2）方案较为全面、科学合理，可行性、针对性基本符合要求的，得4-7分；</w:t>
            </w:r>
          </w:p>
          <w:p w14:paraId="731535FF">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（3）方案全面性、合理性一般，可行性一般、针对性一般的，得1-3分；</w:t>
            </w:r>
          </w:p>
          <w:p w14:paraId="51DF4D8F">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（4）未提供任何相关内容的不得分。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08140903">
            <w:pPr>
              <w:autoSpaceDE w:val="0"/>
              <w:autoSpaceDN w:val="0"/>
              <w:adjustRightInd w:val="0"/>
              <w:spacing w:line="390" w:lineRule="atLeast"/>
              <w:jc w:val="center"/>
              <w:rPr>
                <w:rFonts w:hint="default"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10</w:t>
            </w:r>
          </w:p>
        </w:tc>
      </w:tr>
      <w:tr w14:paraId="4BF8C6B7">
        <w:tblPrEx>
          <w:tblCellMar>
            <w:top w:w="0" w:type="dxa"/>
            <w:left w:w="50" w:type="dxa"/>
            <w:bottom w:w="0" w:type="dxa"/>
            <w:right w:w="50" w:type="dxa"/>
          </w:tblCellMar>
        </w:tblPrEx>
        <w:trPr>
          <w:trHeight w:val="428"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490F7D13">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17D39EA2">
            <w:pPr>
              <w:autoSpaceDE w:val="0"/>
              <w:autoSpaceDN w:val="0"/>
              <w:adjustRightInd w:val="0"/>
              <w:spacing w:line="390" w:lineRule="atLeast"/>
              <w:jc w:val="left"/>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食堂操作</w:t>
            </w:r>
          </w:p>
          <w:p w14:paraId="5AA24C95">
            <w:pPr>
              <w:autoSpaceDE w:val="0"/>
              <w:autoSpaceDN w:val="0"/>
              <w:adjustRightInd w:val="0"/>
              <w:spacing w:line="390" w:lineRule="atLeast"/>
              <w:jc w:val="left"/>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规范方案</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A4D29F1">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方案须包括培训计划、规范操作控制管理方案、台账管理、员工管理制度等，评标委员会根据投标供应商制定的食堂操作规范方案科学性、合理性、安全性、完整性和承诺的可行性等因素，进行评分。</w:t>
            </w:r>
          </w:p>
          <w:p w14:paraId="6B49D9A0">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（1）方案全面、科学合理，可行性高、针对性强的，得8-1</w:t>
            </w:r>
            <w:r>
              <w:rPr>
                <w:rFonts w:hint="eastAsia" w:ascii="宋体" w:hAnsi="宋体" w:eastAsia="宋体" w:cs="宋体"/>
                <w:color w:val="000000"/>
                <w:kern w:val="0"/>
                <w:sz w:val="24"/>
                <w:highlight w:val="none"/>
                <w:lang w:val="en-US" w:eastAsia="zh-CN"/>
              </w:rPr>
              <w:t>0</w:t>
            </w:r>
            <w:r>
              <w:rPr>
                <w:rFonts w:hint="eastAsia" w:ascii="宋体" w:hAnsi="宋体" w:eastAsia="宋体" w:cs="宋体"/>
                <w:color w:val="000000"/>
                <w:kern w:val="0"/>
                <w:sz w:val="24"/>
                <w:highlight w:val="none"/>
                <w:lang w:val="zh-CN"/>
              </w:rPr>
              <w:t xml:space="preserve">分； </w:t>
            </w:r>
          </w:p>
          <w:p w14:paraId="7B1C43D6">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（2）方案较为全面、科学合理，可行性、针对性基本符合要求的，得4-7分；</w:t>
            </w:r>
          </w:p>
          <w:p w14:paraId="02014A31">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（3）方案全面性、合理性一般，可行性一般、针对性一般的，得1-3分；</w:t>
            </w:r>
          </w:p>
          <w:p w14:paraId="4AE4111D">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（4）未提供任何相关内容的不得分。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105DF47">
            <w:pPr>
              <w:autoSpaceDE w:val="0"/>
              <w:autoSpaceDN w:val="0"/>
              <w:adjustRightInd w:val="0"/>
              <w:spacing w:line="390" w:lineRule="atLeast"/>
              <w:jc w:val="center"/>
              <w:rPr>
                <w:rFonts w:hint="default"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10</w:t>
            </w:r>
          </w:p>
        </w:tc>
      </w:tr>
      <w:tr w14:paraId="22E22603">
        <w:tblPrEx>
          <w:tblCellMar>
            <w:top w:w="0" w:type="dxa"/>
            <w:left w:w="50" w:type="dxa"/>
            <w:bottom w:w="0" w:type="dxa"/>
            <w:right w:w="50" w:type="dxa"/>
          </w:tblCellMar>
        </w:tblPrEx>
        <w:trPr>
          <w:trHeight w:val="3068"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05E183C6">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9B0D314">
            <w:pPr>
              <w:autoSpaceDE w:val="0"/>
              <w:autoSpaceDN w:val="0"/>
              <w:adjustRightInd w:val="0"/>
              <w:jc w:val="left"/>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用工方案</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FD61145">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方案须包括人员招聘、用工管理、薪酬管理、保险、考核办法等，评标委员会根据投标供应商提供的依法用工方案科学性、合理性、安全性、完整性和承诺的可行性等因素，进行评分。</w:t>
            </w:r>
          </w:p>
          <w:p w14:paraId="0408084D">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（1）方案全面、科学合理，可行性高、针对性强的，得8-1</w:t>
            </w:r>
            <w:r>
              <w:rPr>
                <w:rFonts w:hint="eastAsia" w:ascii="宋体" w:hAnsi="宋体" w:cs="宋体"/>
                <w:color w:val="000000"/>
                <w:kern w:val="0"/>
                <w:sz w:val="24"/>
                <w:highlight w:val="none"/>
                <w:lang w:val="en-US" w:eastAsia="zh-CN"/>
              </w:rPr>
              <w:t>0</w:t>
            </w:r>
            <w:r>
              <w:rPr>
                <w:rFonts w:hint="eastAsia" w:ascii="宋体" w:hAnsi="宋体" w:eastAsia="宋体" w:cs="宋体"/>
                <w:color w:val="000000"/>
                <w:kern w:val="0"/>
                <w:sz w:val="24"/>
                <w:highlight w:val="none"/>
                <w:lang w:val="zh-CN"/>
              </w:rPr>
              <w:t xml:space="preserve">分； </w:t>
            </w:r>
          </w:p>
          <w:p w14:paraId="43625EAE">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（2）方案较为全面、科学合理，可行性、针对性基本符合要求的，得4-7分；</w:t>
            </w:r>
          </w:p>
          <w:p w14:paraId="03C9CF94">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（3）方案全面性、合理性一般，可行性一般、针对性一般的，得1-3分；</w:t>
            </w:r>
          </w:p>
          <w:p w14:paraId="24A7F846">
            <w:pPr>
              <w:keepNext w:val="0"/>
              <w:keepLines w:val="0"/>
              <w:pageBreakBefore w:val="0"/>
              <w:widowControl w:val="0"/>
              <w:kinsoku/>
              <w:wordWrap/>
              <w:overflowPunct/>
              <w:topLinePunct w:val="0"/>
              <w:autoSpaceDE w:val="0"/>
              <w:autoSpaceDN w:val="0"/>
              <w:bidi w:val="0"/>
              <w:adjustRightInd w:val="0"/>
              <w:snapToGrid w:val="0"/>
              <w:spacing w:line="240" w:lineRule="auto"/>
              <w:jc w:val="left"/>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（4）未提供任何相关内容的不得分。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BA3D667">
            <w:pPr>
              <w:autoSpaceDE w:val="0"/>
              <w:autoSpaceDN w:val="0"/>
              <w:adjustRightInd w:val="0"/>
              <w:spacing w:line="390" w:lineRule="atLeast"/>
              <w:jc w:val="center"/>
              <w:rPr>
                <w:rFonts w:hint="eastAsia"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0-1</w:t>
            </w:r>
            <w:r>
              <w:rPr>
                <w:rFonts w:hint="eastAsia" w:ascii="宋体" w:hAnsi="宋体" w:cs="宋体"/>
                <w:color w:val="000000"/>
                <w:kern w:val="0"/>
                <w:sz w:val="24"/>
                <w:highlight w:val="none"/>
                <w:lang w:val="en-US" w:eastAsia="zh-CN"/>
              </w:rPr>
              <w:t>0</w:t>
            </w:r>
          </w:p>
        </w:tc>
      </w:tr>
      <w:tr w14:paraId="6A51A6CF">
        <w:tblPrEx>
          <w:tblCellMar>
            <w:top w:w="0" w:type="dxa"/>
            <w:left w:w="50" w:type="dxa"/>
            <w:bottom w:w="0" w:type="dxa"/>
            <w:right w:w="50" w:type="dxa"/>
          </w:tblCellMar>
        </w:tblPrEx>
        <w:trPr>
          <w:trHeight w:val="2328" w:hRule="atLeast"/>
          <w:jc w:val="center"/>
        </w:trPr>
        <w:tc>
          <w:tcPr>
            <w:tcW w:w="1087" w:type="dxa"/>
            <w:vMerge w:val="continue"/>
            <w:tcBorders>
              <w:left w:val="single" w:color="000000" w:sz="2" w:space="0"/>
              <w:right w:val="single" w:color="000000" w:sz="2" w:space="0"/>
            </w:tcBorders>
            <w:shd w:val="clear" w:color="000000" w:fill="FFFFFF"/>
            <w:noWrap w:val="0"/>
            <w:vAlign w:val="center"/>
          </w:tcPr>
          <w:p w14:paraId="44BEA97B">
            <w:pPr>
              <w:autoSpaceDE w:val="0"/>
              <w:autoSpaceDN w:val="0"/>
              <w:adjustRightInd w:val="0"/>
              <w:spacing w:after="200" w:line="276" w:lineRule="auto"/>
              <w:jc w:val="left"/>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40500B0">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突发事件应急处置方案</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2DEA4B6E">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根据供应商突发事件（包括但不限于1、食品质量等突发事情的处理方案；2、应急响应时间、人员安排；3、突发情况的物资保障供应；）应急处置方案进行评分：</w:t>
            </w:r>
          </w:p>
          <w:p w14:paraId="76953C90">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1.应急方案具体、合理、符合采购需求得8-11分；</w:t>
            </w:r>
          </w:p>
          <w:p w14:paraId="14A25F57">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2.应急方案较详尽、较符合采购需求得4-7分；</w:t>
            </w:r>
          </w:p>
          <w:p w14:paraId="0402187F">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eastAsia="宋体" w:cs="宋体"/>
                <w:color w:val="000000"/>
                <w:kern w:val="0"/>
                <w:sz w:val="24"/>
                <w:highlight w:val="none"/>
                <w:lang w:val="zh-CN"/>
              </w:rPr>
              <w:t>3.应急方案不够具体、基本可行得1-3分；</w:t>
            </w:r>
          </w:p>
          <w:p w14:paraId="47E708D9">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4.不提供不得分。</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A6A5087">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0-11</w:t>
            </w:r>
          </w:p>
        </w:tc>
      </w:tr>
      <w:tr w14:paraId="203E2C84">
        <w:tblPrEx>
          <w:tblCellMar>
            <w:top w:w="0" w:type="dxa"/>
            <w:left w:w="50" w:type="dxa"/>
            <w:bottom w:w="0" w:type="dxa"/>
            <w:right w:w="50" w:type="dxa"/>
          </w:tblCellMar>
        </w:tblPrEx>
        <w:trPr>
          <w:trHeight w:val="3046" w:hRule="atLeast"/>
          <w:jc w:val="center"/>
        </w:trPr>
        <w:tc>
          <w:tcPr>
            <w:tcW w:w="1087" w:type="dxa"/>
            <w:vMerge w:val="continue"/>
            <w:tcBorders>
              <w:left w:val="single" w:color="000000" w:sz="2" w:space="0"/>
              <w:bottom w:val="single" w:color="000000" w:sz="2" w:space="0"/>
              <w:right w:val="single" w:color="000000" w:sz="2" w:space="0"/>
            </w:tcBorders>
            <w:shd w:val="clear" w:color="000000" w:fill="FFFFFF"/>
            <w:noWrap w:val="0"/>
            <w:vAlign w:val="center"/>
          </w:tcPr>
          <w:p w14:paraId="1FB7E387">
            <w:pPr>
              <w:autoSpaceDE w:val="0"/>
              <w:autoSpaceDN w:val="0"/>
              <w:adjustRightInd w:val="0"/>
              <w:spacing w:line="390" w:lineRule="atLeast"/>
              <w:jc w:val="center"/>
              <w:rPr>
                <w:rFonts w:hint="eastAsia" w:ascii="宋体" w:hAnsi="宋体" w:eastAsia="宋体" w:cs="宋体"/>
                <w:kern w:val="0"/>
                <w:sz w:val="22"/>
                <w:szCs w:val="22"/>
                <w:highlight w:val="none"/>
                <w:lang w:val="zh-CN"/>
              </w:rPr>
            </w:pPr>
          </w:p>
        </w:tc>
        <w:tc>
          <w:tcPr>
            <w:tcW w:w="1129"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3CB1FDA3">
            <w:pPr>
              <w:autoSpaceDE w:val="0"/>
              <w:autoSpaceDN w:val="0"/>
              <w:adjustRightInd w:val="0"/>
              <w:jc w:val="left"/>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服务承诺</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43EECBB7">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cs="宋体"/>
                <w:color w:val="000000"/>
                <w:kern w:val="0"/>
                <w:sz w:val="24"/>
                <w:highlight w:val="none"/>
                <w:lang w:val="en-US" w:eastAsia="zh-CN"/>
              </w:rPr>
              <w:t>1、</w:t>
            </w:r>
            <w:r>
              <w:rPr>
                <w:rFonts w:hint="eastAsia" w:ascii="宋体" w:hAnsi="宋体" w:eastAsia="宋体" w:cs="宋体"/>
                <w:color w:val="000000"/>
                <w:kern w:val="0"/>
                <w:sz w:val="24"/>
                <w:highlight w:val="none"/>
                <w:lang w:val="zh-CN"/>
              </w:rPr>
              <w:t>为保证本项目服务质量和安全，中标单位须承诺食堂运营前为在校用餐人员缴纳食品安全责任险，费用由</w:t>
            </w:r>
            <w:r>
              <w:rPr>
                <w:rFonts w:hint="eastAsia" w:ascii="宋体" w:hAnsi="宋体" w:cs="宋体"/>
                <w:color w:val="000000"/>
                <w:kern w:val="0"/>
                <w:sz w:val="24"/>
                <w:highlight w:val="none"/>
                <w:lang w:val="zh-CN"/>
              </w:rPr>
              <w:t>成交供应商</w:t>
            </w:r>
            <w:r>
              <w:rPr>
                <w:rFonts w:hint="eastAsia" w:ascii="宋体" w:hAnsi="宋体" w:eastAsia="宋体" w:cs="宋体"/>
                <w:color w:val="000000"/>
                <w:kern w:val="0"/>
                <w:sz w:val="24"/>
                <w:highlight w:val="none"/>
                <w:lang w:val="zh-CN"/>
              </w:rPr>
              <w:t>支付。</w:t>
            </w:r>
            <w:r>
              <w:rPr>
                <w:rFonts w:hint="eastAsia" w:ascii="宋体" w:hAnsi="宋体" w:cs="宋体"/>
                <w:color w:val="000000"/>
                <w:kern w:val="0"/>
                <w:sz w:val="24"/>
                <w:highlight w:val="none"/>
                <w:lang w:val="en-US" w:eastAsia="zh-CN"/>
              </w:rPr>
              <w:t>提供</w:t>
            </w:r>
            <w:r>
              <w:rPr>
                <w:rFonts w:hint="eastAsia" w:ascii="宋体" w:hAnsi="宋体" w:eastAsia="宋体" w:cs="宋体"/>
                <w:color w:val="000000"/>
                <w:kern w:val="0"/>
                <w:sz w:val="24"/>
                <w:highlight w:val="none"/>
                <w:lang w:val="zh-CN"/>
              </w:rPr>
              <w:t>此承诺得</w:t>
            </w:r>
            <w:r>
              <w:rPr>
                <w:rFonts w:hint="eastAsia" w:ascii="宋体" w:hAnsi="宋体" w:cs="宋体"/>
                <w:color w:val="000000"/>
                <w:kern w:val="0"/>
                <w:sz w:val="24"/>
                <w:highlight w:val="none"/>
                <w:lang w:val="en-US" w:eastAsia="zh-CN"/>
              </w:rPr>
              <w:t>6</w:t>
            </w:r>
            <w:r>
              <w:rPr>
                <w:rFonts w:hint="eastAsia" w:ascii="宋体" w:hAnsi="宋体" w:eastAsia="宋体" w:cs="宋体"/>
                <w:color w:val="000000"/>
                <w:kern w:val="0"/>
                <w:sz w:val="24"/>
                <w:highlight w:val="none"/>
                <w:lang w:val="zh-CN"/>
              </w:rPr>
              <w:t>分。</w:t>
            </w:r>
          </w:p>
          <w:p w14:paraId="39BACB9C">
            <w:pPr>
              <w:keepNext w:val="0"/>
              <w:keepLines w:val="0"/>
              <w:pageBreakBefore w:val="0"/>
              <w:widowControl w:val="0"/>
              <w:numPr>
                <w:ilvl w:val="0"/>
                <w:numId w:val="0"/>
              </w:numPr>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color w:val="000000"/>
                <w:kern w:val="0"/>
                <w:sz w:val="24"/>
                <w:highlight w:val="none"/>
                <w:lang w:val="zh-CN"/>
              </w:rPr>
            </w:pPr>
            <w:r>
              <w:rPr>
                <w:rFonts w:hint="eastAsia" w:ascii="宋体" w:hAnsi="宋体" w:cs="宋体"/>
                <w:color w:val="000000"/>
                <w:kern w:val="0"/>
                <w:sz w:val="24"/>
                <w:highlight w:val="none"/>
                <w:lang w:val="en-US" w:eastAsia="zh-CN"/>
              </w:rPr>
              <w:t>2、</w:t>
            </w:r>
            <w:r>
              <w:rPr>
                <w:rFonts w:hint="eastAsia" w:ascii="宋体" w:hAnsi="宋体" w:eastAsia="宋体" w:cs="宋体"/>
                <w:color w:val="000000"/>
                <w:kern w:val="0"/>
                <w:sz w:val="24"/>
                <w:highlight w:val="none"/>
                <w:lang w:val="zh-CN"/>
              </w:rPr>
              <w:t>为保证本项目服务质量和安全，中标单位须承诺食堂运营前为服务人员上岗前提供医学健康体检报告、且购买雇主责任险并保证本项目拟任的项目负责人、项目班子组成其他人员必须包含在雇主责任险清单明细内，有此承诺得</w:t>
            </w:r>
            <w:r>
              <w:rPr>
                <w:rFonts w:hint="eastAsia" w:ascii="宋体" w:hAnsi="宋体" w:cs="宋体"/>
                <w:color w:val="000000"/>
                <w:kern w:val="0"/>
                <w:sz w:val="24"/>
                <w:highlight w:val="none"/>
                <w:lang w:val="en-US" w:eastAsia="zh-CN"/>
              </w:rPr>
              <w:t>5</w:t>
            </w:r>
            <w:r>
              <w:rPr>
                <w:rFonts w:hint="eastAsia" w:ascii="宋体" w:hAnsi="宋体" w:eastAsia="宋体" w:cs="宋体"/>
                <w:color w:val="000000"/>
                <w:kern w:val="0"/>
                <w:sz w:val="24"/>
                <w:highlight w:val="none"/>
                <w:lang w:val="zh-CN"/>
              </w:rPr>
              <w:t>分。</w:t>
            </w:r>
          </w:p>
          <w:p w14:paraId="7AB72E86">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注</w:t>
            </w:r>
            <w:r>
              <w:rPr>
                <w:rFonts w:hint="eastAsia" w:ascii="宋体" w:hAnsi="宋体" w:cs="宋体"/>
                <w:color w:val="000000"/>
                <w:kern w:val="0"/>
                <w:sz w:val="24"/>
                <w:highlight w:val="none"/>
                <w:lang w:val="zh-CN"/>
              </w:rPr>
              <w:t>：</w:t>
            </w:r>
            <w:r>
              <w:rPr>
                <w:rFonts w:hint="eastAsia" w:ascii="宋体" w:hAnsi="宋体" w:eastAsia="宋体" w:cs="宋体"/>
                <w:color w:val="000000"/>
                <w:kern w:val="0"/>
                <w:sz w:val="24"/>
                <w:highlight w:val="none"/>
                <w:lang w:val="zh-CN"/>
              </w:rPr>
              <w:t>（无此承诺或承诺不完整的不得分，响应文件中须提供单页承诺并加盖供应商公章）。</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01DF658F">
            <w:pPr>
              <w:autoSpaceDE w:val="0"/>
              <w:autoSpaceDN w:val="0"/>
              <w:adjustRightInd w:val="0"/>
              <w:spacing w:line="390" w:lineRule="atLeast"/>
              <w:jc w:val="center"/>
              <w:rPr>
                <w:rFonts w:hint="default" w:ascii="宋体" w:hAnsi="宋体" w:eastAsia="宋体" w:cs="宋体"/>
                <w:kern w:val="0"/>
                <w:sz w:val="22"/>
                <w:szCs w:val="22"/>
                <w:highlight w:val="none"/>
                <w:lang w:val="en-US" w:eastAsia="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11</w:t>
            </w:r>
          </w:p>
        </w:tc>
      </w:tr>
      <w:tr w14:paraId="3ADFF656">
        <w:tblPrEx>
          <w:tblCellMar>
            <w:top w:w="0" w:type="dxa"/>
            <w:left w:w="50" w:type="dxa"/>
            <w:bottom w:w="0" w:type="dxa"/>
            <w:right w:w="50" w:type="dxa"/>
          </w:tblCellMar>
        </w:tblPrEx>
        <w:trPr>
          <w:trHeight w:val="2102" w:hRule="atLeast"/>
          <w:jc w:val="center"/>
        </w:trPr>
        <w:tc>
          <w:tcPr>
            <w:tcW w:w="2216" w:type="dxa"/>
            <w:gridSpan w:val="2"/>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73E9B583">
            <w:pPr>
              <w:keepNext w:val="0"/>
              <w:keepLines w:val="0"/>
              <w:pageBreakBefore w:val="0"/>
              <w:widowControl w:val="0"/>
              <w:kinsoku/>
              <w:wordWrap/>
              <w:overflowPunct/>
              <w:topLinePunct w:val="0"/>
              <w:autoSpaceDE w:val="0"/>
              <w:autoSpaceDN w:val="0"/>
              <w:bidi w:val="0"/>
              <w:adjustRightInd w:val="0"/>
              <w:snapToGrid/>
              <w:spacing w:line="240" w:lineRule="auto"/>
              <w:jc w:val="center"/>
              <w:textAlignment w:val="auto"/>
              <w:rPr>
                <w:rFonts w:hint="eastAsia" w:ascii="宋体" w:hAnsi="宋体" w:eastAsia="宋体" w:cs="宋体"/>
                <w:kern w:val="0"/>
                <w:sz w:val="22"/>
                <w:szCs w:val="22"/>
                <w:highlight w:val="none"/>
                <w:lang w:val="zh-CN"/>
              </w:rPr>
            </w:pPr>
            <w:r>
              <w:rPr>
                <w:rFonts w:hint="eastAsia" w:ascii="宋体" w:hAnsi="宋体" w:eastAsia="宋体" w:cs="宋体"/>
                <w:kern w:val="0"/>
                <w:sz w:val="24"/>
                <w:highlight w:val="none"/>
                <w:lang w:val="zh-CN"/>
              </w:rPr>
              <w:t>价格分（</w:t>
            </w:r>
            <w:r>
              <w:rPr>
                <w:rFonts w:hint="eastAsia" w:ascii="宋体" w:hAnsi="宋体" w:cs="宋体"/>
                <w:kern w:val="0"/>
                <w:sz w:val="24"/>
                <w:highlight w:val="none"/>
                <w:u w:val="single"/>
                <w:lang w:val="en-US" w:eastAsia="zh-CN"/>
              </w:rPr>
              <w:t>3</w:t>
            </w:r>
            <w:r>
              <w:rPr>
                <w:rFonts w:hint="eastAsia" w:ascii="宋体" w:hAnsi="宋体" w:eastAsia="宋体" w:cs="宋体"/>
                <w:kern w:val="0"/>
                <w:sz w:val="24"/>
                <w:highlight w:val="none"/>
                <w:u w:val="single"/>
                <w:lang w:val="zh-CN"/>
              </w:rPr>
              <w:t>0</w:t>
            </w:r>
            <w:r>
              <w:rPr>
                <w:rFonts w:hint="eastAsia" w:ascii="宋体" w:hAnsi="宋体" w:eastAsia="宋体" w:cs="宋体"/>
                <w:kern w:val="0"/>
                <w:sz w:val="24"/>
                <w:highlight w:val="none"/>
                <w:lang w:val="zh-CN"/>
              </w:rPr>
              <w:t>分）</w:t>
            </w:r>
          </w:p>
        </w:tc>
        <w:tc>
          <w:tcPr>
            <w:tcW w:w="6753"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91DFB1C">
            <w:pPr>
              <w:keepNext w:val="0"/>
              <w:keepLines w:val="0"/>
              <w:pageBreakBefore w:val="0"/>
              <w:widowControl w:val="0"/>
              <w:kinsoku/>
              <w:wordWrap/>
              <w:overflowPunct/>
              <w:topLinePunct w:val="0"/>
              <w:autoSpaceDE/>
              <w:autoSpaceDN/>
              <w:bidi w:val="0"/>
              <w:adjustRightInd w:val="0"/>
              <w:snapToGrid w:val="0"/>
              <w:spacing w:line="240" w:lineRule="auto"/>
              <w:ind w:left="0" w:leftChars="0" w:right="0" w:rightChars="0" w:firstLine="0" w:firstLineChars="0"/>
              <w:jc w:val="left"/>
              <w:textAlignment w:val="auto"/>
              <w:rPr>
                <w:rFonts w:hint="eastAsia" w:ascii="宋体" w:hAnsi="宋体" w:eastAsia="宋体" w:cs="宋体"/>
                <w:sz w:val="24"/>
                <w:szCs w:val="24"/>
                <w:highlight w:val="none"/>
              </w:rPr>
            </w:pPr>
            <w:r>
              <w:rPr>
                <w:rFonts w:hint="eastAsia" w:ascii="宋体" w:hAnsi="宋体" w:eastAsia="宋体" w:cs="宋体"/>
                <w:sz w:val="24"/>
                <w:szCs w:val="24"/>
                <w:highlight w:val="none"/>
              </w:rPr>
              <w:t>价格分统一采用低价优先法，即满足磋商文件要求且最终报价最低的价格作为评标基准价，其价格分为满分</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0分。其他磋商供应商的价格分统一按照下列公式计算（四舍五入保留至小数点后两位数）：</w:t>
            </w:r>
          </w:p>
          <w:p w14:paraId="006F3B53">
            <w:pPr>
              <w:keepNext w:val="0"/>
              <w:keepLines w:val="0"/>
              <w:pageBreakBefore w:val="0"/>
              <w:widowControl w:val="0"/>
              <w:kinsoku/>
              <w:wordWrap/>
              <w:overflowPunct/>
              <w:topLinePunct w:val="0"/>
              <w:autoSpaceDE w:val="0"/>
              <w:autoSpaceDN w:val="0"/>
              <w:bidi w:val="0"/>
              <w:adjustRightInd w:val="0"/>
              <w:snapToGrid w:val="0"/>
              <w:spacing w:line="240" w:lineRule="auto"/>
              <w:textAlignment w:val="auto"/>
              <w:rPr>
                <w:rFonts w:hint="eastAsia" w:ascii="宋体" w:hAnsi="宋体" w:eastAsia="宋体" w:cs="宋体"/>
                <w:kern w:val="0"/>
                <w:sz w:val="22"/>
                <w:szCs w:val="22"/>
                <w:highlight w:val="none"/>
                <w:lang w:val="zh-CN"/>
              </w:rPr>
            </w:pPr>
            <w:r>
              <w:rPr>
                <w:rFonts w:hint="eastAsia" w:ascii="宋体" w:hAnsi="宋体" w:eastAsia="宋体" w:cs="宋体"/>
                <w:sz w:val="24"/>
                <w:szCs w:val="24"/>
                <w:highlight w:val="none"/>
              </w:rPr>
              <w:t>磋商报价得分＝（评标基准价/磋商报价）×</w:t>
            </w:r>
            <w:r>
              <w:rPr>
                <w:rFonts w:hint="eastAsia" w:ascii="宋体" w:hAnsi="宋体" w:eastAsia="宋体" w:cs="宋体"/>
                <w:sz w:val="24"/>
                <w:szCs w:val="24"/>
                <w:highlight w:val="none"/>
                <w:lang w:val="en-US" w:eastAsia="zh-CN"/>
              </w:rPr>
              <w:t>3</w:t>
            </w:r>
            <w:r>
              <w:rPr>
                <w:rFonts w:hint="eastAsia" w:ascii="宋体" w:hAnsi="宋体" w:eastAsia="宋体" w:cs="宋体"/>
                <w:sz w:val="24"/>
                <w:szCs w:val="24"/>
                <w:highlight w:val="none"/>
              </w:rPr>
              <w:t>0%×100</w:t>
            </w:r>
          </w:p>
        </w:tc>
        <w:tc>
          <w:tcPr>
            <w:tcW w:w="1186" w:type="dxa"/>
            <w:tcBorders>
              <w:top w:val="single" w:color="000000" w:sz="2" w:space="0"/>
              <w:left w:val="single" w:color="000000" w:sz="2" w:space="0"/>
              <w:bottom w:val="single" w:color="000000" w:sz="2" w:space="0"/>
              <w:right w:val="single" w:color="000000" w:sz="2" w:space="0"/>
            </w:tcBorders>
            <w:shd w:val="clear" w:color="000000" w:fill="FFFFFF"/>
            <w:noWrap w:val="0"/>
            <w:vAlign w:val="center"/>
          </w:tcPr>
          <w:p w14:paraId="6BC5BDCD">
            <w:pPr>
              <w:autoSpaceDE w:val="0"/>
              <w:autoSpaceDN w:val="0"/>
              <w:adjustRightInd w:val="0"/>
              <w:spacing w:line="390" w:lineRule="atLeast"/>
              <w:jc w:val="center"/>
              <w:rPr>
                <w:rFonts w:hint="eastAsia" w:ascii="宋体" w:hAnsi="宋体" w:eastAsia="宋体" w:cs="宋体"/>
                <w:kern w:val="0"/>
                <w:sz w:val="22"/>
                <w:szCs w:val="22"/>
                <w:highlight w:val="none"/>
                <w:lang w:val="zh-CN"/>
              </w:rPr>
            </w:pPr>
            <w:r>
              <w:rPr>
                <w:rFonts w:hint="eastAsia" w:ascii="宋体" w:hAnsi="宋体" w:eastAsia="宋体" w:cs="宋体"/>
                <w:color w:val="000000"/>
                <w:kern w:val="0"/>
                <w:sz w:val="24"/>
                <w:highlight w:val="none"/>
                <w:lang w:val="zh-CN"/>
              </w:rPr>
              <w:t>0-</w:t>
            </w:r>
            <w:r>
              <w:rPr>
                <w:rFonts w:hint="eastAsia" w:ascii="宋体" w:hAnsi="宋体" w:cs="宋体"/>
                <w:color w:val="000000"/>
                <w:kern w:val="0"/>
                <w:sz w:val="24"/>
                <w:highlight w:val="none"/>
                <w:lang w:val="en-US" w:eastAsia="zh-CN"/>
              </w:rPr>
              <w:t>3</w:t>
            </w:r>
            <w:r>
              <w:rPr>
                <w:rFonts w:hint="eastAsia" w:ascii="宋体" w:hAnsi="宋体" w:eastAsia="宋体" w:cs="宋体"/>
                <w:color w:val="000000"/>
                <w:kern w:val="0"/>
                <w:sz w:val="24"/>
                <w:highlight w:val="none"/>
                <w:lang w:val="zh-CN"/>
              </w:rPr>
              <w:t>0</w:t>
            </w:r>
          </w:p>
        </w:tc>
      </w:tr>
    </w:tbl>
    <w:p w14:paraId="06401801">
      <w:pPr>
        <w:keepNext w:val="0"/>
        <w:keepLines w:val="0"/>
        <w:pageBreakBefore w:val="0"/>
        <w:widowControl w:val="0"/>
        <w:kinsoku/>
        <w:wordWrap/>
        <w:overflowPunct/>
        <w:topLinePunct w:val="0"/>
        <w:autoSpaceDE/>
        <w:autoSpaceDN/>
        <w:bidi w:val="0"/>
        <w:adjustRightInd w:val="0"/>
        <w:snapToGrid w:val="0"/>
        <w:spacing w:before="157" w:beforeLines="50" w:line="360" w:lineRule="auto"/>
        <w:ind w:right="0" w:firstLine="480" w:firstLineChars="200"/>
        <w:textAlignment w:val="auto"/>
        <w:rPr>
          <w:rFonts w:ascii="宋体" w:hAnsi="宋体" w:cs="宋体"/>
          <w:sz w:val="24"/>
          <w:szCs w:val="24"/>
          <w:highlight w:val="none"/>
        </w:rPr>
      </w:pPr>
      <w:r>
        <w:rPr>
          <w:rFonts w:hint="eastAsia" w:ascii="宋体" w:hAnsi="宋体" w:cs="宋体"/>
          <w:sz w:val="24"/>
          <w:szCs w:val="24"/>
          <w:highlight w:val="none"/>
        </w:rPr>
        <w:t>2、技术标分汇总方法：对某一供应商的技术标的每一个指标项得分，取各位评委评分之平均值，四舍五入保留至小数点后两位数，得到该供应商该指标项的得分。再将供应商每个技术标的指标项得分进行汇总，得到该供应商的技术标分之和。</w:t>
      </w:r>
    </w:p>
    <w:p w14:paraId="50372224">
      <w:pPr>
        <w:pStyle w:val="11"/>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3、得分汇总</w:t>
      </w:r>
    </w:p>
    <w:p w14:paraId="16FA27ED">
      <w:pPr>
        <w:pStyle w:val="11"/>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（1）将每个有效磋商供应商的技术标分之和加上根据上述标准计算出的价格分，即为该磋商供应商的综合总得分。</w:t>
      </w:r>
    </w:p>
    <w:p w14:paraId="24144CE0">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jc w:val="left"/>
        <w:textAlignment w:val="auto"/>
        <w:rPr>
          <w:highlight w:val="none"/>
        </w:rPr>
      </w:pPr>
      <w:r>
        <w:rPr>
          <w:rFonts w:hint="eastAsia" w:ascii="宋体" w:hAnsi="宋体" w:cs="宋体"/>
          <w:sz w:val="24"/>
          <w:szCs w:val="24"/>
          <w:highlight w:val="none"/>
        </w:rPr>
        <w:t>（2）按照有效磋商供应商综合总得分由高到低依次排出成交供应商及成交候选供应商。</w:t>
      </w:r>
    </w:p>
    <w:p w14:paraId="3753443E">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cs="宋体"/>
          <w:sz w:val="24"/>
          <w:szCs w:val="24"/>
          <w:highlight w:val="none"/>
        </w:rPr>
      </w:pPr>
      <w:r>
        <w:rPr>
          <w:rFonts w:hint="eastAsia" w:ascii="宋体" w:hAnsi="宋体" w:cs="宋体"/>
          <w:sz w:val="24"/>
          <w:szCs w:val="24"/>
          <w:highlight w:val="none"/>
        </w:rPr>
        <w:t>2、技术标分汇总方法：对某一供应商的技术标的每一个指标项得分，取各位评委评分之平均值，四舍五入保留至小数点后两位数，得到该供应商该指标项的得分。再将供应商每个技术标的指标项得分进行汇总，得到该供应商的技术标分之和。</w:t>
      </w:r>
    </w:p>
    <w:p w14:paraId="095E0286">
      <w:pPr>
        <w:pStyle w:val="11"/>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3、得分汇总</w:t>
      </w:r>
    </w:p>
    <w:p w14:paraId="1DE3132E">
      <w:pPr>
        <w:pStyle w:val="11"/>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textAlignment w:val="auto"/>
        <w:rPr>
          <w:rFonts w:ascii="宋体" w:hAnsi="宋体" w:eastAsia="宋体" w:cs="宋体"/>
          <w:sz w:val="24"/>
          <w:szCs w:val="24"/>
          <w:highlight w:val="none"/>
        </w:rPr>
      </w:pPr>
      <w:r>
        <w:rPr>
          <w:rFonts w:hint="eastAsia" w:ascii="宋体" w:hAnsi="宋体" w:eastAsia="宋体" w:cs="宋体"/>
          <w:sz w:val="24"/>
          <w:szCs w:val="24"/>
          <w:highlight w:val="none"/>
        </w:rPr>
        <w:t>（1）将每个有效磋商供应商的技术标分之和加上根据上述标准计算出的价格分，即为该磋商供应商的综合总得分。</w:t>
      </w:r>
    </w:p>
    <w:p w14:paraId="314E655A">
      <w:pPr>
        <w:keepNext w:val="0"/>
        <w:keepLines w:val="0"/>
        <w:pageBreakBefore w:val="0"/>
        <w:widowControl w:val="0"/>
        <w:kinsoku/>
        <w:wordWrap/>
        <w:overflowPunct/>
        <w:topLinePunct w:val="0"/>
        <w:autoSpaceDE/>
        <w:autoSpaceDN/>
        <w:bidi w:val="0"/>
        <w:adjustRightInd w:val="0"/>
        <w:snapToGrid w:val="0"/>
        <w:spacing w:line="360" w:lineRule="auto"/>
        <w:ind w:right="0" w:firstLine="480" w:firstLineChars="200"/>
        <w:jc w:val="left"/>
        <w:textAlignment w:val="auto"/>
        <w:rPr>
          <w:rFonts w:ascii="宋体" w:hAnsi="宋体" w:cs="宋体"/>
          <w:highlight w:val="none"/>
        </w:rPr>
      </w:pPr>
      <w:r>
        <w:rPr>
          <w:rFonts w:hint="eastAsia" w:ascii="宋体" w:hAnsi="宋体" w:cs="宋体"/>
          <w:sz w:val="24"/>
          <w:szCs w:val="24"/>
          <w:highlight w:val="none"/>
        </w:rPr>
        <w:t>（2）按照有效磋商供应商综合总得分由高到低依次排出成交供应商及成交候选供应商。</w:t>
      </w:r>
    </w:p>
    <w:p w14:paraId="749F6E12">
      <w:pPr>
        <w:pStyle w:val="2"/>
        <w:spacing w:before="156" w:beforeLines="50" w:after="156" w:afterLines="50" w:line="560" w:lineRule="exact"/>
        <w:jc w:val="center"/>
        <w:outlineLvl w:val="0"/>
        <w:rPr>
          <w:rFonts w:ascii="宋体" w:hAnsi="宋体" w:eastAsia="宋体" w:cs="宋体"/>
          <w:sz w:val="28"/>
          <w:szCs w:val="28"/>
          <w:highlight w:val="none"/>
        </w:rPr>
      </w:pPr>
      <w:bookmarkStart w:id="96" w:name="_Toc14458"/>
      <w:bookmarkStart w:id="97" w:name="_Toc5553"/>
      <w:r>
        <w:rPr>
          <w:rFonts w:hint="eastAsia" w:ascii="宋体" w:hAnsi="宋体" w:eastAsia="宋体" w:cs="宋体"/>
          <w:sz w:val="28"/>
          <w:szCs w:val="28"/>
          <w:highlight w:val="none"/>
        </w:rPr>
        <w:br w:type="page"/>
      </w:r>
      <w:bookmarkStart w:id="98" w:name="_Toc8088"/>
      <w:bookmarkStart w:id="99" w:name="_Toc21797"/>
      <w:r>
        <w:rPr>
          <w:rFonts w:hint="eastAsia" w:ascii="宋体" w:hAnsi="宋体" w:eastAsia="宋体" w:cs="宋体"/>
          <w:sz w:val="30"/>
          <w:szCs w:val="30"/>
          <w:highlight w:val="none"/>
        </w:rPr>
        <w:t>五、响应文件格式</w:t>
      </w:r>
      <w:bookmarkEnd w:id="96"/>
      <w:bookmarkEnd w:id="97"/>
      <w:bookmarkEnd w:id="98"/>
      <w:bookmarkEnd w:id="99"/>
    </w:p>
    <w:p w14:paraId="6F0BF7C8">
      <w:pPr>
        <w:spacing w:line="500" w:lineRule="exact"/>
        <w:jc w:val="center"/>
        <w:rPr>
          <w:rFonts w:ascii="宋体" w:hAnsi="宋体" w:cs="宋体"/>
          <w:b/>
          <w:sz w:val="32"/>
          <w:highlight w:val="none"/>
        </w:rPr>
      </w:pPr>
    </w:p>
    <w:p w14:paraId="03107CCB">
      <w:pPr>
        <w:spacing w:line="500" w:lineRule="exact"/>
        <w:jc w:val="center"/>
        <w:outlineLvl w:val="9"/>
        <w:rPr>
          <w:rFonts w:ascii="宋体" w:hAnsi="宋体" w:cs="宋体"/>
          <w:b/>
          <w:sz w:val="32"/>
          <w:highlight w:val="none"/>
        </w:rPr>
      </w:pPr>
      <w:r>
        <w:rPr>
          <w:rFonts w:hint="eastAsia" w:ascii="宋体" w:hAnsi="宋体" w:cs="宋体"/>
          <w:b/>
          <w:sz w:val="32"/>
          <w:highlight w:val="none"/>
          <w:u w:val="single"/>
        </w:rPr>
        <w:t>　　　　　　　　　</w:t>
      </w:r>
      <w:bookmarkStart w:id="100" w:name="_Toc22685"/>
      <w:bookmarkStart w:id="101" w:name="_Toc4448"/>
      <w:r>
        <w:rPr>
          <w:rFonts w:hint="eastAsia" w:ascii="宋体" w:hAnsi="宋体" w:cs="宋体"/>
          <w:b/>
          <w:sz w:val="32"/>
          <w:highlight w:val="none"/>
        </w:rPr>
        <w:t>项目</w:t>
      </w:r>
      <w:bookmarkEnd w:id="100"/>
      <w:bookmarkEnd w:id="101"/>
    </w:p>
    <w:p w14:paraId="542C1163">
      <w:pPr>
        <w:spacing w:line="900" w:lineRule="exact"/>
        <w:rPr>
          <w:rFonts w:ascii="宋体" w:hAnsi="宋体" w:cs="宋体"/>
          <w:b/>
          <w:sz w:val="72"/>
          <w:highlight w:val="none"/>
        </w:rPr>
      </w:pPr>
    </w:p>
    <w:p w14:paraId="5F6127B0">
      <w:pPr>
        <w:spacing w:line="900" w:lineRule="exact"/>
        <w:jc w:val="center"/>
        <w:rPr>
          <w:rFonts w:ascii="宋体" w:hAnsi="宋体" w:cs="宋体"/>
          <w:b/>
          <w:sz w:val="72"/>
          <w:highlight w:val="none"/>
        </w:rPr>
      </w:pPr>
      <w:r>
        <w:rPr>
          <w:rFonts w:hint="eastAsia" w:ascii="宋体" w:hAnsi="宋体" w:cs="宋体"/>
          <w:b/>
          <w:sz w:val="72"/>
          <w:highlight w:val="none"/>
        </w:rPr>
        <w:t>响</w:t>
      </w:r>
    </w:p>
    <w:p w14:paraId="67CE9CDE">
      <w:pPr>
        <w:spacing w:line="900" w:lineRule="exact"/>
        <w:jc w:val="center"/>
        <w:rPr>
          <w:rFonts w:ascii="宋体" w:hAnsi="宋体" w:cs="宋体"/>
          <w:b/>
          <w:sz w:val="72"/>
          <w:highlight w:val="none"/>
        </w:rPr>
      </w:pPr>
    </w:p>
    <w:p w14:paraId="5F6D9CB2">
      <w:pPr>
        <w:spacing w:line="900" w:lineRule="exact"/>
        <w:jc w:val="center"/>
        <w:rPr>
          <w:rFonts w:ascii="宋体" w:hAnsi="宋体" w:cs="宋体"/>
          <w:b/>
          <w:sz w:val="72"/>
          <w:highlight w:val="none"/>
        </w:rPr>
      </w:pPr>
      <w:r>
        <w:rPr>
          <w:rFonts w:hint="eastAsia" w:ascii="宋体" w:hAnsi="宋体" w:cs="宋体"/>
          <w:b/>
          <w:sz w:val="72"/>
          <w:highlight w:val="none"/>
        </w:rPr>
        <w:t>应</w:t>
      </w:r>
    </w:p>
    <w:p w14:paraId="59BCC66E">
      <w:pPr>
        <w:spacing w:line="900" w:lineRule="exact"/>
        <w:jc w:val="center"/>
        <w:rPr>
          <w:rFonts w:ascii="宋体" w:hAnsi="宋体" w:cs="宋体"/>
          <w:b/>
          <w:sz w:val="72"/>
          <w:highlight w:val="none"/>
        </w:rPr>
      </w:pPr>
    </w:p>
    <w:p w14:paraId="1B8420A8">
      <w:pPr>
        <w:spacing w:line="900" w:lineRule="exact"/>
        <w:jc w:val="center"/>
        <w:rPr>
          <w:rFonts w:ascii="宋体" w:hAnsi="宋体" w:cs="宋体"/>
          <w:b/>
          <w:sz w:val="72"/>
          <w:highlight w:val="none"/>
        </w:rPr>
      </w:pPr>
      <w:r>
        <w:rPr>
          <w:rFonts w:hint="eastAsia" w:ascii="宋体" w:hAnsi="宋体" w:cs="宋体"/>
          <w:b/>
          <w:sz w:val="72"/>
          <w:highlight w:val="none"/>
        </w:rPr>
        <w:t>文</w:t>
      </w:r>
    </w:p>
    <w:p w14:paraId="3D537B06">
      <w:pPr>
        <w:spacing w:line="900" w:lineRule="exact"/>
        <w:jc w:val="center"/>
        <w:rPr>
          <w:rFonts w:ascii="宋体" w:hAnsi="宋体" w:cs="宋体"/>
          <w:b/>
          <w:sz w:val="72"/>
          <w:highlight w:val="none"/>
        </w:rPr>
      </w:pPr>
    </w:p>
    <w:p w14:paraId="67DD2340">
      <w:pPr>
        <w:jc w:val="center"/>
        <w:rPr>
          <w:rFonts w:ascii="宋体" w:hAnsi="宋体" w:cs="宋体"/>
          <w:b/>
          <w:sz w:val="72"/>
          <w:highlight w:val="none"/>
        </w:rPr>
      </w:pPr>
      <w:r>
        <w:rPr>
          <w:rFonts w:hint="eastAsia" w:ascii="宋体" w:hAnsi="宋体" w:cs="宋体"/>
          <w:b/>
          <w:sz w:val="72"/>
          <w:highlight w:val="none"/>
        </w:rPr>
        <w:t>件</w:t>
      </w:r>
    </w:p>
    <w:p w14:paraId="60B0A25F">
      <w:pPr>
        <w:spacing w:after="156" w:afterLines="50"/>
        <w:jc w:val="center"/>
        <w:rPr>
          <w:rFonts w:ascii="宋体" w:hAnsi="宋体" w:cs="宋体"/>
          <w:b/>
          <w:sz w:val="72"/>
          <w:highlight w:val="none"/>
        </w:rPr>
      </w:pPr>
    </w:p>
    <w:p w14:paraId="069D50B0">
      <w:pPr>
        <w:spacing w:after="156" w:afterLines="50" w:line="500" w:lineRule="exact"/>
        <w:jc w:val="center"/>
        <w:rPr>
          <w:rFonts w:ascii="宋体" w:hAnsi="宋体" w:cs="宋体"/>
          <w:b/>
          <w:sz w:val="30"/>
          <w:szCs w:val="30"/>
          <w:highlight w:val="none"/>
        </w:rPr>
      </w:pPr>
      <w:r>
        <w:rPr>
          <w:rFonts w:hint="eastAsia" w:ascii="宋体" w:hAnsi="宋体" w:cs="宋体"/>
          <w:b/>
          <w:sz w:val="30"/>
          <w:szCs w:val="30"/>
          <w:highlight w:val="none"/>
        </w:rPr>
        <w:t>第</w:t>
      </w:r>
      <w:r>
        <w:rPr>
          <w:rFonts w:hint="eastAsia" w:ascii="宋体" w:hAnsi="宋体" w:cs="宋体"/>
          <w:b/>
          <w:sz w:val="30"/>
          <w:szCs w:val="30"/>
          <w:highlight w:val="none"/>
          <w:u w:val="single"/>
        </w:rPr>
        <w:t xml:space="preserve">   </w:t>
      </w:r>
      <w:r>
        <w:rPr>
          <w:rFonts w:hint="eastAsia" w:ascii="宋体" w:hAnsi="宋体" w:cs="宋体"/>
          <w:b/>
          <w:sz w:val="30"/>
          <w:szCs w:val="30"/>
          <w:highlight w:val="none"/>
        </w:rPr>
        <w:t>包</w:t>
      </w:r>
    </w:p>
    <w:p w14:paraId="5ED124E9">
      <w:pPr>
        <w:spacing w:after="156" w:afterLines="50" w:line="500" w:lineRule="exact"/>
        <w:jc w:val="center"/>
        <w:rPr>
          <w:rFonts w:ascii="宋体" w:hAnsi="宋体" w:cs="宋体"/>
          <w:b/>
          <w:sz w:val="72"/>
          <w:highlight w:val="none"/>
        </w:rPr>
      </w:pPr>
    </w:p>
    <w:p w14:paraId="56ED3711">
      <w:pPr>
        <w:spacing w:after="156" w:afterLines="50" w:line="500" w:lineRule="exact"/>
        <w:ind w:firstLine="2088" w:firstLineChars="650"/>
        <w:rPr>
          <w:rFonts w:ascii="宋体" w:hAnsi="宋体" w:cs="宋体"/>
          <w:b/>
          <w:sz w:val="32"/>
          <w:highlight w:val="none"/>
          <w:u w:val="single"/>
        </w:rPr>
      </w:pPr>
      <w:r>
        <w:rPr>
          <w:rFonts w:hint="eastAsia" w:ascii="宋体" w:hAnsi="宋体" w:cs="宋体"/>
          <w:b/>
          <w:sz w:val="32"/>
          <w:highlight w:val="none"/>
        </w:rPr>
        <w:t>供应商：</w:t>
      </w:r>
    </w:p>
    <w:p w14:paraId="0E39141B">
      <w:pPr>
        <w:spacing w:after="156" w:afterLines="50" w:line="500" w:lineRule="exact"/>
        <w:ind w:firstLine="2088" w:firstLineChars="650"/>
        <w:outlineLvl w:val="9"/>
        <w:rPr>
          <w:rFonts w:ascii="宋体" w:hAnsi="宋体" w:cs="宋体"/>
          <w:sz w:val="24"/>
          <w:szCs w:val="28"/>
          <w:highlight w:val="none"/>
        </w:rPr>
      </w:pPr>
      <w:bookmarkStart w:id="102" w:name="_Toc4670"/>
      <w:bookmarkStart w:id="103" w:name="_Toc5792"/>
      <w:r>
        <w:rPr>
          <w:rFonts w:hint="eastAsia" w:ascii="宋体" w:hAnsi="宋体" w:cs="宋体"/>
          <w:b/>
          <w:sz w:val="32"/>
          <w:highlight w:val="none"/>
        </w:rPr>
        <w:t>年  月  日</w:t>
      </w:r>
      <w:bookmarkEnd w:id="102"/>
      <w:bookmarkEnd w:id="103"/>
    </w:p>
    <w:p w14:paraId="763B8393">
      <w:pPr>
        <w:pStyle w:val="3"/>
        <w:spacing w:before="156" w:beforeLines="50" w:after="156" w:afterLines="50" w:line="560" w:lineRule="exact"/>
        <w:jc w:val="center"/>
        <w:rPr>
          <w:rFonts w:ascii="宋体" w:hAnsi="宋体" w:eastAsia="宋体" w:cs="宋体"/>
          <w:sz w:val="24"/>
          <w:szCs w:val="24"/>
          <w:highlight w:val="none"/>
        </w:rPr>
      </w:pPr>
      <w:bookmarkStart w:id="104" w:name="_Toc20663"/>
      <w:r>
        <w:rPr>
          <w:rFonts w:hint="eastAsia" w:ascii="宋体" w:hAnsi="宋体" w:eastAsia="宋体" w:cs="宋体"/>
          <w:sz w:val="24"/>
          <w:szCs w:val="24"/>
          <w:highlight w:val="none"/>
        </w:rPr>
        <w:br w:type="page"/>
      </w:r>
      <w:bookmarkStart w:id="105" w:name="_Toc2602"/>
      <w:r>
        <w:rPr>
          <w:rFonts w:hint="eastAsia" w:ascii="宋体" w:hAnsi="宋体" w:eastAsia="宋体" w:cs="宋体"/>
          <w:sz w:val="24"/>
          <w:szCs w:val="24"/>
          <w:highlight w:val="none"/>
        </w:rPr>
        <w:t>响应文件资料清单</w:t>
      </w:r>
      <w:bookmarkEnd w:id="104"/>
      <w:bookmarkEnd w:id="105"/>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50"/>
        <w:gridCol w:w="6038"/>
        <w:gridCol w:w="1417"/>
      </w:tblGrid>
      <w:tr w14:paraId="54B944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2D894768">
            <w:pPr>
              <w:spacing w:line="440" w:lineRule="exact"/>
              <w:jc w:val="center"/>
              <w:rPr>
                <w:rFonts w:ascii="宋体" w:hAnsi="宋体" w:cs="宋体"/>
                <w:b/>
                <w:sz w:val="24"/>
                <w:highlight w:val="none"/>
              </w:rPr>
            </w:pPr>
            <w:r>
              <w:rPr>
                <w:rFonts w:hint="eastAsia" w:ascii="宋体" w:hAnsi="宋体" w:cs="宋体"/>
                <w:b/>
                <w:sz w:val="24"/>
                <w:highlight w:val="none"/>
              </w:rPr>
              <w:t>序号</w:t>
            </w:r>
          </w:p>
        </w:tc>
        <w:tc>
          <w:tcPr>
            <w:tcW w:w="6038" w:type="dxa"/>
            <w:vAlign w:val="center"/>
          </w:tcPr>
          <w:p w14:paraId="66FED198">
            <w:pPr>
              <w:spacing w:line="440" w:lineRule="exact"/>
              <w:jc w:val="center"/>
              <w:rPr>
                <w:rFonts w:ascii="宋体" w:hAnsi="宋体" w:cs="宋体"/>
                <w:b/>
                <w:sz w:val="24"/>
                <w:highlight w:val="none"/>
              </w:rPr>
            </w:pPr>
            <w:r>
              <w:rPr>
                <w:rFonts w:hint="eastAsia" w:ascii="宋体" w:hAnsi="宋体" w:cs="宋体"/>
                <w:b/>
                <w:sz w:val="24"/>
                <w:highlight w:val="none"/>
              </w:rPr>
              <w:t>资料名称</w:t>
            </w:r>
          </w:p>
        </w:tc>
        <w:tc>
          <w:tcPr>
            <w:tcW w:w="1417" w:type="dxa"/>
            <w:vAlign w:val="center"/>
          </w:tcPr>
          <w:p w14:paraId="3BA57D3B">
            <w:pPr>
              <w:spacing w:line="440" w:lineRule="exact"/>
              <w:jc w:val="center"/>
              <w:rPr>
                <w:rFonts w:ascii="宋体" w:hAnsi="宋体" w:cs="宋体"/>
                <w:b/>
                <w:sz w:val="24"/>
                <w:highlight w:val="none"/>
              </w:rPr>
            </w:pPr>
            <w:r>
              <w:rPr>
                <w:rFonts w:hint="eastAsia" w:ascii="宋体" w:hAnsi="宋体" w:cs="宋体"/>
                <w:b/>
                <w:sz w:val="24"/>
                <w:highlight w:val="none"/>
              </w:rPr>
              <w:t>备注</w:t>
            </w:r>
          </w:p>
        </w:tc>
      </w:tr>
      <w:tr w14:paraId="63950F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6A5DEA33">
            <w:pPr>
              <w:spacing w:line="440" w:lineRule="exact"/>
              <w:jc w:val="center"/>
              <w:rPr>
                <w:rFonts w:ascii="宋体" w:hAnsi="宋体" w:cs="宋体"/>
                <w:sz w:val="24"/>
                <w:highlight w:val="none"/>
              </w:rPr>
            </w:pPr>
            <w:r>
              <w:rPr>
                <w:rFonts w:hint="eastAsia" w:ascii="宋体" w:hAnsi="宋体" w:cs="宋体"/>
                <w:sz w:val="24"/>
                <w:highlight w:val="none"/>
              </w:rPr>
              <w:t>一</w:t>
            </w:r>
          </w:p>
        </w:tc>
        <w:tc>
          <w:tcPr>
            <w:tcW w:w="6038" w:type="dxa"/>
            <w:vAlign w:val="center"/>
          </w:tcPr>
          <w:p w14:paraId="16FB8372">
            <w:pPr>
              <w:spacing w:line="440" w:lineRule="exact"/>
              <w:rPr>
                <w:rFonts w:ascii="宋体" w:hAnsi="宋体" w:cs="宋体"/>
                <w:sz w:val="24"/>
                <w:highlight w:val="none"/>
              </w:rPr>
            </w:pPr>
            <w:r>
              <w:rPr>
                <w:rFonts w:hint="eastAsia" w:ascii="宋体" w:hAnsi="宋体" w:cs="宋体"/>
                <w:sz w:val="24"/>
                <w:szCs w:val="24"/>
                <w:highlight w:val="none"/>
              </w:rPr>
              <w:t>报价单</w:t>
            </w:r>
          </w:p>
        </w:tc>
        <w:tc>
          <w:tcPr>
            <w:tcW w:w="1417" w:type="dxa"/>
            <w:vAlign w:val="center"/>
          </w:tcPr>
          <w:p w14:paraId="271F4912">
            <w:pPr>
              <w:spacing w:line="440" w:lineRule="exact"/>
              <w:jc w:val="center"/>
              <w:rPr>
                <w:rFonts w:ascii="宋体" w:hAnsi="宋体" w:cs="宋体"/>
                <w:b/>
                <w:sz w:val="24"/>
                <w:highlight w:val="none"/>
              </w:rPr>
            </w:pPr>
          </w:p>
        </w:tc>
      </w:tr>
      <w:tr w14:paraId="5F879D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5C846F8C">
            <w:pPr>
              <w:spacing w:line="440" w:lineRule="exact"/>
              <w:jc w:val="center"/>
              <w:rPr>
                <w:rFonts w:ascii="宋体" w:hAnsi="宋体" w:cs="宋体"/>
                <w:sz w:val="24"/>
                <w:highlight w:val="none"/>
              </w:rPr>
            </w:pPr>
            <w:r>
              <w:rPr>
                <w:rFonts w:hint="eastAsia" w:ascii="宋体" w:hAnsi="宋体" w:cs="宋体"/>
                <w:sz w:val="24"/>
                <w:highlight w:val="none"/>
              </w:rPr>
              <w:t>二</w:t>
            </w:r>
          </w:p>
        </w:tc>
        <w:tc>
          <w:tcPr>
            <w:tcW w:w="6038" w:type="dxa"/>
            <w:vAlign w:val="center"/>
          </w:tcPr>
          <w:p w14:paraId="663F2C03">
            <w:pPr>
              <w:spacing w:line="440" w:lineRule="exact"/>
              <w:rPr>
                <w:rFonts w:ascii="宋体" w:hAnsi="宋体" w:cs="宋体"/>
                <w:sz w:val="24"/>
                <w:highlight w:val="none"/>
              </w:rPr>
            </w:pPr>
            <w:r>
              <w:rPr>
                <w:rFonts w:hint="eastAsia" w:ascii="宋体" w:hAnsi="宋体" w:cs="宋体"/>
                <w:sz w:val="24"/>
                <w:highlight w:val="none"/>
              </w:rPr>
              <w:t>供应商基本信息</w:t>
            </w:r>
          </w:p>
        </w:tc>
        <w:tc>
          <w:tcPr>
            <w:tcW w:w="1417" w:type="dxa"/>
            <w:vAlign w:val="center"/>
          </w:tcPr>
          <w:p w14:paraId="6CE9C994">
            <w:pPr>
              <w:spacing w:line="440" w:lineRule="exact"/>
              <w:jc w:val="center"/>
              <w:rPr>
                <w:rFonts w:ascii="宋体" w:hAnsi="宋体" w:cs="宋体"/>
                <w:b/>
                <w:sz w:val="24"/>
                <w:highlight w:val="none"/>
              </w:rPr>
            </w:pPr>
          </w:p>
        </w:tc>
      </w:tr>
      <w:tr w14:paraId="1D897E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3CBB4DFA">
            <w:pPr>
              <w:spacing w:line="440" w:lineRule="exact"/>
              <w:jc w:val="center"/>
              <w:rPr>
                <w:rFonts w:ascii="宋体" w:hAnsi="宋体" w:cs="宋体"/>
                <w:sz w:val="24"/>
                <w:highlight w:val="none"/>
              </w:rPr>
            </w:pPr>
            <w:r>
              <w:rPr>
                <w:rFonts w:hint="eastAsia" w:ascii="宋体" w:hAnsi="宋体" w:cs="宋体"/>
                <w:sz w:val="24"/>
                <w:highlight w:val="none"/>
              </w:rPr>
              <w:t>三</w:t>
            </w:r>
          </w:p>
        </w:tc>
        <w:tc>
          <w:tcPr>
            <w:tcW w:w="6038" w:type="dxa"/>
            <w:vAlign w:val="center"/>
          </w:tcPr>
          <w:p w14:paraId="2DB5CC84">
            <w:pPr>
              <w:pStyle w:val="60"/>
              <w:spacing w:line="440" w:lineRule="exact"/>
              <w:rPr>
                <w:rFonts w:ascii="宋体" w:hAnsi="宋体" w:cs="宋体"/>
                <w:highlight w:val="none"/>
              </w:rPr>
            </w:pPr>
            <w:r>
              <w:rPr>
                <w:rFonts w:hint="eastAsia" w:ascii="宋体" w:hAnsi="宋体" w:cs="宋体"/>
                <w:szCs w:val="24"/>
                <w:highlight w:val="none"/>
              </w:rPr>
              <w:t>磋商授权书</w:t>
            </w:r>
          </w:p>
        </w:tc>
        <w:tc>
          <w:tcPr>
            <w:tcW w:w="1417" w:type="dxa"/>
            <w:vAlign w:val="center"/>
          </w:tcPr>
          <w:p w14:paraId="194FC282">
            <w:pPr>
              <w:spacing w:line="440" w:lineRule="exact"/>
              <w:jc w:val="center"/>
              <w:rPr>
                <w:rFonts w:ascii="宋体" w:hAnsi="宋体" w:cs="宋体"/>
                <w:b/>
                <w:sz w:val="24"/>
                <w:highlight w:val="none"/>
              </w:rPr>
            </w:pPr>
          </w:p>
        </w:tc>
      </w:tr>
      <w:tr w14:paraId="32AAC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3C50A23A">
            <w:pPr>
              <w:spacing w:line="440" w:lineRule="exact"/>
              <w:jc w:val="center"/>
              <w:rPr>
                <w:rFonts w:ascii="宋体" w:hAnsi="宋体" w:cs="宋体"/>
                <w:sz w:val="24"/>
                <w:highlight w:val="none"/>
              </w:rPr>
            </w:pPr>
            <w:r>
              <w:rPr>
                <w:rFonts w:hint="eastAsia" w:ascii="宋体" w:hAnsi="宋体" w:cs="宋体"/>
                <w:sz w:val="24"/>
                <w:highlight w:val="none"/>
              </w:rPr>
              <w:t>四</w:t>
            </w:r>
          </w:p>
        </w:tc>
        <w:tc>
          <w:tcPr>
            <w:tcW w:w="6038" w:type="dxa"/>
            <w:vAlign w:val="center"/>
          </w:tcPr>
          <w:p w14:paraId="34BA469B">
            <w:pPr>
              <w:pStyle w:val="60"/>
              <w:spacing w:line="440" w:lineRule="exact"/>
              <w:rPr>
                <w:rFonts w:ascii="宋体" w:hAnsi="宋体" w:cs="宋体"/>
                <w:highlight w:val="none"/>
              </w:rPr>
            </w:pPr>
            <w:r>
              <w:rPr>
                <w:rFonts w:hint="eastAsia" w:ascii="宋体" w:hAnsi="宋体" w:cs="宋体"/>
                <w:szCs w:val="24"/>
                <w:highlight w:val="none"/>
              </w:rPr>
              <w:t>磋商响应函</w:t>
            </w:r>
          </w:p>
        </w:tc>
        <w:tc>
          <w:tcPr>
            <w:tcW w:w="1417" w:type="dxa"/>
            <w:vAlign w:val="center"/>
          </w:tcPr>
          <w:p w14:paraId="1E558273">
            <w:pPr>
              <w:spacing w:line="440" w:lineRule="exact"/>
              <w:jc w:val="center"/>
              <w:rPr>
                <w:rFonts w:ascii="宋体" w:hAnsi="宋体" w:cs="宋体"/>
                <w:b/>
                <w:sz w:val="24"/>
                <w:highlight w:val="none"/>
              </w:rPr>
            </w:pPr>
          </w:p>
        </w:tc>
      </w:tr>
      <w:tr w14:paraId="207D123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jc w:val="center"/>
        </w:trPr>
        <w:tc>
          <w:tcPr>
            <w:tcW w:w="1050" w:type="dxa"/>
            <w:vAlign w:val="center"/>
          </w:tcPr>
          <w:p w14:paraId="096BC7A6">
            <w:pPr>
              <w:spacing w:line="440" w:lineRule="exact"/>
              <w:jc w:val="center"/>
              <w:rPr>
                <w:rFonts w:ascii="宋体" w:hAnsi="宋体" w:cs="宋体"/>
                <w:sz w:val="24"/>
                <w:highlight w:val="none"/>
              </w:rPr>
            </w:pPr>
            <w:r>
              <w:rPr>
                <w:rFonts w:hint="eastAsia" w:ascii="宋体" w:hAnsi="宋体" w:cs="宋体"/>
                <w:sz w:val="24"/>
                <w:highlight w:val="none"/>
              </w:rPr>
              <w:t>五</w:t>
            </w:r>
          </w:p>
        </w:tc>
        <w:tc>
          <w:tcPr>
            <w:tcW w:w="6038" w:type="dxa"/>
            <w:vAlign w:val="center"/>
          </w:tcPr>
          <w:p w14:paraId="2A7C4246">
            <w:pPr>
              <w:spacing w:line="440" w:lineRule="exact"/>
              <w:rPr>
                <w:rFonts w:ascii="宋体" w:hAnsi="宋体" w:cs="宋体"/>
                <w:sz w:val="24"/>
                <w:highlight w:val="none"/>
              </w:rPr>
            </w:pPr>
            <w:r>
              <w:rPr>
                <w:rFonts w:hint="eastAsia" w:ascii="宋体" w:hAnsi="宋体" w:cs="宋体"/>
                <w:sz w:val="24"/>
                <w:szCs w:val="24"/>
                <w:highlight w:val="none"/>
              </w:rPr>
              <w:t>无重大违法记录声明函、无不良信用记录承诺函</w:t>
            </w:r>
          </w:p>
        </w:tc>
        <w:tc>
          <w:tcPr>
            <w:tcW w:w="1417" w:type="dxa"/>
            <w:vAlign w:val="center"/>
          </w:tcPr>
          <w:p w14:paraId="3587C249">
            <w:pPr>
              <w:spacing w:line="440" w:lineRule="exact"/>
              <w:jc w:val="center"/>
              <w:rPr>
                <w:rFonts w:ascii="宋体" w:hAnsi="宋体" w:cs="宋体"/>
                <w:b/>
                <w:sz w:val="24"/>
                <w:highlight w:val="none"/>
              </w:rPr>
            </w:pPr>
          </w:p>
        </w:tc>
      </w:tr>
      <w:tr w14:paraId="5699710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7" w:hRule="atLeast"/>
          <w:jc w:val="center"/>
        </w:trPr>
        <w:tc>
          <w:tcPr>
            <w:tcW w:w="1050" w:type="dxa"/>
            <w:vAlign w:val="center"/>
          </w:tcPr>
          <w:p w14:paraId="39A4D2DB">
            <w:pPr>
              <w:spacing w:line="440" w:lineRule="exact"/>
              <w:jc w:val="center"/>
              <w:rPr>
                <w:rFonts w:ascii="宋体" w:hAnsi="宋体" w:cs="宋体"/>
                <w:sz w:val="24"/>
                <w:highlight w:val="none"/>
              </w:rPr>
            </w:pPr>
            <w:r>
              <w:rPr>
                <w:rFonts w:hint="eastAsia" w:ascii="宋体" w:hAnsi="宋体" w:cs="宋体"/>
                <w:sz w:val="24"/>
                <w:highlight w:val="none"/>
              </w:rPr>
              <w:t>六</w:t>
            </w:r>
          </w:p>
        </w:tc>
        <w:tc>
          <w:tcPr>
            <w:tcW w:w="6038" w:type="dxa"/>
            <w:vAlign w:val="center"/>
          </w:tcPr>
          <w:p w14:paraId="033BA2D5">
            <w:pPr>
              <w:spacing w:line="440" w:lineRule="exact"/>
              <w:rPr>
                <w:rFonts w:ascii="宋体" w:hAnsi="宋体" w:cs="宋体"/>
                <w:sz w:val="24"/>
                <w:highlight w:val="none"/>
              </w:rPr>
            </w:pPr>
            <w:r>
              <w:rPr>
                <w:rFonts w:hint="eastAsia" w:ascii="宋体" w:hAnsi="宋体" w:cs="宋体"/>
                <w:sz w:val="24"/>
                <w:szCs w:val="24"/>
                <w:highlight w:val="none"/>
              </w:rPr>
              <w:t>响应情况表</w:t>
            </w:r>
          </w:p>
        </w:tc>
        <w:tc>
          <w:tcPr>
            <w:tcW w:w="1417" w:type="dxa"/>
            <w:vAlign w:val="center"/>
          </w:tcPr>
          <w:p w14:paraId="2A25D4FE">
            <w:pPr>
              <w:spacing w:line="440" w:lineRule="exact"/>
              <w:rPr>
                <w:rFonts w:ascii="宋体" w:hAnsi="宋体" w:cs="宋体"/>
                <w:b/>
                <w:sz w:val="24"/>
                <w:highlight w:val="none"/>
              </w:rPr>
            </w:pPr>
          </w:p>
        </w:tc>
      </w:tr>
      <w:tr w14:paraId="6DA1AC2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9" w:hRule="atLeast"/>
          <w:jc w:val="center"/>
        </w:trPr>
        <w:tc>
          <w:tcPr>
            <w:tcW w:w="1050" w:type="dxa"/>
            <w:vAlign w:val="center"/>
          </w:tcPr>
          <w:p w14:paraId="4B7564F9">
            <w:pPr>
              <w:spacing w:line="440" w:lineRule="exact"/>
              <w:jc w:val="center"/>
              <w:rPr>
                <w:rFonts w:ascii="宋体" w:hAnsi="宋体" w:cs="宋体"/>
                <w:sz w:val="24"/>
                <w:highlight w:val="none"/>
              </w:rPr>
            </w:pPr>
            <w:r>
              <w:rPr>
                <w:rFonts w:hint="eastAsia" w:ascii="宋体" w:hAnsi="宋体" w:cs="宋体"/>
                <w:sz w:val="24"/>
                <w:highlight w:val="none"/>
              </w:rPr>
              <w:t>七</w:t>
            </w:r>
          </w:p>
        </w:tc>
        <w:tc>
          <w:tcPr>
            <w:tcW w:w="6038" w:type="dxa"/>
            <w:vAlign w:val="center"/>
          </w:tcPr>
          <w:p w14:paraId="7F720E8F">
            <w:pPr>
              <w:spacing w:line="440" w:lineRule="exact"/>
              <w:rPr>
                <w:rFonts w:ascii="宋体" w:hAnsi="宋体" w:cs="宋体"/>
                <w:sz w:val="24"/>
                <w:highlight w:val="none"/>
              </w:rPr>
            </w:pPr>
            <w:r>
              <w:rPr>
                <w:rFonts w:hint="eastAsia" w:ascii="宋体" w:hAnsi="宋体" w:cs="宋体"/>
                <w:sz w:val="24"/>
                <w:szCs w:val="24"/>
                <w:highlight w:val="none"/>
              </w:rPr>
              <w:t>相关服务承诺函</w:t>
            </w:r>
          </w:p>
        </w:tc>
        <w:tc>
          <w:tcPr>
            <w:tcW w:w="1417" w:type="dxa"/>
            <w:vAlign w:val="center"/>
          </w:tcPr>
          <w:p w14:paraId="34E8DB1D">
            <w:pPr>
              <w:spacing w:line="440" w:lineRule="exact"/>
              <w:rPr>
                <w:rFonts w:ascii="宋体" w:hAnsi="宋体" w:cs="宋体"/>
                <w:b/>
                <w:sz w:val="24"/>
                <w:highlight w:val="none"/>
              </w:rPr>
            </w:pPr>
          </w:p>
        </w:tc>
      </w:tr>
      <w:tr w14:paraId="6124839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050" w:type="dxa"/>
            <w:vAlign w:val="center"/>
          </w:tcPr>
          <w:p w14:paraId="40213731">
            <w:pPr>
              <w:spacing w:line="440" w:lineRule="exact"/>
              <w:jc w:val="center"/>
              <w:rPr>
                <w:rFonts w:ascii="宋体" w:hAnsi="宋体" w:cs="宋体"/>
                <w:sz w:val="24"/>
                <w:highlight w:val="none"/>
              </w:rPr>
            </w:pPr>
            <w:r>
              <w:rPr>
                <w:rFonts w:hint="eastAsia" w:ascii="宋体" w:hAnsi="宋体" w:cs="宋体"/>
                <w:sz w:val="24"/>
                <w:highlight w:val="none"/>
              </w:rPr>
              <w:t>八</w:t>
            </w:r>
          </w:p>
        </w:tc>
        <w:tc>
          <w:tcPr>
            <w:tcW w:w="6038" w:type="dxa"/>
            <w:vAlign w:val="center"/>
          </w:tcPr>
          <w:p w14:paraId="4246F501">
            <w:pPr>
              <w:spacing w:line="440" w:lineRule="exact"/>
              <w:rPr>
                <w:rFonts w:ascii="宋体" w:hAnsi="宋体" w:cs="宋体"/>
                <w:sz w:val="24"/>
                <w:highlight w:val="none"/>
              </w:rPr>
            </w:pPr>
            <w:bookmarkStart w:id="106" w:name="_Toc6106"/>
            <w:bookmarkStart w:id="107" w:name="_Toc19445"/>
            <w:bookmarkStart w:id="108" w:name="_Toc16318"/>
            <w:r>
              <w:rPr>
                <w:rStyle w:val="95"/>
                <w:rFonts w:hint="eastAsia" w:ascii="宋体" w:hAnsi="宋体" w:eastAsia="宋体" w:cs="宋体"/>
                <w:b w:val="0"/>
                <w:sz w:val="24"/>
                <w:szCs w:val="24"/>
                <w:highlight w:val="none"/>
              </w:rPr>
              <w:t>中小企业声明函、</w:t>
            </w:r>
            <w:bookmarkEnd w:id="106"/>
            <w:bookmarkEnd w:id="107"/>
            <w:bookmarkEnd w:id="108"/>
            <w:r>
              <w:rPr>
                <w:rFonts w:hint="eastAsia" w:ascii="宋体" w:hAnsi="宋体" w:cs="宋体"/>
                <w:bCs/>
                <w:sz w:val="24"/>
                <w:szCs w:val="24"/>
                <w:highlight w:val="none"/>
              </w:rPr>
              <w:t>残疾人福利性单位声明函</w:t>
            </w:r>
          </w:p>
        </w:tc>
        <w:tc>
          <w:tcPr>
            <w:tcW w:w="1417" w:type="dxa"/>
            <w:vAlign w:val="center"/>
          </w:tcPr>
          <w:p w14:paraId="0A54CB17">
            <w:pPr>
              <w:spacing w:line="440" w:lineRule="exact"/>
              <w:rPr>
                <w:rFonts w:ascii="宋体" w:hAnsi="宋体" w:cs="宋体"/>
                <w:b/>
                <w:sz w:val="24"/>
                <w:highlight w:val="none"/>
              </w:rPr>
            </w:pPr>
          </w:p>
        </w:tc>
      </w:tr>
      <w:tr w14:paraId="6D69CD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0" w:hRule="atLeast"/>
          <w:jc w:val="center"/>
        </w:trPr>
        <w:tc>
          <w:tcPr>
            <w:tcW w:w="1050" w:type="dxa"/>
            <w:vAlign w:val="center"/>
          </w:tcPr>
          <w:p w14:paraId="4B99D157">
            <w:pPr>
              <w:spacing w:line="440" w:lineRule="exact"/>
              <w:jc w:val="center"/>
              <w:rPr>
                <w:rFonts w:ascii="宋体" w:hAnsi="宋体" w:cs="宋体"/>
                <w:sz w:val="24"/>
                <w:highlight w:val="none"/>
              </w:rPr>
            </w:pPr>
            <w:r>
              <w:rPr>
                <w:rFonts w:hint="eastAsia" w:ascii="宋体" w:hAnsi="宋体" w:cs="宋体"/>
                <w:sz w:val="24"/>
                <w:highlight w:val="none"/>
              </w:rPr>
              <w:t>九</w:t>
            </w:r>
          </w:p>
        </w:tc>
        <w:tc>
          <w:tcPr>
            <w:tcW w:w="6038" w:type="dxa"/>
            <w:vAlign w:val="center"/>
          </w:tcPr>
          <w:p w14:paraId="1622BAAD">
            <w:pPr>
              <w:spacing w:line="440" w:lineRule="exact"/>
              <w:rPr>
                <w:rFonts w:ascii="宋体" w:hAnsi="宋体" w:cs="宋体"/>
                <w:sz w:val="24"/>
                <w:highlight w:val="none"/>
              </w:rPr>
            </w:pPr>
            <w:r>
              <w:rPr>
                <w:rFonts w:hint="eastAsia" w:ascii="宋体" w:hAnsi="宋体" w:cs="宋体"/>
                <w:sz w:val="24"/>
                <w:highlight w:val="none"/>
              </w:rPr>
              <w:t>联合体协议</w:t>
            </w:r>
          </w:p>
        </w:tc>
        <w:tc>
          <w:tcPr>
            <w:tcW w:w="1417" w:type="dxa"/>
            <w:vAlign w:val="center"/>
          </w:tcPr>
          <w:p w14:paraId="77A9DE51">
            <w:pPr>
              <w:spacing w:line="440" w:lineRule="exact"/>
              <w:rPr>
                <w:rFonts w:ascii="宋体" w:hAnsi="宋体" w:cs="宋体"/>
                <w:b/>
                <w:sz w:val="24"/>
                <w:highlight w:val="none"/>
              </w:rPr>
            </w:pPr>
          </w:p>
        </w:tc>
      </w:tr>
      <w:tr w14:paraId="03BD6B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40" w:hRule="atLeast"/>
          <w:jc w:val="center"/>
        </w:trPr>
        <w:tc>
          <w:tcPr>
            <w:tcW w:w="1050" w:type="dxa"/>
            <w:vAlign w:val="center"/>
          </w:tcPr>
          <w:p w14:paraId="3AC63431">
            <w:pPr>
              <w:spacing w:line="440" w:lineRule="exact"/>
              <w:jc w:val="center"/>
              <w:rPr>
                <w:rFonts w:ascii="宋体" w:hAnsi="宋体" w:cs="宋体"/>
                <w:sz w:val="24"/>
                <w:highlight w:val="none"/>
              </w:rPr>
            </w:pPr>
            <w:r>
              <w:rPr>
                <w:rFonts w:hint="eastAsia" w:ascii="宋体" w:hAnsi="宋体" w:cs="宋体"/>
                <w:sz w:val="24"/>
                <w:highlight w:val="none"/>
              </w:rPr>
              <w:t>十</w:t>
            </w:r>
          </w:p>
        </w:tc>
        <w:tc>
          <w:tcPr>
            <w:tcW w:w="6038" w:type="dxa"/>
            <w:vAlign w:val="center"/>
          </w:tcPr>
          <w:p w14:paraId="1CC5D196">
            <w:pPr>
              <w:spacing w:line="440" w:lineRule="exact"/>
              <w:rPr>
                <w:rFonts w:ascii="宋体" w:hAnsi="宋体" w:cs="宋体"/>
                <w:sz w:val="24"/>
                <w:highlight w:val="none"/>
              </w:rPr>
            </w:pPr>
            <w:r>
              <w:rPr>
                <w:rFonts w:hint="eastAsia" w:ascii="宋体" w:hAnsi="宋体" w:cs="宋体"/>
                <w:sz w:val="24"/>
                <w:szCs w:val="24"/>
                <w:highlight w:val="none"/>
              </w:rPr>
              <w:t>磋商文件要求和供应商认为需要提供的其它说明和资料</w:t>
            </w:r>
          </w:p>
        </w:tc>
        <w:tc>
          <w:tcPr>
            <w:tcW w:w="1417" w:type="dxa"/>
            <w:vAlign w:val="center"/>
          </w:tcPr>
          <w:p w14:paraId="43D311DD">
            <w:pPr>
              <w:spacing w:line="440" w:lineRule="exact"/>
              <w:rPr>
                <w:rFonts w:ascii="宋体" w:hAnsi="宋体" w:cs="宋体"/>
                <w:b/>
                <w:sz w:val="24"/>
                <w:highlight w:val="none"/>
              </w:rPr>
            </w:pPr>
          </w:p>
        </w:tc>
      </w:tr>
      <w:tr w14:paraId="6DC3B7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 w:hRule="atLeast"/>
          <w:jc w:val="center"/>
        </w:trPr>
        <w:tc>
          <w:tcPr>
            <w:tcW w:w="1050" w:type="dxa"/>
            <w:vAlign w:val="center"/>
          </w:tcPr>
          <w:p w14:paraId="6F8B3BC5">
            <w:pPr>
              <w:spacing w:line="440" w:lineRule="exact"/>
              <w:jc w:val="center"/>
              <w:rPr>
                <w:rFonts w:ascii="宋体" w:hAnsi="宋体" w:cs="宋体"/>
                <w:sz w:val="24"/>
                <w:highlight w:val="none"/>
              </w:rPr>
            </w:pPr>
            <w:r>
              <w:rPr>
                <w:rFonts w:hint="eastAsia" w:ascii="宋体" w:hAnsi="宋体" w:cs="宋体"/>
                <w:sz w:val="24"/>
                <w:highlight w:val="none"/>
              </w:rPr>
              <w:t>...</w:t>
            </w:r>
          </w:p>
        </w:tc>
        <w:tc>
          <w:tcPr>
            <w:tcW w:w="6038" w:type="dxa"/>
            <w:vAlign w:val="center"/>
          </w:tcPr>
          <w:p w14:paraId="2DDFC7EA">
            <w:pPr>
              <w:spacing w:line="440" w:lineRule="exact"/>
              <w:rPr>
                <w:rFonts w:ascii="宋体" w:hAnsi="宋体" w:cs="宋体"/>
                <w:sz w:val="24"/>
                <w:highlight w:val="none"/>
              </w:rPr>
            </w:pPr>
          </w:p>
        </w:tc>
        <w:tc>
          <w:tcPr>
            <w:tcW w:w="1417" w:type="dxa"/>
            <w:vAlign w:val="center"/>
          </w:tcPr>
          <w:p w14:paraId="04D20F92">
            <w:pPr>
              <w:spacing w:line="440" w:lineRule="exact"/>
              <w:rPr>
                <w:rFonts w:ascii="宋体" w:hAnsi="宋体" w:cs="宋体"/>
                <w:b/>
                <w:sz w:val="24"/>
                <w:highlight w:val="none"/>
              </w:rPr>
            </w:pPr>
          </w:p>
        </w:tc>
      </w:tr>
      <w:tr w14:paraId="2C3F75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50" w:type="dxa"/>
            <w:vAlign w:val="center"/>
          </w:tcPr>
          <w:p w14:paraId="3F2F9A1C">
            <w:pPr>
              <w:spacing w:line="440" w:lineRule="exact"/>
              <w:jc w:val="center"/>
              <w:rPr>
                <w:rFonts w:ascii="宋体" w:hAnsi="宋体" w:cs="宋体"/>
                <w:sz w:val="24"/>
                <w:highlight w:val="none"/>
              </w:rPr>
            </w:pPr>
          </w:p>
        </w:tc>
        <w:tc>
          <w:tcPr>
            <w:tcW w:w="6038" w:type="dxa"/>
            <w:vAlign w:val="center"/>
          </w:tcPr>
          <w:p w14:paraId="3D88DA34">
            <w:pPr>
              <w:spacing w:line="440" w:lineRule="exact"/>
              <w:rPr>
                <w:rFonts w:ascii="宋体" w:hAnsi="宋体" w:cs="宋体"/>
                <w:sz w:val="24"/>
                <w:highlight w:val="none"/>
              </w:rPr>
            </w:pPr>
          </w:p>
        </w:tc>
        <w:tc>
          <w:tcPr>
            <w:tcW w:w="1417" w:type="dxa"/>
            <w:vAlign w:val="center"/>
          </w:tcPr>
          <w:p w14:paraId="6E0F2904">
            <w:pPr>
              <w:spacing w:line="440" w:lineRule="exact"/>
              <w:rPr>
                <w:rFonts w:ascii="宋体" w:hAnsi="宋体" w:cs="宋体"/>
                <w:b/>
                <w:sz w:val="24"/>
                <w:highlight w:val="none"/>
              </w:rPr>
            </w:pPr>
          </w:p>
        </w:tc>
      </w:tr>
      <w:tr w14:paraId="3BD3F8F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9" w:hRule="atLeast"/>
          <w:jc w:val="center"/>
        </w:trPr>
        <w:tc>
          <w:tcPr>
            <w:tcW w:w="1050" w:type="dxa"/>
            <w:vAlign w:val="center"/>
          </w:tcPr>
          <w:p w14:paraId="59E0EED9">
            <w:pPr>
              <w:spacing w:line="440" w:lineRule="exact"/>
              <w:jc w:val="center"/>
              <w:rPr>
                <w:rFonts w:ascii="宋体" w:hAnsi="宋体" w:cs="宋体"/>
                <w:sz w:val="24"/>
                <w:highlight w:val="none"/>
              </w:rPr>
            </w:pPr>
          </w:p>
        </w:tc>
        <w:tc>
          <w:tcPr>
            <w:tcW w:w="6038" w:type="dxa"/>
            <w:vAlign w:val="center"/>
          </w:tcPr>
          <w:p w14:paraId="1378DF03">
            <w:pPr>
              <w:spacing w:line="440" w:lineRule="exact"/>
              <w:rPr>
                <w:rFonts w:ascii="宋体" w:hAnsi="宋体" w:cs="宋体"/>
                <w:sz w:val="24"/>
                <w:highlight w:val="none"/>
              </w:rPr>
            </w:pPr>
          </w:p>
        </w:tc>
        <w:tc>
          <w:tcPr>
            <w:tcW w:w="1417" w:type="dxa"/>
            <w:vAlign w:val="center"/>
          </w:tcPr>
          <w:p w14:paraId="65AB5D4C">
            <w:pPr>
              <w:spacing w:line="440" w:lineRule="exact"/>
              <w:rPr>
                <w:rFonts w:ascii="宋体" w:hAnsi="宋体" w:cs="宋体"/>
                <w:b/>
                <w:sz w:val="24"/>
                <w:highlight w:val="none"/>
              </w:rPr>
            </w:pPr>
          </w:p>
        </w:tc>
      </w:tr>
      <w:tr w14:paraId="6FE67C2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9" w:hRule="atLeast"/>
          <w:jc w:val="center"/>
        </w:trPr>
        <w:tc>
          <w:tcPr>
            <w:tcW w:w="1050" w:type="dxa"/>
            <w:vAlign w:val="center"/>
          </w:tcPr>
          <w:p w14:paraId="7C87894E">
            <w:pPr>
              <w:spacing w:line="440" w:lineRule="exact"/>
              <w:jc w:val="center"/>
              <w:rPr>
                <w:rFonts w:ascii="宋体" w:hAnsi="宋体" w:cs="宋体"/>
                <w:sz w:val="24"/>
                <w:highlight w:val="none"/>
              </w:rPr>
            </w:pPr>
          </w:p>
        </w:tc>
        <w:tc>
          <w:tcPr>
            <w:tcW w:w="6038" w:type="dxa"/>
            <w:vAlign w:val="center"/>
          </w:tcPr>
          <w:p w14:paraId="28BD85C0">
            <w:pPr>
              <w:spacing w:line="440" w:lineRule="exact"/>
              <w:rPr>
                <w:rFonts w:ascii="宋体" w:hAnsi="宋体" w:cs="宋体"/>
                <w:sz w:val="24"/>
                <w:highlight w:val="none"/>
              </w:rPr>
            </w:pPr>
          </w:p>
        </w:tc>
        <w:tc>
          <w:tcPr>
            <w:tcW w:w="1417" w:type="dxa"/>
            <w:vAlign w:val="center"/>
          </w:tcPr>
          <w:p w14:paraId="2D9FC571">
            <w:pPr>
              <w:spacing w:line="440" w:lineRule="exact"/>
              <w:rPr>
                <w:rFonts w:ascii="宋体" w:hAnsi="宋体" w:cs="宋体"/>
                <w:b/>
                <w:sz w:val="24"/>
                <w:highlight w:val="none"/>
              </w:rPr>
            </w:pPr>
          </w:p>
        </w:tc>
      </w:tr>
    </w:tbl>
    <w:p w14:paraId="159D0BD4">
      <w:pPr>
        <w:spacing w:line="360" w:lineRule="auto"/>
        <w:jc w:val="center"/>
        <w:rPr>
          <w:rFonts w:ascii="宋体" w:hAnsi="宋体" w:cs="宋体"/>
          <w:b/>
          <w:sz w:val="24"/>
          <w:highlight w:val="none"/>
        </w:rPr>
      </w:pPr>
    </w:p>
    <w:p w14:paraId="464901ED">
      <w:pPr>
        <w:spacing w:line="360" w:lineRule="auto"/>
        <w:jc w:val="center"/>
        <w:rPr>
          <w:rFonts w:ascii="宋体" w:hAnsi="宋体" w:cs="宋体"/>
          <w:b/>
          <w:sz w:val="24"/>
          <w:highlight w:val="none"/>
        </w:rPr>
      </w:pPr>
    </w:p>
    <w:p w14:paraId="637F67C3">
      <w:pPr>
        <w:spacing w:line="360" w:lineRule="auto"/>
        <w:jc w:val="center"/>
        <w:rPr>
          <w:rFonts w:ascii="宋体" w:hAnsi="宋体" w:cs="宋体"/>
          <w:b/>
          <w:sz w:val="24"/>
          <w:highlight w:val="none"/>
        </w:rPr>
      </w:pPr>
    </w:p>
    <w:p w14:paraId="66D970AA">
      <w:pPr>
        <w:spacing w:before="0" w:after="0" w:line="560" w:lineRule="exact"/>
        <w:outlineLvl w:val="9"/>
        <w:rPr>
          <w:rFonts w:ascii="宋体" w:hAnsi="宋体" w:eastAsia="宋体" w:cs="宋体"/>
          <w:sz w:val="24"/>
          <w:szCs w:val="24"/>
          <w:highlight w:val="none"/>
        </w:rPr>
      </w:pPr>
      <w:r>
        <w:rPr>
          <w:rFonts w:hint="eastAsia" w:ascii="宋体" w:hAnsi="宋体" w:eastAsia="宋体" w:cs="宋体"/>
          <w:sz w:val="24"/>
          <w:szCs w:val="24"/>
          <w:highlight w:val="none"/>
        </w:rPr>
        <w:br w:type="page"/>
      </w:r>
      <w:bookmarkStart w:id="109" w:name="_Toc8158"/>
      <w:bookmarkStart w:id="110" w:name="_Toc21309"/>
      <w:bookmarkStart w:id="111" w:name="_Toc10603"/>
      <w:r>
        <w:rPr>
          <w:rFonts w:hint="eastAsia" w:ascii="宋体" w:hAnsi="宋体" w:eastAsia="宋体" w:cs="宋体"/>
          <w:b/>
          <w:bCs/>
          <w:sz w:val="24"/>
          <w:szCs w:val="24"/>
          <w:highlight w:val="none"/>
        </w:rPr>
        <w:t>附件一</w:t>
      </w:r>
      <w:bookmarkEnd w:id="109"/>
      <w:bookmarkEnd w:id="110"/>
      <w:bookmarkEnd w:id="111"/>
    </w:p>
    <w:p w14:paraId="4ECA6CD3">
      <w:pPr>
        <w:pStyle w:val="3"/>
        <w:spacing w:before="0" w:after="0" w:line="560" w:lineRule="exact"/>
        <w:jc w:val="center"/>
        <w:rPr>
          <w:rFonts w:ascii="宋体" w:hAnsi="宋体" w:eastAsia="宋体" w:cs="宋体"/>
          <w:sz w:val="24"/>
          <w:szCs w:val="24"/>
          <w:highlight w:val="none"/>
        </w:rPr>
      </w:pPr>
      <w:bookmarkStart w:id="112" w:name="_Toc9181"/>
      <w:bookmarkStart w:id="113" w:name="_Toc10816"/>
      <w:bookmarkStart w:id="114" w:name="_Toc5601"/>
      <w:r>
        <w:rPr>
          <w:rFonts w:hint="eastAsia" w:ascii="宋体" w:hAnsi="宋体" w:eastAsia="宋体" w:cs="宋体"/>
          <w:sz w:val="24"/>
          <w:szCs w:val="24"/>
          <w:highlight w:val="none"/>
        </w:rPr>
        <w:t>报价单</w:t>
      </w:r>
      <w:bookmarkEnd w:id="112"/>
      <w:bookmarkEnd w:id="113"/>
      <w:bookmarkEnd w:id="114"/>
    </w:p>
    <w:p w14:paraId="58EBACC4">
      <w:pPr>
        <w:rPr>
          <w:rFonts w:ascii="宋体" w:hAnsi="宋体" w:cs="宋体"/>
          <w:highlight w:val="none"/>
        </w:rPr>
      </w:pPr>
    </w:p>
    <w:tbl>
      <w:tblPr>
        <w:tblStyle w:val="34"/>
        <w:tblW w:w="933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40"/>
        <w:gridCol w:w="4078"/>
        <w:gridCol w:w="1214"/>
        <w:gridCol w:w="1091"/>
        <w:gridCol w:w="2115"/>
      </w:tblGrid>
      <w:tr w14:paraId="497657F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03" w:hRule="atLeast"/>
          <w:jc w:val="center"/>
        </w:trPr>
        <w:tc>
          <w:tcPr>
            <w:tcW w:w="840" w:type="dxa"/>
            <w:vAlign w:val="center"/>
          </w:tcPr>
          <w:p w14:paraId="1255FA28">
            <w:pPr>
              <w:jc w:val="center"/>
              <w:rPr>
                <w:rFonts w:ascii="宋体" w:hAnsi="宋体" w:cs="宋体"/>
                <w:b/>
                <w:sz w:val="24"/>
                <w:szCs w:val="24"/>
                <w:highlight w:val="none"/>
              </w:rPr>
            </w:pPr>
            <w:r>
              <w:rPr>
                <w:rFonts w:hint="eastAsia" w:ascii="宋体" w:hAnsi="宋体" w:cs="宋体"/>
                <w:b/>
                <w:sz w:val="24"/>
                <w:szCs w:val="24"/>
                <w:highlight w:val="none"/>
              </w:rPr>
              <w:t>序号</w:t>
            </w:r>
          </w:p>
        </w:tc>
        <w:tc>
          <w:tcPr>
            <w:tcW w:w="4078" w:type="dxa"/>
            <w:vAlign w:val="center"/>
          </w:tcPr>
          <w:p w14:paraId="3D6A4726">
            <w:pPr>
              <w:jc w:val="center"/>
              <w:rPr>
                <w:rFonts w:ascii="宋体" w:hAnsi="宋体" w:cs="宋体"/>
                <w:b/>
                <w:sz w:val="24"/>
                <w:szCs w:val="24"/>
                <w:highlight w:val="none"/>
              </w:rPr>
            </w:pPr>
            <w:r>
              <w:rPr>
                <w:rFonts w:hint="eastAsia" w:ascii="宋体" w:hAnsi="宋体" w:cs="宋体"/>
                <w:b/>
                <w:sz w:val="24"/>
                <w:szCs w:val="24"/>
                <w:highlight w:val="none"/>
              </w:rPr>
              <w:t>服务内容</w:t>
            </w:r>
          </w:p>
        </w:tc>
        <w:tc>
          <w:tcPr>
            <w:tcW w:w="1214" w:type="dxa"/>
            <w:vAlign w:val="center"/>
          </w:tcPr>
          <w:p w14:paraId="0F913509">
            <w:pPr>
              <w:jc w:val="center"/>
              <w:rPr>
                <w:rFonts w:ascii="宋体" w:hAnsi="宋体" w:cs="宋体"/>
                <w:b/>
                <w:sz w:val="24"/>
                <w:szCs w:val="24"/>
                <w:highlight w:val="none"/>
              </w:rPr>
            </w:pPr>
            <w:r>
              <w:rPr>
                <w:rFonts w:hint="eastAsia" w:ascii="宋体" w:hAnsi="宋体" w:cs="宋体"/>
                <w:b/>
                <w:sz w:val="24"/>
                <w:szCs w:val="24"/>
                <w:highlight w:val="none"/>
              </w:rPr>
              <w:t>项</w:t>
            </w:r>
          </w:p>
        </w:tc>
        <w:tc>
          <w:tcPr>
            <w:tcW w:w="1091" w:type="dxa"/>
            <w:vAlign w:val="center"/>
          </w:tcPr>
          <w:p w14:paraId="2A48FD36">
            <w:pPr>
              <w:jc w:val="center"/>
              <w:rPr>
                <w:rFonts w:ascii="宋体" w:hAnsi="宋体" w:cs="宋体"/>
                <w:b/>
                <w:sz w:val="24"/>
                <w:szCs w:val="24"/>
                <w:highlight w:val="none"/>
              </w:rPr>
            </w:pPr>
            <w:r>
              <w:rPr>
                <w:rFonts w:hint="eastAsia" w:ascii="宋体" w:hAnsi="宋体" w:cs="宋体"/>
                <w:b/>
                <w:sz w:val="24"/>
                <w:szCs w:val="24"/>
                <w:highlight w:val="none"/>
              </w:rPr>
              <w:t>单价</w:t>
            </w:r>
          </w:p>
        </w:tc>
        <w:tc>
          <w:tcPr>
            <w:tcW w:w="2115" w:type="dxa"/>
            <w:vAlign w:val="center"/>
          </w:tcPr>
          <w:p w14:paraId="2458D309">
            <w:pPr>
              <w:jc w:val="center"/>
              <w:rPr>
                <w:rFonts w:ascii="宋体" w:hAnsi="宋体" w:cs="宋体"/>
                <w:b/>
                <w:sz w:val="24"/>
                <w:szCs w:val="24"/>
                <w:highlight w:val="none"/>
              </w:rPr>
            </w:pPr>
            <w:r>
              <w:rPr>
                <w:rFonts w:hint="eastAsia" w:ascii="宋体" w:hAnsi="宋体" w:cs="宋体"/>
                <w:b/>
                <w:sz w:val="24"/>
                <w:szCs w:val="24"/>
                <w:highlight w:val="none"/>
              </w:rPr>
              <w:t>小计金额（元</w:t>
            </w:r>
            <w:r>
              <w:rPr>
                <w:rFonts w:hint="eastAsia" w:ascii="宋体" w:hAnsi="宋体" w:cs="宋体"/>
                <w:b/>
                <w:sz w:val="24"/>
                <w:szCs w:val="24"/>
                <w:highlight w:val="none"/>
                <w:lang w:val="en-US" w:eastAsia="zh-CN"/>
              </w:rPr>
              <w:t>/年</w:t>
            </w:r>
            <w:r>
              <w:rPr>
                <w:rFonts w:hint="eastAsia" w:ascii="宋体" w:hAnsi="宋体" w:cs="宋体"/>
                <w:b/>
                <w:sz w:val="24"/>
                <w:szCs w:val="24"/>
                <w:highlight w:val="none"/>
              </w:rPr>
              <w:t>）</w:t>
            </w:r>
          </w:p>
        </w:tc>
      </w:tr>
      <w:tr w14:paraId="7F5CE1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tcBorders>
              <w:bottom w:val="single" w:color="auto" w:sz="4" w:space="0"/>
            </w:tcBorders>
            <w:vAlign w:val="center"/>
          </w:tcPr>
          <w:p w14:paraId="00C63E53">
            <w:pPr>
              <w:jc w:val="center"/>
              <w:rPr>
                <w:rFonts w:ascii="宋体" w:hAnsi="宋体" w:cs="宋体"/>
                <w:bCs/>
                <w:sz w:val="24"/>
                <w:szCs w:val="24"/>
                <w:highlight w:val="none"/>
              </w:rPr>
            </w:pPr>
            <w:r>
              <w:rPr>
                <w:rFonts w:hint="eastAsia" w:ascii="宋体" w:hAnsi="宋体" w:cs="宋体"/>
                <w:bCs/>
                <w:sz w:val="24"/>
                <w:szCs w:val="24"/>
                <w:highlight w:val="none"/>
              </w:rPr>
              <w:t>1</w:t>
            </w:r>
          </w:p>
        </w:tc>
        <w:tc>
          <w:tcPr>
            <w:tcW w:w="4078" w:type="dxa"/>
            <w:vAlign w:val="center"/>
          </w:tcPr>
          <w:p w14:paraId="115B6323">
            <w:pPr>
              <w:jc w:val="center"/>
              <w:rPr>
                <w:rFonts w:ascii="宋体" w:hAnsi="宋体" w:cs="宋体"/>
                <w:bCs/>
                <w:sz w:val="24"/>
                <w:szCs w:val="24"/>
                <w:highlight w:val="none"/>
              </w:rPr>
            </w:pPr>
          </w:p>
        </w:tc>
        <w:tc>
          <w:tcPr>
            <w:tcW w:w="1214" w:type="dxa"/>
            <w:vAlign w:val="center"/>
          </w:tcPr>
          <w:p w14:paraId="390F848A">
            <w:pPr>
              <w:jc w:val="center"/>
              <w:rPr>
                <w:rFonts w:ascii="宋体" w:hAnsi="宋体" w:cs="宋体"/>
                <w:bCs/>
                <w:sz w:val="24"/>
                <w:szCs w:val="24"/>
                <w:highlight w:val="none"/>
              </w:rPr>
            </w:pPr>
          </w:p>
        </w:tc>
        <w:tc>
          <w:tcPr>
            <w:tcW w:w="1091" w:type="dxa"/>
            <w:vAlign w:val="center"/>
          </w:tcPr>
          <w:p w14:paraId="64DC4D4A">
            <w:pPr>
              <w:jc w:val="center"/>
              <w:rPr>
                <w:rFonts w:ascii="宋体" w:hAnsi="宋体" w:cs="宋体"/>
                <w:bCs/>
                <w:sz w:val="24"/>
                <w:szCs w:val="24"/>
                <w:highlight w:val="none"/>
              </w:rPr>
            </w:pPr>
          </w:p>
        </w:tc>
        <w:tc>
          <w:tcPr>
            <w:tcW w:w="2115" w:type="dxa"/>
            <w:vAlign w:val="center"/>
          </w:tcPr>
          <w:p w14:paraId="2EF59340">
            <w:pPr>
              <w:jc w:val="center"/>
              <w:rPr>
                <w:rFonts w:ascii="宋体" w:hAnsi="宋体" w:cs="宋体"/>
                <w:bCs/>
                <w:sz w:val="24"/>
                <w:szCs w:val="24"/>
                <w:highlight w:val="none"/>
              </w:rPr>
            </w:pPr>
          </w:p>
        </w:tc>
      </w:tr>
      <w:tr w14:paraId="7B5CFE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22FF5108">
            <w:pPr>
              <w:jc w:val="center"/>
              <w:rPr>
                <w:rFonts w:ascii="宋体" w:hAnsi="宋体" w:cs="宋体"/>
                <w:bCs/>
                <w:sz w:val="24"/>
                <w:szCs w:val="24"/>
                <w:highlight w:val="none"/>
              </w:rPr>
            </w:pPr>
            <w:r>
              <w:rPr>
                <w:rFonts w:hint="eastAsia" w:ascii="宋体" w:hAnsi="宋体" w:cs="宋体"/>
                <w:bCs/>
                <w:sz w:val="24"/>
                <w:szCs w:val="24"/>
                <w:highlight w:val="none"/>
              </w:rPr>
              <w:t>2</w:t>
            </w:r>
          </w:p>
        </w:tc>
        <w:tc>
          <w:tcPr>
            <w:tcW w:w="4078" w:type="dxa"/>
            <w:vAlign w:val="center"/>
          </w:tcPr>
          <w:p w14:paraId="04A685FB">
            <w:pPr>
              <w:jc w:val="center"/>
              <w:rPr>
                <w:rFonts w:ascii="宋体" w:hAnsi="宋体" w:cs="宋体"/>
                <w:bCs/>
                <w:sz w:val="24"/>
                <w:szCs w:val="24"/>
                <w:highlight w:val="none"/>
              </w:rPr>
            </w:pPr>
          </w:p>
        </w:tc>
        <w:tc>
          <w:tcPr>
            <w:tcW w:w="1214" w:type="dxa"/>
            <w:vAlign w:val="center"/>
          </w:tcPr>
          <w:p w14:paraId="31B2CA84">
            <w:pPr>
              <w:jc w:val="center"/>
              <w:rPr>
                <w:rFonts w:ascii="宋体" w:hAnsi="宋体" w:cs="宋体"/>
                <w:bCs/>
                <w:sz w:val="24"/>
                <w:szCs w:val="24"/>
                <w:highlight w:val="none"/>
              </w:rPr>
            </w:pPr>
          </w:p>
        </w:tc>
        <w:tc>
          <w:tcPr>
            <w:tcW w:w="1091" w:type="dxa"/>
            <w:vAlign w:val="center"/>
          </w:tcPr>
          <w:p w14:paraId="69101DAA">
            <w:pPr>
              <w:jc w:val="center"/>
              <w:rPr>
                <w:rFonts w:ascii="宋体" w:hAnsi="宋体" w:cs="宋体"/>
                <w:bCs/>
                <w:sz w:val="24"/>
                <w:szCs w:val="24"/>
                <w:highlight w:val="none"/>
              </w:rPr>
            </w:pPr>
          </w:p>
        </w:tc>
        <w:tc>
          <w:tcPr>
            <w:tcW w:w="2115" w:type="dxa"/>
            <w:vAlign w:val="center"/>
          </w:tcPr>
          <w:p w14:paraId="23B9E03D">
            <w:pPr>
              <w:jc w:val="center"/>
              <w:rPr>
                <w:rFonts w:ascii="宋体" w:hAnsi="宋体" w:cs="宋体"/>
                <w:bCs/>
                <w:sz w:val="24"/>
                <w:szCs w:val="24"/>
                <w:highlight w:val="none"/>
              </w:rPr>
            </w:pPr>
          </w:p>
        </w:tc>
      </w:tr>
      <w:tr w14:paraId="3F9E7F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27986181">
            <w:pPr>
              <w:jc w:val="center"/>
              <w:rPr>
                <w:rFonts w:ascii="宋体" w:hAnsi="宋体" w:cs="宋体"/>
                <w:bCs/>
                <w:sz w:val="24"/>
                <w:szCs w:val="24"/>
                <w:highlight w:val="none"/>
              </w:rPr>
            </w:pPr>
            <w:r>
              <w:rPr>
                <w:rFonts w:hint="eastAsia" w:ascii="宋体" w:hAnsi="宋体" w:cs="宋体"/>
                <w:bCs/>
                <w:sz w:val="24"/>
                <w:szCs w:val="24"/>
                <w:highlight w:val="none"/>
              </w:rPr>
              <w:t>3</w:t>
            </w:r>
          </w:p>
        </w:tc>
        <w:tc>
          <w:tcPr>
            <w:tcW w:w="4078" w:type="dxa"/>
            <w:vAlign w:val="center"/>
          </w:tcPr>
          <w:p w14:paraId="335C918A">
            <w:pPr>
              <w:jc w:val="center"/>
              <w:rPr>
                <w:rFonts w:ascii="宋体" w:hAnsi="宋体" w:cs="宋体"/>
                <w:bCs/>
                <w:sz w:val="24"/>
                <w:szCs w:val="24"/>
                <w:highlight w:val="none"/>
              </w:rPr>
            </w:pPr>
          </w:p>
        </w:tc>
        <w:tc>
          <w:tcPr>
            <w:tcW w:w="1214" w:type="dxa"/>
            <w:vAlign w:val="center"/>
          </w:tcPr>
          <w:p w14:paraId="3F2AD25B">
            <w:pPr>
              <w:jc w:val="center"/>
              <w:rPr>
                <w:rFonts w:ascii="宋体" w:hAnsi="宋体" w:cs="宋体"/>
                <w:bCs/>
                <w:sz w:val="24"/>
                <w:szCs w:val="24"/>
                <w:highlight w:val="none"/>
              </w:rPr>
            </w:pPr>
          </w:p>
        </w:tc>
        <w:tc>
          <w:tcPr>
            <w:tcW w:w="1091" w:type="dxa"/>
            <w:vAlign w:val="center"/>
          </w:tcPr>
          <w:p w14:paraId="3E620CD0">
            <w:pPr>
              <w:jc w:val="center"/>
              <w:rPr>
                <w:rFonts w:ascii="宋体" w:hAnsi="宋体" w:cs="宋体"/>
                <w:bCs/>
                <w:sz w:val="24"/>
                <w:szCs w:val="24"/>
                <w:highlight w:val="none"/>
              </w:rPr>
            </w:pPr>
          </w:p>
        </w:tc>
        <w:tc>
          <w:tcPr>
            <w:tcW w:w="2115" w:type="dxa"/>
            <w:vAlign w:val="center"/>
          </w:tcPr>
          <w:p w14:paraId="07D319E3">
            <w:pPr>
              <w:jc w:val="center"/>
              <w:rPr>
                <w:rFonts w:ascii="宋体" w:hAnsi="宋体" w:cs="宋体"/>
                <w:bCs/>
                <w:sz w:val="24"/>
                <w:szCs w:val="24"/>
                <w:highlight w:val="none"/>
              </w:rPr>
            </w:pPr>
          </w:p>
        </w:tc>
      </w:tr>
      <w:tr w14:paraId="5344C15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7A996EB3">
            <w:pPr>
              <w:jc w:val="center"/>
              <w:rPr>
                <w:rFonts w:ascii="宋体" w:hAnsi="宋体" w:cs="宋体"/>
                <w:bCs/>
                <w:sz w:val="24"/>
                <w:szCs w:val="24"/>
                <w:highlight w:val="none"/>
              </w:rPr>
            </w:pPr>
            <w:r>
              <w:rPr>
                <w:rFonts w:hint="eastAsia" w:ascii="宋体" w:hAnsi="宋体" w:cs="宋体"/>
                <w:bCs/>
                <w:sz w:val="24"/>
                <w:szCs w:val="24"/>
                <w:highlight w:val="none"/>
              </w:rPr>
              <w:t>…</w:t>
            </w:r>
          </w:p>
        </w:tc>
        <w:tc>
          <w:tcPr>
            <w:tcW w:w="4078" w:type="dxa"/>
            <w:vAlign w:val="center"/>
          </w:tcPr>
          <w:p w14:paraId="43DABA53">
            <w:pPr>
              <w:jc w:val="center"/>
              <w:rPr>
                <w:rFonts w:ascii="宋体" w:hAnsi="宋体" w:cs="宋体"/>
                <w:bCs/>
                <w:sz w:val="24"/>
                <w:szCs w:val="24"/>
                <w:highlight w:val="none"/>
              </w:rPr>
            </w:pPr>
          </w:p>
        </w:tc>
        <w:tc>
          <w:tcPr>
            <w:tcW w:w="1214" w:type="dxa"/>
            <w:vAlign w:val="center"/>
          </w:tcPr>
          <w:p w14:paraId="2E4C8FEF">
            <w:pPr>
              <w:jc w:val="center"/>
              <w:rPr>
                <w:rFonts w:ascii="宋体" w:hAnsi="宋体" w:cs="宋体"/>
                <w:bCs/>
                <w:sz w:val="24"/>
                <w:szCs w:val="24"/>
                <w:highlight w:val="none"/>
              </w:rPr>
            </w:pPr>
          </w:p>
        </w:tc>
        <w:tc>
          <w:tcPr>
            <w:tcW w:w="1091" w:type="dxa"/>
            <w:vAlign w:val="center"/>
          </w:tcPr>
          <w:p w14:paraId="75416EE1">
            <w:pPr>
              <w:jc w:val="center"/>
              <w:rPr>
                <w:rFonts w:ascii="宋体" w:hAnsi="宋体" w:cs="宋体"/>
                <w:bCs/>
                <w:sz w:val="24"/>
                <w:szCs w:val="24"/>
                <w:highlight w:val="none"/>
              </w:rPr>
            </w:pPr>
          </w:p>
        </w:tc>
        <w:tc>
          <w:tcPr>
            <w:tcW w:w="2115" w:type="dxa"/>
            <w:vAlign w:val="center"/>
          </w:tcPr>
          <w:p w14:paraId="141E5325">
            <w:pPr>
              <w:jc w:val="center"/>
              <w:rPr>
                <w:rFonts w:ascii="宋体" w:hAnsi="宋体" w:cs="宋体"/>
                <w:bCs/>
                <w:sz w:val="24"/>
                <w:szCs w:val="24"/>
                <w:highlight w:val="none"/>
              </w:rPr>
            </w:pPr>
          </w:p>
        </w:tc>
      </w:tr>
      <w:tr w14:paraId="2DD7EA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19C3ABC9">
            <w:pPr>
              <w:jc w:val="center"/>
              <w:rPr>
                <w:rFonts w:ascii="宋体" w:hAnsi="宋体" w:cs="宋体"/>
                <w:bCs/>
                <w:sz w:val="24"/>
                <w:szCs w:val="24"/>
                <w:highlight w:val="none"/>
              </w:rPr>
            </w:pPr>
          </w:p>
        </w:tc>
        <w:tc>
          <w:tcPr>
            <w:tcW w:w="4078" w:type="dxa"/>
            <w:vAlign w:val="center"/>
          </w:tcPr>
          <w:p w14:paraId="665CC179">
            <w:pPr>
              <w:pStyle w:val="60"/>
              <w:ind w:left="-108"/>
              <w:jc w:val="center"/>
              <w:rPr>
                <w:rFonts w:ascii="宋体" w:hAnsi="宋体" w:cs="宋体"/>
                <w:bCs/>
                <w:szCs w:val="24"/>
                <w:highlight w:val="none"/>
              </w:rPr>
            </w:pPr>
            <w:r>
              <w:rPr>
                <w:rFonts w:hint="eastAsia" w:ascii="宋体" w:hAnsi="宋体" w:cs="宋体"/>
                <w:bCs/>
                <w:szCs w:val="24"/>
                <w:highlight w:val="none"/>
              </w:rPr>
              <w:t>其他费用</w:t>
            </w:r>
          </w:p>
        </w:tc>
        <w:tc>
          <w:tcPr>
            <w:tcW w:w="1214" w:type="dxa"/>
            <w:vAlign w:val="center"/>
          </w:tcPr>
          <w:p w14:paraId="1FCE7151">
            <w:pPr>
              <w:jc w:val="center"/>
              <w:rPr>
                <w:rFonts w:ascii="宋体" w:hAnsi="宋体" w:cs="宋体"/>
                <w:bCs/>
                <w:sz w:val="24"/>
                <w:szCs w:val="24"/>
                <w:highlight w:val="none"/>
              </w:rPr>
            </w:pPr>
          </w:p>
        </w:tc>
        <w:tc>
          <w:tcPr>
            <w:tcW w:w="1091" w:type="dxa"/>
            <w:vAlign w:val="center"/>
          </w:tcPr>
          <w:p w14:paraId="24EB17D8">
            <w:pPr>
              <w:jc w:val="center"/>
              <w:rPr>
                <w:rFonts w:ascii="宋体" w:hAnsi="宋体" w:cs="宋体"/>
                <w:bCs/>
                <w:sz w:val="24"/>
                <w:szCs w:val="24"/>
                <w:highlight w:val="none"/>
              </w:rPr>
            </w:pPr>
          </w:p>
        </w:tc>
        <w:tc>
          <w:tcPr>
            <w:tcW w:w="2115" w:type="dxa"/>
            <w:vAlign w:val="center"/>
          </w:tcPr>
          <w:p w14:paraId="4E0FDB0D">
            <w:pPr>
              <w:jc w:val="center"/>
              <w:rPr>
                <w:rFonts w:ascii="宋体" w:hAnsi="宋体" w:cs="宋体"/>
                <w:bCs/>
                <w:sz w:val="24"/>
                <w:szCs w:val="24"/>
                <w:highlight w:val="none"/>
              </w:rPr>
            </w:pPr>
          </w:p>
        </w:tc>
      </w:tr>
      <w:tr w14:paraId="6300CD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840" w:type="dxa"/>
            <w:vAlign w:val="center"/>
          </w:tcPr>
          <w:p w14:paraId="0A29CC04">
            <w:pPr>
              <w:jc w:val="center"/>
              <w:rPr>
                <w:rFonts w:ascii="宋体" w:hAnsi="宋体" w:cs="宋体"/>
                <w:bCs/>
                <w:sz w:val="24"/>
                <w:szCs w:val="24"/>
                <w:highlight w:val="none"/>
              </w:rPr>
            </w:pPr>
          </w:p>
        </w:tc>
        <w:tc>
          <w:tcPr>
            <w:tcW w:w="4078" w:type="dxa"/>
            <w:vAlign w:val="center"/>
          </w:tcPr>
          <w:p w14:paraId="539B36DD">
            <w:pPr>
              <w:jc w:val="center"/>
              <w:rPr>
                <w:rFonts w:ascii="宋体" w:hAnsi="宋体" w:cs="宋体"/>
                <w:bCs/>
                <w:sz w:val="24"/>
                <w:szCs w:val="24"/>
                <w:highlight w:val="none"/>
              </w:rPr>
            </w:pPr>
            <w:r>
              <w:rPr>
                <w:rFonts w:hint="eastAsia" w:ascii="宋体" w:hAnsi="宋体" w:cs="宋体"/>
                <w:bCs/>
                <w:sz w:val="24"/>
                <w:szCs w:val="24"/>
                <w:highlight w:val="none"/>
              </w:rPr>
              <w:t>……</w:t>
            </w:r>
          </w:p>
        </w:tc>
        <w:tc>
          <w:tcPr>
            <w:tcW w:w="1214" w:type="dxa"/>
            <w:vAlign w:val="center"/>
          </w:tcPr>
          <w:p w14:paraId="27F01E98">
            <w:pPr>
              <w:jc w:val="center"/>
              <w:rPr>
                <w:rFonts w:ascii="宋体" w:hAnsi="宋体" w:cs="宋体"/>
                <w:bCs/>
                <w:sz w:val="24"/>
                <w:szCs w:val="24"/>
                <w:highlight w:val="none"/>
              </w:rPr>
            </w:pPr>
          </w:p>
        </w:tc>
        <w:tc>
          <w:tcPr>
            <w:tcW w:w="1091" w:type="dxa"/>
            <w:vAlign w:val="center"/>
          </w:tcPr>
          <w:p w14:paraId="68586ED5">
            <w:pPr>
              <w:jc w:val="center"/>
              <w:rPr>
                <w:rFonts w:ascii="宋体" w:hAnsi="宋体" w:cs="宋体"/>
                <w:bCs/>
                <w:sz w:val="24"/>
                <w:szCs w:val="24"/>
                <w:highlight w:val="none"/>
              </w:rPr>
            </w:pPr>
          </w:p>
        </w:tc>
        <w:tc>
          <w:tcPr>
            <w:tcW w:w="2115" w:type="dxa"/>
            <w:vAlign w:val="center"/>
          </w:tcPr>
          <w:p w14:paraId="56AB38D3">
            <w:pPr>
              <w:jc w:val="center"/>
              <w:rPr>
                <w:rFonts w:ascii="宋体" w:hAnsi="宋体" w:cs="宋体"/>
                <w:bCs/>
                <w:sz w:val="24"/>
                <w:szCs w:val="24"/>
                <w:highlight w:val="none"/>
              </w:rPr>
            </w:pPr>
          </w:p>
        </w:tc>
      </w:tr>
      <w:tr w14:paraId="02A70F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7" w:hRule="atLeast"/>
          <w:jc w:val="center"/>
        </w:trPr>
        <w:tc>
          <w:tcPr>
            <w:tcW w:w="7223" w:type="dxa"/>
            <w:gridSpan w:val="4"/>
            <w:vAlign w:val="center"/>
          </w:tcPr>
          <w:p w14:paraId="28DC35AE">
            <w:pPr>
              <w:jc w:val="center"/>
              <w:rPr>
                <w:rFonts w:ascii="宋体" w:hAnsi="宋体" w:cs="宋体"/>
                <w:bCs/>
                <w:sz w:val="24"/>
                <w:szCs w:val="24"/>
                <w:highlight w:val="none"/>
              </w:rPr>
            </w:pPr>
            <w:r>
              <w:rPr>
                <w:rFonts w:hint="eastAsia" w:ascii="宋体" w:hAnsi="宋体" w:cs="宋体"/>
                <w:b/>
                <w:sz w:val="24"/>
                <w:szCs w:val="24"/>
                <w:highlight w:val="none"/>
              </w:rPr>
              <w:t>合计金额（元</w:t>
            </w:r>
            <w:r>
              <w:rPr>
                <w:rFonts w:hint="eastAsia" w:ascii="宋体" w:hAnsi="宋体" w:cs="宋体"/>
                <w:b/>
                <w:sz w:val="24"/>
                <w:szCs w:val="24"/>
                <w:highlight w:val="none"/>
                <w:lang w:val="en-US" w:eastAsia="zh-CN"/>
              </w:rPr>
              <w:t>/年</w:t>
            </w:r>
            <w:r>
              <w:rPr>
                <w:rFonts w:hint="eastAsia" w:ascii="宋体" w:hAnsi="宋体" w:cs="宋体"/>
                <w:b/>
                <w:sz w:val="24"/>
                <w:szCs w:val="24"/>
                <w:highlight w:val="none"/>
              </w:rPr>
              <w:t>）</w:t>
            </w:r>
          </w:p>
        </w:tc>
        <w:tc>
          <w:tcPr>
            <w:tcW w:w="2115" w:type="dxa"/>
            <w:vAlign w:val="center"/>
          </w:tcPr>
          <w:p w14:paraId="04906358">
            <w:pPr>
              <w:jc w:val="center"/>
              <w:rPr>
                <w:rFonts w:ascii="宋体" w:hAnsi="宋体" w:cs="宋体"/>
                <w:bCs/>
                <w:sz w:val="24"/>
                <w:szCs w:val="24"/>
                <w:highlight w:val="none"/>
              </w:rPr>
            </w:pPr>
          </w:p>
        </w:tc>
      </w:tr>
    </w:tbl>
    <w:p w14:paraId="18161BE6">
      <w:pPr>
        <w:pStyle w:val="17"/>
        <w:spacing w:line="360" w:lineRule="auto"/>
        <w:rPr>
          <w:rFonts w:ascii="宋体" w:hAnsi="宋体" w:eastAsia="宋体" w:cs="宋体"/>
          <w:b/>
          <w:bCs/>
          <w:sz w:val="24"/>
          <w:highlight w:val="none"/>
        </w:rPr>
      </w:pPr>
    </w:p>
    <w:p w14:paraId="25E598BC">
      <w:pPr>
        <w:pStyle w:val="17"/>
        <w:spacing w:line="560" w:lineRule="exact"/>
        <w:rPr>
          <w:rFonts w:ascii="宋体" w:hAnsi="宋体" w:eastAsia="宋体" w:cs="宋体"/>
          <w:b/>
          <w:bCs/>
          <w:sz w:val="24"/>
          <w:szCs w:val="28"/>
          <w:highlight w:val="none"/>
        </w:rPr>
      </w:pPr>
      <w:r>
        <w:rPr>
          <w:rFonts w:hint="eastAsia" w:ascii="宋体" w:hAnsi="宋体" w:eastAsia="宋体" w:cs="宋体"/>
          <w:b/>
          <w:bCs/>
          <w:sz w:val="24"/>
          <w:highlight w:val="none"/>
        </w:rPr>
        <w:t>供应商</w:t>
      </w:r>
      <w:r>
        <w:rPr>
          <w:rFonts w:hint="eastAsia" w:ascii="宋体" w:hAnsi="宋体" w:eastAsia="宋体" w:cs="宋体"/>
          <w:b/>
          <w:bCs/>
          <w:sz w:val="24"/>
          <w:highlight w:val="none"/>
          <w:lang w:eastAsia="zh-CN"/>
        </w:rPr>
        <w:t>公章</w:t>
      </w:r>
      <w:r>
        <w:rPr>
          <w:rFonts w:hint="eastAsia" w:ascii="宋体" w:hAnsi="宋体" w:eastAsia="宋体" w:cs="宋体"/>
          <w:b/>
          <w:bCs/>
          <w:sz w:val="24"/>
          <w:highlight w:val="none"/>
        </w:rPr>
        <w:t>：</w:t>
      </w:r>
    </w:p>
    <w:p w14:paraId="719627BD">
      <w:pPr>
        <w:adjustRightInd w:val="0"/>
        <w:snapToGrid w:val="0"/>
        <w:spacing w:line="560" w:lineRule="exact"/>
        <w:rPr>
          <w:rFonts w:ascii="宋体" w:hAnsi="宋体" w:cs="宋体"/>
          <w:b/>
          <w:bCs/>
          <w:sz w:val="24"/>
          <w:szCs w:val="28"/>
          <w:highlight w:val="none"/>
        </w:rPr>
      </w:pPr>
      <w:r>
        <w:rPr>
          <w:rFonts w:hint="eastAsia" w:ascii="宋体" w:hAnsi="宋体" w:cs="宋体"/>
          <w:b/>
          <w:bCs/>
          <w:sz w:val="24"/>
          <w:szCs w:val="28"/>
          <w:highlight w:val="none"/>
        </w:rPr>
        <w:t>日  期：   年   月   日</w:t>
      </w:r>
    </w:p>
    <w:p w14:paraId="72AD13AA">
      <w:pPr>
        <w:adjustRightInd w:val="0"/>
        <w:snapToGrid w:val="0"/>
        <w:spacing w:line="360" w:lineRule="auto"/>
        <w:rPr>
          <w:rFonts w:ascii="宋体" w:hAnsi="宋体" w:cs="宋体"/>
          <w:b/>
          <w:bCs/>
          <w:sz w:val="24"/>
          <w:szCs w:val="28"/>
          <w:highlight w:val="none"/>
        </w:rPr>
      </w:pPr>
    </w:p>
    <w:p w14:paraId="498FD569">
      <w:pPr>
        <w:adjustRightInd w:val="0"/>
        <w:snapToGrid w:val="0"/>
        <w:spacing w:line="360" w:lineRule="auto"/>
        <w:rPr>
          <w:rFonts w:ascii="宋体" w:hAnsi="宋体" w:cs="宋体"/>
          <w:b/>
          <w:sz w:val="24"/>
          <w:szCs w:val="24"/>
          <w:highlight w:val="none"/>
        </w:rPr>
      </w:pPr>
      <w:bookmarkStart w:id="115" w:name="_Toc2007"/>
      <w:bookmarkStart w:id="116" w:name="_Toc16998"/>
    </w:p>
    <w:p w14:paraId="4F9043EC">
      <w:pPr>
        <w:adjustRightInd w:val="0"/>
        <w:snapToGrid w:val="0"/>
        <w:spacing w:line="360" w:lineRule="auto"/>
        <w:rPr>
          <w:rFonts w:ascii="宋体" w:hAnsi="宋体" w:cs="宋体"/>
          <w:b/>
          <w:sz w:val="24"/>
          <w:szCs w:val="24"/>
          <w:highlight w:val="none"/>
        </w:rPr>
      </w:pPr>
      <w:r>
        <w:rPr>
          <w:rFonts w:hint="eastAsia" w:ascii="宋体" w:hAnsi="宋体" w:cs="宋体"/>
          <w:b/>
          <w:sz w:val="24"/>
          <w:szCs w:val="24"/>
          <w:highlight w:val="none"/>
        </w:rPr>
        <w:t>注：表中所列服务为对应本项目需求的全部服务内容。如有漏项或缺项，供应商承担全部责任。</w:t>
      </w:r>
    </w:p>
    <w:p w14:paraId="1790FA5D">
      <w:pPr>
        <w:wordWrap w:val="0"/>
        <w:spacing w:before="0" w:after="0" w:line="520" w:lineRule="exact"/>
        <w:outlineLvl w:val="9"/>
        <w:rPr>
          <w:rFonts w:ascii="宋体" w:hAnsi="宋体" w:eastAsia="宋体" w:cs="宋体"/>
          <w:sz w:val="24"/>
          <w:szCs w:val="24"/>
          <w:highlight w:val="none"/>
        </w:rPr>
      </w:pPr>
      <w:r>
        <w:rPr>
          <w:rFonts w:hint="eastAsia" w:ascii="宋体" w:hAnsi="宋体" w:eastAsia="宋体" w:cs="宋体"/>
          <w:sz w:val="24"/>
          <w:szCs w:val="24"/>
          <w:highlight w:val="none"/>
        </w:rPr>
        <w:br w:type="page"/>
      </w:r>
      <w:bookmarkStart w:id="117" w:name="_Toc22855"/>
      <w:r>
        <w:rPr>
          <w:rFonts w:hint="eastAsia" w:ascii="宋体" w:hAnsi="宋体" w:eastAsia="宋体" w:cs="宋体"/>
          <w:b/>
          <w:bCs/>
          <w:sz w:val="24"/>
          <w:szCs w:val="24"/>
          <w:highlight w:val="none"/>
        </w:rPr>
        <w:t>附件二</w:t>
      </w:r>
      <w:bookmarkEnd w:id="115"/>
      <w:bookmarkEnd w:id="116"/>
      <w:bookmarkEnd w:id="117"/>
    </w:p>
    <w:p w14:paraId="198DFB7F">
      <w:pPr>
        <w:pStyle w:val="3"/>
        <w:spacing w:before="0" w:after="0" w:line="520" w:lineRule="exact"/>
        <w:jc w:val="center"/>
        <w:rPr>
          <w:rFonts w:ascii="宋体" w:hAnsi="宋体" w:eastAsia="宋体" w:cs="宋体"/>
          <w:sz w:val="24"/>
          <w:szCs w:val="24"/>
          <w:highlight w:val="none"/>
        </w:rPr>
      </w:pPr>
      <w:bookmarkStart w:id="118" w:name="_Toc3262"/>
      <w:bookmarkStart w:id="119" w:name="_Toc29464"/>
      <w:bookmarkStart w:id="120" w:name="_Toc17280"/>
      <w:r>
        <w:rPr>
          <w:rFonts w:hint="eastAsia" w:ascii="宋体" w:hAnsi="宋体" w:eastAsia="宋体" w:cs="宋体"/>
          <w:sz w:val="24"/>
          <w:szCs w:val="24"/>
          <w:highlight w:val="none"/>
        </w:rPr>
        <w:t>供应商基本信息</w:t>
      </w:r>
      <w:bookmarkEnd w:id="118"/>
      <w:bookmarkEnd w:id="119"/>
      <w:bookmarkEnd w:id="120"/>
    </w:p>
    <w:p w14:paraId="761613D5">
      <w:pPr>
        <w:pStyle w:val="33"/>
        <w:spacing w:after="0" w:line="520" w:lineRule="exact"/>
        <w:ind w:firstLine="0"/>
        <w:jc w:val="center"/>
        <w:rPr>
          <w:rFonts w:ascii="宋体" w:hAnsi="宋体" w:cs="宋体"/>
          <w:highlight w:val="none"/>
        </w:rPr>
      </w:pPr>
      <w:r>
        <w:rPr>
          <w:rFonts w:hint="eastAsia" w:ascii="宋体" w:hAnsi="宋体" w:cs="宋体"/>
          <w:highlight w:val="none"/>
        </w:rPr>
        <w:t>（自行</w:t>
      </w:r>
      <w:r>
        <w:rPr>
          <w:rFonts w:hint="eastAsia" w:ascii="宋体" w:hAnsi="宋体" w:cs="宋体"/>
          <w:highlight w:val="none"/>
          <w:lang w:val="en-US" w:eastAsia="zh-CN"/>
        </w:rPr>
        <w:t>编辑</w:t>
      </w:r>
      <w:r>
        <w:rPr>
          <w:rFonts w:hint="eastAsia" w:ascii="宋体" w:hAnsi="宋体" w:cs="宋体"/>
          <w:highlight w:val="none"/>
        </w:rPr>
        <w:t>）</w:t>
      </w:r>
    </w:p>
    <w:p w14:paraId="4C4DC0B3">
      <w:pPr>
        <w:wordWrap w:val="0"/>
        <w:spacing w:before="0" w:after="0" w:line="520" w:lineRule="exact"/>
        <w:outlineLvl w:val="9"/>
        <w:rPr>
          <w:rFonts w:ascii="宋体" w:hAnsi="宋体" w:eastAsia="宋体" w:cs="宋体"/>
          <w:b/>
          <w:bCs/>
          <w:sz w:val="24"/>
          <w:szCs w:val="24"/>
          <w:highlight w:val="none"/>
        </w:rPr>
      </w:pPr>
      <w:bookmarkStart w:id="121" w:name="_Toc18369"/>
      <w:bookmarkStart w:id="122" w:name="_Toc11062"/>
      <w:bookmarkStart w:id="123" w:name="_Toc10154"/>
      <w:r>
        <w:rPr>
          <w:rFonts w:hint="eastAsia" w:ascii="宋体" w:hAnsi="宋体" w:eastAsia="宋体" w:cs="宋体"/>
          <w:b/>
          <w:bCs/>
          <w:sz w:val="24"/>
          <w:szCs w:val="24"/>
          <w:highlight w:val="none"/>
        </w:rPr>
        <w:t>附件三</w:t>
      </w:r>
      <w:bookmarkEnd w:id="121"/>
      <w:bookmarkEnd w:id="122"/>
      <w:bookmarkEnd w:id="123"/>
    </w:p>
    <w:p w14:paraId="3E832E79">
      <w:pPr>
        <w:pStyle w:val="3"/>
        <w:spacing w:before="0" w:after="0" w:line="520" w:lineRule="exact"/>
        <w:jc w:val="center"/>
        <w:rPr>
          <w:rFonts w:ascii="宋体" w:hAnsi="宋体" w:eastAsia="宋体" w:cs="宋体"/>
          <w:sz w:val="24"/>
          <w:szCs w:val="24"/>
          <w:highlight w:val="none"/>
        </w:rPr>
      </w:pPr>
      <w:bookmarkStart w:id="124" w:name="_Toc10696"/>
      <w:bookmarkStart w:id="125" w:name="_Toc13141"/>
      <w:bookmarkStart w:id="126" w:name="_Toc30135"/>
      <w:r>
        <w:rPr>
          <w:rFonts w:hint="eastAsia" w:ascii="宋体" w:hAnsi="宋体" w:eastAsia="宋体" w:cs="宋体"/>
          <w:sz w:val="24"/>
          <w:szCs w:val="24"/>
          <w:highlight w:val="none"/>
        </w:rPr>
        <w:t>磋商授权书</w:t>
      </w:r>
      <w:bookmarkEnd w:id="124"/>
      <w:bookmarkEnd w:id="125"/>
      <w:bookmarkEnd w:id="126"/>
    </w:p>
    <w:p w14:paraId="71F6FE98">
      <w:pPr>
        <w:spacing w:line="520" w:lineRule="exact"/>
        <w:rPr>
          <w:rFonts w:ascii="宋体" w:hAnsi="宋体" w:cs="宋体"/>
          <w:sz w:val="24"/>
          <w:szCs w:val="24"/>
          <w:highlight w:val="none"/>
        </w:rPr>
      </w:pPr>
    </w:p>
    <w:p w14:paraId="0076166A">
      <w:pPr>
        <w:spacing w:line="520" w:lineRule="exact"/>
        <w:jc w:val="left"/>
        <w:rPr>
          <w:rFonts w:ascii="宋体" w:hAnsi="宋体" w:cs="宋体"/>
          <w:sz w:val="24"/>
          <w:szCs w:val="24"/>
          <w:highlight w:val="none"/>
        </w:rPr>
      </w:pPr>
      <w:r>
        <w:rPr>
          <w:rFonts w:hint="eastAsia" w:ascii="宋体" w:hAnsi="宋体" w:cs="宋体"/>
          <w:sz w:val="24"/>
          <w:szCs w:val="24"/>
          <w:highlight w:val="none"/>
        </w:rPr>
        <w:t>致：_________________</w:t>
      </w:r>
    </w:p>
    <w:p w14:paraId="1FEBB759">
      <w:pPr>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本授权书声明：</w:t>
      </w:r>
      <w:r>
        <w:rPr>
          <w:rFonts w:hint="eastAsia" w:ascii="宋体" w:hAnsi="宋体" w:cs="宋体"/>
          <w:sz w:val="24"/>
          <w:szCs w:val="24"/>
          <w:highlight w:val="none"/>
          <w:u w:val="single"/>
        </w:rPr>
        <w:t xml:space="preserve">                </w:t>
      </w:r>
      <w:r>
        <w:rPr>
          <w:rFonts w:hint="eastAsia" w:ascii="宋体" w:hAnsi="宋体" w:cs="宋体"/>
          <w:sz w:val="24"/>
          <w:szCs w:val="24"/>
          <w:highlight w:val="none"/>
        </w:rPr>
        <w:t>（供应商名称）的</w:t>
      </w:r>
      <w:r>
        <w:rPr>
          <w:rFonts w:hint="eastAsia" w:ascii="宋体" w:hAnsi="宋体" w:cs="宋体"/>
          <w:sz w:val="24"/>
          <w:szCs w:val="24"/>
          <w:highlight w:val="none"/>
          <w:u w:val="single"/>
        </w:rPr>
        <w:t xml:space="preserve">        </w:t>
      </w:r>
      <w:r>
        <w:rPr>
          <w:rFonts w:hint="eastAsia" w:ascii="宋体" w:hAnsi="宋体" w:cs="宋体"/>
          <w:sz w:val="24"/>
          <w:szCs w:val="24"/>
          <w:highlight w:val="none"/>
        </w:rPr>
        <w:t>（法定代表人姓名）授权</w:t>
      </w:r>
      <w:r>
        <w:rPr>
          <w:rFonts w:hint="eastAsia" w:ascii="宋体" w:hAnsi="宋体" w:cs="宋体"/>
          <w:sz w:val="24"/>
          <w:szCs w:val="24"/>
          <w:highlight w:val="none"/>
          <w:u w:val="single"/>
        </w:rPr>
        <w:t xml:space="preserve">         </w:t>
      </w:r>
      <w:r>
        <w:rPr>
          <w:rFonts w:hint="eastAsia" w:ascii="宋体" w:hAnsi="宋体" w:cs="宋体"/>
          <w:sz w:val="24"/>
          <w:szCs w:val="24"/>
          <w:highlight w:val="none"/>
        </w:rPr>
        <w:t>（被授权人的姓名）为我方就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（编号：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）项目磋商活动的合法代理人，以我方名义全权处理与该项目磋商、签订合同以及合同执行有关的一切事务。</w:t>
      </w:r>
    </w:p>
    <w:p w14:paraId="50CB4B53">
      <w:pPr>
        <w:spacing w:line="520" w:lineRule="exact"/>
        <w:ind w:firstLine="480" w:firstLineChars="200"/>
        <w:jc w:val="left"/>
        <w:rPr>
          <w:rFonts w:ascii="宋体" w:hAnsi="宋体" w:cs="宋体"/>
          <w:sz w:val="24"/>
          <w:szCs w:val="24"/>
          <w:highlight w:val="none"/>
        </w:rPr>
      </w:pPr>
      <w:r>
        <w:rPr>
          <w:rFonts w:hint="eastAsia" w:ascii="宋体" w:hAnsi="宋体" w:cs="宋体"/>
          <w:sz w:val="24"/>
          <w:szCs w:val="24"/>
          <w:highlight w:val="none"/>
        </w:rPr>
        <w:t>特此声明。</w:t>
      </w:r>
    </w:p>
    <w:p w14:paraId="52DAD7E3">
      <w:pPr>
        <w:spacing w:line="520" w:lineRule="exact"/>
        <w:jc w:val="left"/>
        <w:rPr>
          <w:rFonts w:ascii="宋体" w:hAnsi="宋体" w:cs="宋体"/>
          <w:sz w:val="24"/>
          <w:szCs w:val="24"/>
          <w:highlight w:val="none"/>
        </w:rPr>
      </w:pPr>
    </w:p>
    <w:p w14:paraId="4278505A">
      <w:pPr>
        <w:spacing w:line="520" w:lineRule="exact"/>
        <w:ind w:firstLine="1084" w:firstLineChars="450"/>
        <w:jc w:val="left"/>
        <w:rPr>
          <w:rFonts w:ascii="宋体" w:hAnsi="宋体" w:cs="宋体"/>
          <w:sz w:val="24"/>
          <w:szCs w:val="24"/>
          <w:highlight w:val="none"/>
          <w:u w:val="single"/>
        </w:rPr>
      </w:pPr>
      <w:r>
        <w:rPr>
          <w:rFonts w:hint="eastAsia" w:ascii="宋体" w:hAnsi="宋体" w:cs="宋体"/>
          <w:b/>
          <w:bCs/>
          <w:sz w:val="24"/>
          <w:szCs w:val="24"/>
          <w:highlight w:val="none"/>
        </w:rPr>
        <w:t>法定代表人签字：</w:t>
      </w:r>
      <w:r>
        <w:rPr>
          <w:rFonts w:hint="eastAsia" w:ascii="宋体" w:hAnsi="宋体" w:cs="宋体"/>
          <w:sz w:val="24"/>
          <w:szCs w:val="24"/>
          <w:highlight w:val="none"/>
          <w:u w:val="single"/>
        </w:rPr>
        <w:t xml:space="preserve">                            </w:t>
      </w:r>
    </w:p>
    <w:p w14:paraId="7E11B681">
      <w:pPr>
        <w:spacing w:line="520" w:lineRule="exact"/>
        <w:jc w:val="left"/>
        <w:rPr>
          <w:rFonts w:ascii="宋体" w:hAnsi="宋体" w:cs="宋体"/>
          <w:sz w:val="24"/>
          <w:szCs w:val="24"/>
          <w:highlight w:val="none"/>
          <w:u w:val="single"/>
        </w:rPr>
      </w:pPr>
      <w:r>
        <w:rPr>
          <w:rFonts w:hint="eastAsia" w:ascii="宋体" w:hAnsi="宋体" w:cs="宋体"/>
          <w:sz w:val="24"/>
          <w:szCs w:val="24"/>
          <w:highlight w:val="none"/>
        </w:rPr>
        <w:t xml:space="preserve">          职    务：</w:t>
      </w:r>
      <w:r>
        <w:rPr>
          <w:rFonts w:hint="eastAsia" w:ascii="宋体" w:hAnsi="宋体" w:cs="宋体"/>
          <w:sz w:val="24"/>
          <w:szCs w:val="24"/>
          <w:highlight w:val="none"/>
          <w:u w:val="single"/>
        </w:rPr>
        <w:t xml:space="preserve">                        </w:t>
      </w:r>
    </w:p>
    <w:p w14:paraId="18905256">
      <w:pPr>
        <w:spacing w:line="520" w:lineRule="exact"/>
        <w:jc w:val="left"/>
        <w:rPr>
          <w:rFonts w:ascii="宋体" w:hAnsi="宋体" w:cs="宋体"/>
          <w:sz w:val="24"/>
          <w:szCs w:val="24"/>
          <w:highlight w:val="none"/>
          <w:u w:val="single"/>
        </w:rPr>
      </w:pPr>
      <w:r>
        <w:rPr>
          <w:rFonts w:hint="eastAsia" w:ascii="宋体" w:hAnsi="宋体" w:cs="宋体"/>
          <w:sz w:val="24"/>
          <w:szCs w:val="24"/>
          <w:highlight w:val="none"/>
        </w:rPr>
        <w:t xml:space="preserve">          联系手机：</w:t>
      </w:r>
      <w:r>
        <w:rPr>
          <w:rFonts w:hint="eastAsia" w:ascii="宋体" w:hAnsi="宋体" w:cs="宋体"/>
          <w:sz w:val="24"/>
          <w:szCs w:val="24"/>
          <w:highlight w:val="none"/>
          <w:u w:val="single"/>
        </w:rPr>
        <w:t xml:space="preserve">                        </w:t>
      </w:r>
    </w:p>
    <w:p w14:paraId="701A0DEB">
      <w:pPr>
        <w:spacing w:line="520" w:lineRule="exact"/>
        <w:ind w:firstLine="1200" w:firstLineChars="500"/>
        <w:jc w:val="left"/>
        <w:rPr>
          <w:rFonts w:ascii="宋体" w:hAnsi="宋体" w:cs="宋体"/>
          <w:sz w:val="24"/>
          <w:szCs w:val="24"/>
          <w:highlight w:val="none"/>
          <w:u w:val="single"/>
        </w:rPr>
      </w:pPr>
      <w:r>
        <w:rPr>
          <w:rFonts w:hint="eastAsia" w:ascii="宋体" w:hAnsi="宋体" w:cs="宋体"/>
          <w:sz w:val="24"/>
          <w:szCs w:val="24"/>
          <w:highlight w:val="none"/>
        </w:rPr>
        <w:t>固定电话：</w:t>
      </w:r>
      <w:r>
        <w:rPr>
          <w:rFonts w:hint="eastAsia" w:ascii="宋体" w:hAnsi="宋体" w:cs="宋体"/>
          <w:sz w:val="24"/>
          <w:szCs w:val="24"/>
          <w:highlight w:val="none"/>
          <w:u w:val="single"/>
        </w:rPr>
        <w:t xml:space="preserve">                         </w:t>
      </w:r>
    </w:p>
    <w:p w14:paraId="46894F2A">
      <w:pPr>
        <w:spacing w:line="520" w:lineRule="exact"/>
        <w:ind w:firstLine="1084" w:firstLineChars="450"/>
        <w:jc w:val="left"/>
        <w:rPr>
          <w:rFonts w:ascii="宋体" w:hAnsi="宋体" w:cs="宋体"/>
          <w:b/>
          <w:bCs/>
          <w:sz w:val="24"/>
          <w:szCs w:val="24"/>
          <w:highlight w:val="none"/>
        </w:rPr>
      </w:pPr>
    </w:p>
    <w:p w14:paraId="5D172124">
      <w:pPr>
        <w:spacing w:line="520" w:lineRule="exact"/>
        <w:ind w:firstLine="1084" w:firstLineChars="450"/>
        <w:jc w:val="left"/>
        <w:rPr>
          <w:rFonts w:ascii="宋体" w:hAnsi="宋体" w:cs="宋体"/>
          <w:sz w:val="24"/>
          <w:szCs w:val="24"/>
          <w:highlight w:val="none"/>
        </w:rPr>
      </w:pPr>
      <w:r>
        <w:rPr>
          <w:rFonts w:hint="eastAsia" w:ascii="宋体" w:hAnsi="宋体" w:cs="宋体"/>
          <w:b/>
          <w:bCs/>
          <w:sz w:val="24"/>
          <w:szCs w:val="24"/>
          <w:highlight w:val="none"/>
        </w:rPr>
        <w:t>代理人（被授权人）：</w:t>
      </w:r>
      <w:r>
        <w:rPr>
          <w:rFonts w:hint="eastAsia" w:ascii="宋体" w:hAnsi="宋体" w:cs="宋体"/>
          <w:sz w:val="24"/>
          <w:szCs w:val="24"/>
          <w:highlight w:val="none"/>
          <w:u w:val="single"/>
        </w:rPr>
        <w:t xml:space="preserve">                     </w:t>
      </w:r>
    </w:p>
    <w:p w14:paraId="25FDDB1A">
      <w:pPr>
        <w:spacing w:line="520" w:lineRule="exact"/>
        <w:jc w:val="left"/>
        <w:rPr>
          <w:rFonts w:ascii="宋体" w:hAnsi="宋体" w:cs="宋体"/>
          <w:sz w:val="24"/>
          <w:szCs w:val="24"/>
          <w:highlight w:val="none"/>
        </w:rPr>
      </w:pPr>
      <w:r>
        <w:rPr>
          <w:rFonts w:hint="eastAsia" w:ascii="宋体" w:hAnsi="宋体" w:cs="宋体"/>
          <w:sz w:val="24"/>
          <w:szCs w:val="24"/>
          <w:highlight w:val="none"/>
        </w:rPr>
        <w:t xml:space="preserve">          职    务：</w:t>
      </w:r>
      <w:r>
        <w:rPr>
          <w:rFonts w:hint="eastAsia" w:ascii="宋体" w:hAnsi="宋体" w:cs="宋体"/>
          <w:sz w:val="24"/>
          <w:szCs w:val="24"/>
          <w:highlight w:val="none"/>
          <w:u w:val="single"/>
        </w:rPr>
        <w:t xml:space="preserve">                         </w:t>
      </w:r>
    </w:p>
    <w:p w14:paraId="064692FE">
      <w:pPr>
        <w:spacing w:line="520" w:lineRule="exact"/>
        <w:jc w:val="left"/>
        <w:rPr>
          <w:rFonts w:ascii="宋体" w:hAnsi="宋体" w:cs="宋体"/>
          <w:sz w:val="24"/>
          <w:szCs w:val="24"/>
          <w:highlight w:val="none"/>
          <w:u w:val="single"/>
        </w:rPr>
      </w:pPr>
      <w:r>
        <w:rPr>
          <w:rFonts w:hint="eastAsia" w:ascii="宋体" w:hAnsi="宋体" w:cs="宋体"/>
          <w:sz w:val="24"/>
          <w:szCs w:val="24"/>
          <w:highlight w:val="none"/>
        </w:rPr>
        <w:t xml:space="preserve">          联系手机：</w:t>
      </w:r>
      <w:r>
        <w:rPr>
          <w:rFonts w:hint="eastAsia" w:ascii="宋体" w:hAnsi="宋体" w:cs="宋体"/>
          <w:sz w:val="24"/>
          <w:szCs w:val="24"/>
          <w:highlight w:val="none"/>
          <w:u w:val="single"/>
        </w:rPr>
        <w:t xml:space="preserve">                          </w:t>
      </w:r>
    </w:p>
    <w:p w14:paraId="2088672B">
      <w:pPr>
        <w:spacing w:line="520" w:lineRule="exact"/>
        <w:ind w:firstLine="1200" w:firstLineChars="500"/>
        <w:jc w:val="left"/>
        <w:rPr>
          <w:rFonts w:ascii="宋体" w:hAnsi="宋体" w:cs="宋体"/>
          <w:sz w:val="24"/>
          <w:szCs w:val="24"/>
          <w:highlight w:val="none"/>
          <w:u w:val="single"/>
        </w:rPr>
      </w:pPr>
      <w:r>
        <w:rPr>
          <w:rFonts w:hint="eastAsia" w:ascii="宋体" w:hAnsi="宋体" w:cs="宋体"/>
          <w:sz w:val="24"/>
          <w:szCs w:val="24"/>
          <w:highlight w:val="none"/>
        </w:rPr>
        <w:t>固定电话：</w:t>
      </w:r>
      <w:r>
        <w:rPr>
          <w:rFonts w:hint="eastAsia" w:ascii="宋体" w:hAnsi="宋体" w:cs="宋体"/>
          <w:sz w:val="24"/>
          <w:szCs w:val="24"/>
          <w:highlight w:val="none"/>
          <w:u w:val="single"/>
        </w:rPr>
        <w:t xml:space="preserve">                          </w:t>
      </w:r>
    </w:p>
    <w:p w14:paraId="259EF433">
      <w:pPr>
        <w:spacing w:line="520" w:lineRule="exact"/>
        <w:jc w:val="left"/>
        <w:rPr>
          <w:rFonts w:ascii="宋体" w:hAnsi="宋体" w:cs="宋体"/>
          <w:sz w:val="24"/>
          <w:szCs w:val="24"/>
          <w:highlight w:val="none"/>
        </w:rPr>
      </w:pPr>
    </w:p>
    <w:p w14:paraId="0582FC45">
      <w:pPr>
        <w:spacing w:line="520" w:lineRule="exact"/>
        <w:ind w:firstLine="4245" w:firstLineChars="1762"/>
        <w:rPr>
          <w:rFonts w:ascii="宋体" w:hAnsi="宋体" w:cs="宋体"/>
          <w:b/>
          <w:bCs/>
          <w:sz w:val="24"/>
          <w:szCs w:val="24"/>
          <w:highlight w:val="none"/>
          <w:u w:val="single"/>
        </w:rPr>
      </w:pPr>
      <w:r>
        <w:rPr>
          <w:rFonts w:hint="eastAsia" w:ascii="宋体" w:hAnsi="宋体" w:cs="宋体"/>
          <w:b/>
          <w:bCs/>
          <w:sz w:val="24"/>
          <w:szCs w:val="24"/>
          <w:highlight w:val="none"/>
        </w:rPr>
        <w:t>供应商</w:t>
      </w:r>
      <w:r>
        <w:rPr>
          <w:rFonts w:hint="eastAsia" w:ascii="宋体" w:hAnsi="宋体" w:cs="宋体"/>
          <w:b/>
          <w:bCs/>
          <w:sz w:val="24"/>
          <w:szCs w:val="24"/>
          <w:highlight w:val="none"/>
          <w:lang w:eastAsia="zh-CN"/>
        </w:rPr>
        <w:t>公章</w:t>
      </w:r>
      <w:r>
        <w:rPr>
          <w:rFonts w:hint="eastAsia" w:ascii="宋体" w:hAnsi="宋体" w:cs="宋体"/>
          <w:b/>
          <w:bCs/>
          <w:sz w:val="24"/>
          <w:szCs w:val="24"/>
          <w:highlight w:val="none"/>
        </w:rPr>
        <w:t>：</w:t>
      </w:r>
    </w:p>
    <w:p w14:paraId="30D33138">
      <w:pPr>
        <w:tabs>
          <w:tab w:val="left" w:pos="630"/>
        </w:tabs>
        <w:spacing w:line="520" w:lineRule="exact"/>
        <w:ind w:firstLine="4245" w:firstLineChars="1762"/>
        <w:rPr>
          <w:rFonts w:hint="eastAsia" w:ascii="宋体" w:hAnsi="宋体" w:cs="宋体"/>
          <w:b/>
          <w:bCs/>
          <w:sz w:val="24"/>
          <w:szCs w:val="24"/>
          <w:highlight w:val="none"/>
        </w:rPr>
      </w:pPr>
      <w:r>
        <w:rPr>
          <w:rFonts w:hint="eastAsia" w:ascii="宋体" w:hAnsi="宋体" w:cs="宋体"/>
          <w:b/>
          <w:bCs/>
          <w:sz w:val="24"/>
          <w:szCs w:val="24"/>
          <w:highlight w:val="none"/>
        </w:rPr>
        <w:t>日期：</w:t>
      </w:r>
    </w:p>
    <w:p w14:paraId="2318747A">
      <w:pPr>
        <w:tabs>
          <w:tab w:val="left" w:pos="630"/>
        </w:tabs>
        <w:spacing w:line="520" w:lineRule="exact"/>
        <w:rPr>
          <w:rFonts w:hint="default" w:ascii="宋体" w:hAnsi="宋体" w:eastAsia="宋体" w:cs="宋体"/>
          <w:b/>
          <w:bCs/>
          <w:sz w:val="24"/>
          <w:szCs w:val="24"/>
          <w:highlight w:val="none"/>
          <w:lang w:val="en-US" w:eastAsia="zh-CN"/>
        </w:rPr>
      </w:pPr>
      <w:r>
        <w:rPr>
          <w:rFonts w:hint="eastAsia" w:ascii="宋体" w:hAnsi="宋体" w:cs="宋体"/>
          <w:b/>
          <w:bCs/>
          <w:sz w:val="24"/>
          <w:szCs w:val="24"/>
          <w:highlight w:val="none"/>
          <w:lang w:val="en-US" w:eastAsia="zh-CN"/>
        </w:rPr>
        <w:t>附件：</w:t>
      </w:r>
      <w:r>
        <w:rPr>
          <w:rFonts w:hint="eastAsia" w:ascii="宋体" w:hAnsi="宋体" w:cs="宋体"/>
          <w:b/>
          <w:bCs/>
          <w:sz w:val="24"/>
          <w:szCs w:val="24"/>
          <w:highlight w:val="none"/>
        </w:rPr>
        <w:t>法定代表人</w:t>
      </w:r>
      <w:r>
        <w:rPr>
          <w:rFonts w:hint="eastAsia" w:ascii="宋体" w:hAnsi="宋体" w:cs="宋体"/>
          <w:b/>
          <w:bCs/>
          <w:sz w:val="24"/>
          <w:szCs w:val="24"/>
          <w:highlight w:val="none"/>
          <w:lang w:val="en-US" w:eastAsia="zh-CN"/>
        </w:rPr>
        <w:t>及</w:t>
      </w:r>
      <w:r>
        <w:rPr>
          <w:rFonts w:hint="eastAsia" w:ascii="宋体" w:hAnsi="宋体" w:cs="宋体"/>
          <w:b/>
          <w:bCs/>
          <w:sz w:val="24"/>
          <w:szCs w:val="24"/>
          <w:highlight w:val="none"/>
        </w:rPr>
        <w:t>代理人（被授权人）</w:t>
      </w:r>
      <w:r>
        <w:rPr>
          <w:rFonts w:hint="eastAsia" w:ascii="宋体" w:hAnsi="宋体" w:cs="宋体"/>
          <w:b/>
          <w:bCs/>
          <w:sz w:val="24"/>
          <w:szCs w:val="24"/>
          <w:highlight w:val="none"/>
          <w:lang w:val="en-US" w:eastAsia="zh-CN"/>
        </w:rPr>
        <w:t>身份证复印件</w:t>
      </w:r>
    </w:p>
    <w:p w14:paraId="5DC574AA">
      <w:pPr>
        <w:spacing w:before="0" w:after="0" w:line="560" w:lineRule="exact"/>
        <w:outlineLvl w:val="9"/>
        <w:rPr>
          <w:rFonts w:ascii="宋体" w:hAnsi="宋体" w:eastAsia="宋体" w:cs="宋体"/>
          <w:sz w:val="24"/>
          <w:szCs w:val="24"/>
          <w:highlight w:val="none"/>
        </w:rPr>
      </w:pPr>
      <w:bookmarkStart w:id="127" w:name="_Toc17226"/>
      <w:bookmarkStart w:id="128" w:name="_Toc23589"/>
      <w:r>
        <w:rPr>
          <w:rFonts w:hint="eastAsia" w:ascii="宋体" w:hAnsi="宋体" w:eastAsia="宋体" w:cs="宋体"/>
          <w:sz w:val="24"/>
          <w:szCs w:val="24"/>
          <w:highlight w:val="none"/>
        </w:rPr>
        <w:br w:type="page"/>
      </w:r>
      <w:bookmarkStart w:id="129" w:name="_Toc17888"/>
      <w:r>
        <w:rPr>
          <w:rFonts w:hint="eastAsia" w:ascii="宋体" w:hAnsi="宋体" w:eastAsia="宋体" w:cs="宋体"/>
          <w:sz w:val="24"/>
          <w:szCs w:val="24"/>
          <w:highlight w:val="none"/>
        </w:rPr>
        <w:t>附件四</w:t>
      </w:r>
      <w:bookmarkEnd w:id="127"/>
      <w:bookmarkEnd w:id="128"/>
      <w:bookmarkEnd w:id="129"/>
    </w:p>
    <w:p w14:paraId="01A6441A">
      <w:pPr>
        <w:pStyle w:val="3"/>
        <w:spacing w:before="0" w:after="156" w:afterLines="50" w:line="560" w:lineRule="exact"/>
        <w:jc w:val="center"/>
        <w:rPr>
          <w:rFonts w:ascii="宋体" w:hAnsi="宋体" w:eastAsia="宋体" w:cs="宋体"/>
          <w:sz w:val="24"/>
          <w:szCs w:val="24"/>
          <w:highlight w:val="none"/>
        </w:rPr>
      </w:pPr>
      <w:bookmarkStart w:id="130" w:name="_Toc28665"/>
      <w:bookmarkStart w:id="131" w:name="_Toc29263"/>
      <w:bookmarkStart w:id="132" w:name="_Toc6278"/>
      <w:bookmarkStart w:id="133" w:name="_Toc417045478"/>
      <w:r>
        <w:rPr>
          <w:rFonts w:hint="eastAsia" w:ascii="宋体" w:hAnsi="宋体" w:eastAsia="宋体" w:cs="宋体"/>
          <w:sz w:val="24"/>
          <w:szCs w:val="24"/>
          <w:highlight w:val="none"/>
        </w:rPr>
        <w:t>磋商响应函</w:t>
      </w:r>
      <w:bookmarkEnd w:id="130"/>
      <w:bookmarkEnd w:id="131"/>
      <w:bookmarkEnd w:id="132"/>
    </w:p>
    <w:p w14:paraId="0273F9F8">
      <w:pPr>
        <w:spacing w:line="360" w:lineRule="auto"/>
        <w:rPr>
          <w:rFonts w:ascii="宋体" w:hAnsi="宋体" w:cs="宋体"/>
          <w:sz w:val="24"/>
          <w:szCs w:val="24"/>
          <w:highlight w:val="none"/>
        </w:rPr>
      </w:pPr>
      <w:r>
        <w:rPr>
          <w:rFonts w:hint="eastAsia" w:ascii="宋体" w:hAnsi="宋体" w:cs="宋体"/>
          <w:sz w:val="24"/>
          <w:szCs w:val="24"/>
          <w:highlight w:val="none"/>
        </w:rPr>
        <w:t>致：XXX（</w:t>
      </w:r>
      <w:r>
        <w:rPr>
          <w:rFonts w:hint="eastAsia" w:ascii="宋体" w:hAnsi="宋体" w:cs="宋体"/>
          <w:sz w:val="24"/>
          <w:szCs w:val="24"/>
          <w:highlight w:val="none"/>
          <w:lang w:val="en-US" w:eastAsia="zh-CN"/>
        </w:rPr>
        <w:t>采购人或</w:t>
      </w:r>
      <w:r>
        <w:rPr>
          <w:rFonts w:hint="eastAsia" w:ascii="宋体" w:hAnsi="宋体" w:cs="宋体"/>
          <w:sz w:val="24"/>
          <w:szCs w:val="24"/>
          <w:highlight w:val="none"/>
        </w:rPr>
        <w:t>代理机构名称）</w:t>
      </w:r>
    </w:p>
    <w:p w14:paraId="3E58F1AD">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1、根据项目编号：</w:t>
      </w:r>
      <w:r>
        <w:rPr>
          <w:rFonts w:hint="eastAsia" w:ascii="宋体" w:hAnsi="宋体" w:cs="宋体"/>
          <w:sz w:val="24"/>
          <w:szCs w:val="24"/>
          <w:highlight w:val="none"/>
          <w:u w:val="single"/>
        </w:rPr>
        <w:t xml:space="preserve">       </w:t>
      </w:r>
      <w:r>
        <w:rPr>
          <w:rFonts w:hint="eastAsia" w:ascii="宋体" w:hAnsi="宋体" w:cs="宋体"/>
          <w:sz w:val="24"/>
          <w:szCs w:val="24"/>
          <w:highlight w:val="none"/>
        </w:rPr>
        <w:t>号磋商公告的内容，我方决定参加贵方组织的“</w:t>
      </w:r>
      <w:r>
        <w:rPr>
          <w:rFonts w:hint="eastAsia" w:ascii="宋体" w:hAnsi="宋体" w:cs="宋体"/>
          <w:sz w:val="24"/>
          <w:szCs w:val="24"/>
          <w:highlight w:val="none"/>
          <w:u w:val="single"/>
        </w:rPr>
        <w:t xml:space="preserve">                 </w:t>
      </w:r>
      <w:r>
        <w:rPr>
          <w:rFonts w:hint="eastAsia" w:ascii="宋体" w:hAnsi="宋体" w:cs="宋体"/>
          <w:sz w:val="24"/>
          <w:szCs w:val="24"/>
          <w:highlight w:val="none"/>
        </w:rPr>
        <w:t>”项目的竞争性磋商采购。我方授权</w:t>
      </w:r>
      <w:r>
        <w:rPr>
          <w:rFonts w:hint="eastAsia" w:ascii="宋体" w:hAnsi="宋体" w:cs="宋体"/>
          <w:sz w:val="24"/>
          <w:szCs w:val="24"/>
          <w:highlight w:val="none"/>
          <w:u w:val="single"/>
        </w:rPr>
        <w:t xml:space="preserve">         </w:t>
      </w:r>
      <w:r>
        <w:rPr>
          <w:rFonts w:hint="eastAsia" w:ascii="宋体" w:hAnsi="宋体" w:cs="宋体"/>
          <w:sz w:val="24"/>
          <w:szCs w:val="24"/>
          <w:highlight w:val="none"/>
        </w:rPr>
        <w:t>(姓名)代表我方</w:t>
      </w:r>
      <w:r>
        <w:rPr>
          <w:rFonts w:hint="eastAsia" w:ascii="宋体" w:hAnsi="宋体" w:cs="宋体"/>
          <w:sz w:val="24"/>
          <w:szCs w:val="24"/>
          <w:highlight w:val="none"/>
          <w:u w:val="single"/>
        </w:rPr>
        <w:t xml:space="preserve">           </w:t>
      </w:r>
      <w:r>
        <w:rPr>
          <w:rFonts w:hint="eastAsia" w:ascii="宋体" w:hAnsi="宋体" w:cs="宋体"/>
          <w:sz w:val="24"/>
          <w:szCs w:val="24"/>
          <w:highlight w:val="none"/>
        </w:rPr>
        <w:t>（磋商单位的名称）全权处理本项目磋商的有关事宜。</w:t>
      </w:r>
    </w:p>
    <w:p w14:paraId="3B9BAFF3">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2、我方愿意按照磋商文件规定的各项要求，向采购人提供所需的服务。</w:t>
      </w:r>
    </w:p>
    <w:p w14:paraId="110E418A">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3、一旦我方成交，我方将严格履行合同规定的责任和义务，保证于采购人要求的日期内完成项目的全部内容，并交付采购人验收、使用。</w:t>
      </w:r>
    </w:p>
    <w:p w14:paraId="1591FDC1">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4、如我公司成交，我公司承诺愿意按磋商文件规定缴纳履约保证金。</w:t>
      </w:r>
    </w:p>
    <w:p w14:paraId="6DFCF5FE">
      <w:pPr>
        <w:tabs>
          <w:tab w:val="left" w:pos="840"/>
        </w:tabs>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5、我方愿意提供贵方可能另外要求的、与磋商有关的文件资料，并保证我方已提供和将要提供的文件是真实的、准确的。</w:t>
      </w:r>
    </w:p>
    <w:p w14:paraId="20455F90">
      <w:pPr>
        <w:tabs>
          <w:tab w:val="left" w:pos="0"/>
          <w:tab w:val="left" w:pos="840"/>
        </w:tabs>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6、我方完全理解贵方不一定将合同授予最低报价的供应商。</w:t>
      </w:r>
    </w:p>
    <w:p w14:paraId="722B6142">
      <w:pPr>
        <w:tabs>
          <w:tab w:val="left" w:pos="0"/>
          <w:tab w:val="left" w:pos="840"/>
        </w:tabs>
        <w:spacing w:line="360" w:lineRule="auto"/>
        <w:jc w:val="left"/>
        <w:rPr>
          <w:rFonts w:ascii="宋体" w:hAnsi="宋体" w:cs="宋体"/>
          <w:sz w:val="24"/>
          <w:szCs w:val="24"/>
          <w:highlight w:val="none"/>
        </w:rPr>
      </w:pPr>
    </w:p>
    <w:p w14:paraId="0BA2F179">
      <w:pPr>
        <w:tabs>
          <w:tab w:val="left" w:pos="0"/>
          <w:tab w:val="left" w:pos="840"/>
        </w:tabs>
        <w:rPr>
          <w:rFonts w:ascii="宋体" w:hAnsi="宋体" w:cs="宋体"/>
          <w:sz w:val="24"/>
          <w:szCs w:val="24"/>
          <w:highlight w:val="none"/>
        </w:rPr>
      </w:pPr>
    </w:p>
    <w:p w14:paraId="29CF8EA0">
      <w:pPr>
        <w:tabs>
          <w:tab w:val="left" w:pos="0"/>
          <w:tab w:val="left" w:pos="840"/>
        </w:tabs>
        <w:rPr>
          <w:rFonts w:ascii="宋体" w:hAnsi="宋体" w:cs="宋体"/>
          <w:sz w:val="24"/>
          <w:szCs w:val="24"/>
          <w:highlight w:val="none"/>
        </w:rPr>
      </w:pPr>
    </w:p>
    <w:p w14:paraId="6FEDB9B2">
      <w:pPr>
        <w:tabs>
          <w:tab w:val="left" w:pos="0"/>
          <w:tab w:val="left" w:pos="840"/>
        </w:tabs>
        <w:rPr>
          <w:rFonts w:ascii="宋体" w:hAnsi="宋体" w:cs="宋体"/>
          <w:sz w:val="24"/>
          <w:szCs w:val="24"/>
          <w:highlight w:val="none"/>
        </w:rPr>
      </w:pPr>
    </w:p>
    <w:p w14:paraId="585B84DD">
      <w:pPr>
        <w:tabs>
          <w:tab w:val="left" w:pos="0"/>
          <w:tab w:val="left" w:pos="840"/>
        </w:tabs>
        <w:rPr>
          <w:rFonts w:ascii="宋体" w:hAnsi="宋体" w:cs="宋体"/>
          <w:sz w:val="24"/>
          <w:szCs w:val="24"/>
          <w:highlight w:val="none"/>
        </w:rPr>
      </w:pPr>
    </w:p>
    <w:p w14:paraId="4C1F2AC9">
      <w:pPr>
        <w:spacing w:line="360" w:lineRule="auto"/>
        <w:ind w:firstLine="4245" w:firstLineChars="1762"/>
        <w:rPr>
          <w:rFonts w:ascii="宋体" w:hAnsi="宋体" w:cs="宋体"/>
          <w:b/>
          <w:bCs/>
          <w:sz w:val="24"/>
          <w:szCs w:val="24"/>
          <w:highlight w:val="none"/>
          <w:u w:val="single"/>
        </w:rPr>
      </w:pPr>
      <w:r>
        <w:rPr>
          <w:rFonts w:hint="eastAsia" w:ascii="宋体" w:hAnsi="宋体" w:cs="宋体"/>
          <w:b/>
          <w:bCs/>
          <w:sz w:val="24"/>
          <w:szCs w:val="24"/>
          <w:highlight w:val="none"/>
        </w:rPr>
        <w:t>供应商</w:t>
      </w:r>
      <w:r>
        <w:rPr>
          <w:rFonts w:hint="eastAsia" w:ascii="宋体" w:hAnsi="宋体" w:cs="宋体"/>
          <w:b/>
          <w:bCs/>
          <w:sz w:val="24"/>
          <w:szCs w:val="24"/>
          <w:highlight w:val="none"/>
          <w:lang w:eastAsia="zh-CN"/>
        </w:rPr>
        <w:t>公章</w:t>
      </w:r>
      <w:r>
        <w:rPr>
          <w:rFonts w:hint="eastAsia" w:ascii="宋体" w:hAnsi="宋体" w:cs="宋体"/>
          <w:b/>
          <w:bCs/>
          <w:sz w:val="24"/>
          <w:szCs w:val="24"/>
          <w:highlight w:val="none"/>
        </w:rPr>
        <w:t>：</w:t>
      </w:r>
    </w:p>
    <w:p w14:paraId="436CC0BB">
      <w:pPr>
        <w:tabs>
          <w:tab w:val="left" w:pos="630"/>
        </w:tabs>
        <w:spacing w:line="360" w:lineRule="auto"/>
        <w:ind w:firstLine="4245" w:firstLineChars="1762"/>
        <w:rPr>
          <w:rFonts w:ascii="宋体" w:hAnsi="宋体" w:cs="宋体"/>
          <w:b/>
          <w:bCs/>
          <w:sz w:val="24"/>
          <w:szCs w:val="24"/>
          <w:highlight w:val="none"/>
        </w:rPr>
      </w:pPr>
      <w:r>
        <w:rPr>
          <w:rFonts w:hint="eastAsia" w:ascii="宋体" w:hAnsi="宋体" w:cs="宋体"/>
          <w:b/>
          <w:bCs/>
          <w:sz w:val="24"/>
          <w:szCs w:val="24"/>
          <w:highlight w:val="none"/>
        </w:rPr>
        <w:t>日期：</w:t>
      </w:r>
    </w:p>
    <w:p w14:paraId="41E0CE50">
      <w:pPr>
        <w:spacing w:before="0" w:after="0" w:line="560" w:lineRule="exact"/>
        <w:outlineLvl w:val="9"/>
        <w:rPr>
          <w:rFonts w:ascii="宋体" w:hAnsi="宋体" w:eastAsia="宋体" w:cs="宋体"/>
          <w:sz w:val="24"/>
          <w:szCs w:val="24"/>
          <w:highlight w:val="none"/>
        </w:rPr>
      </w:pPr>
      <w:r>
        <w:rPr>
          <w:rFonts w:hint="eastAsia" w:ascii="宋体" w:hAnsi="宋体" w:eastAsia="宋体" w:cs="宋体"/>
          <w:sz w:val="24"/>
          <w:szCs w:val="24"/>
          <w:highlight w:val="none"/>
        </w:rPr>
        <w:br w:type="page"/>
      </w:r>
      <w:bookmarkStart w:id="134" w:name="_Toc21593"/>
      <w:bookmarkStart w:id="135" w:name="_Toc30354"/>
      <w:bookmarkStart w:id="136" w:name="_Toc16627"/>
      <w:r>
        <w:rPr>
          <w:rFonts w:hint="eastAsia" w:ascii="宋体" w:hAnsi="宋体" w:eastAsia="宋体" w:cs="宋体"/>
          <w:b/>
          <w:bCs/>
          <w:sz w:val="24"/>
          <w:szCs w:val="24"/>
          <w:highlight w:val="none"/>
        </w:rPr>
        <w:t>附件</w:t>
      </w:r>
      <w:bookmarkEnd w:id="133"/>
      <w:r>
        <w:rPr>
          <w:rFonts w:hint="eastAsia" w:ascii="宋体" w:hAnsi="宋体" w:eastAsia="宋体" w:cs="宋体"/>
          <w:b/>
          <w:bCs/>
          <w:sz w:val="24"/>
          <w:szCs w:val="24"/>
          <w:highlight w:val="none"/>
        </w:rPr>
        <w:t>五</w:t>
      </w:r>
      <w:bookmarkEnd w:id="134"/>
      <w:bookmarkEnd w:id="135"/>
      <w:bookmarkEnd w:id="136"/>
    </w:p>
    <w:p w14:paraId="38255504">
      <w:pPr>
        <w:pStyle w:val="33"/>
        <w:ind w:firstLine="281"/>
        <w:rPr>
          <w:b/>
          <w:sz w:val="28"/>
          <w:szCs w:val="28"/>
          <w:highlight w:val="none"/>
        </w:rPr>
      </w:pPr>
      <w:bookmarkStart w:id="137" w:name="_Toc26949"/>
      <w:bookmarkStart w:id="138" w:name="_Toc10256"/>
      <w:bookmarkStart w:id="139" w:name="_Toc26881"/>
    </w:p>
    <w:p w14:paraId="6A46F008">
      <w:pPr>
        <w:pStyle w:val="33"/>
        <w:ind w:firstLine="2891" w:firstLineChars="1200"/>
        <w:outlineLvl w:val="1"/>
        <w:rPr>
          <w:rFonts w:ascii="宋体" w:hAnsi="宋体" w:cs="宋体"/>
          <w:b/>
          <w:szCs w:val="24"/>
          <w:highlight w:val="none"/>
          <w:lang w:val="zh-CN"/>
        </w:rPr>
      </w:pPr>
      <w:bookmarkStart w:id="140" w:name="_Hlk77793942"/>
      <w:r>
        <w:rPr>
          <w:rFonts w:hint="eastAsia" w:ascii="宋体" w:hAnsi="宋体" w:cs="宋体"/>
          <w:b/>
          <w:szCs w:val="24"/>
          <w:highlight w:val="none"/>
          <w:lang w:val="zh-CN"/>
        </w:rPr>
        <w:t>无重大违法记录声明函</w:t>
      </w:r>
    </w:p>
    <w:p w14:paraId="7D63D753">
      <w:pPr>
        <w:pStyle w:val="33"/>
        <w:ind w:firstLine="480" w:firstLineChars="200"/>
        <w:rPr>
          <w:rFonts w:ascii="宋体" w:hAnsi="宋体"/>
          <w:szCs w:val="24"/>
          <w:highlight w:val="none"/>
        </w:rPr>
      </w:pPr>
      <w:bookmarkStart w:id="141" w:name="_Hlk77793969"/>
      <w:r>
        <w:rPr>
          <w:rFonts w:hint="eastAsia" w:ascii="宋体" w:hAnsi="宋体"/>
          <w:szCs w:val="24"/>
          <w:highlight w:val="none"/>
        </w:rPr>
        <w:t>本公司郑重声明，根据《中华人民共和国政府采购法》及《中华人民共和国政府采购法实施条例》的规定，参加本次政府采购活动前三年内，本公司在经营活动中没有重大违法记录即没有因违法经营受到刑事处罚或者责令停产停业、吊销许可证或者执照、较大数额罚款等行政处罚。本公司未被政府采购监管部门限制参加政府采购活动或曾被政府采购监管部门限制参加政府采购活动但已不在限制期内。</w:t>
      </w:r>
    </w:p>
    <w:p w14:paraId="7999FC2C">
      <w:pPr>
        <w:spacing w:line="360" w:lineRule="auto"/>
        <w:ind w:firstLine="435"/>
        <w:rPr>
          <w:rFonts w:ascii="宋体" w:hAnsi="宋体"/>
          <w:sz w:val="24"/>
          <w:szCs w:val="24"/>
          <w:highlight w:val="none"/>
        </w:rPr>
      </w:pPr>
      <w:r>
        <w:rPr>
          <w:rFonts w:hint="eastAsia" w:ascii="宋体" w:hAnsi="宋体"/>
          <w:sz w:val="24"/>
          <w:szCs w:val="24"/>
          <w:highlight w:val="none"/>
        </w:rPr>
        <w:t>本公司对上述声明的真实性负责。如有虚假，将依法承担相应责任。</w:t>
      </w:r>
    </w:p>
    <w:p w14:paraId="4AD8DC36">
      <w:pPr>
        <w:spacing w:line="360" w:lineRule="auto"/>
        <w:ind w:firstLine="435"/>
        <w:rPr>
          <w:rFonts w:ascii="宋体" w:hAnsi="宋体"/>
          <w:sz w:val="24"/>
          <w:szCs w:val="24"/>
          <w:highlight w:val="none"/>
        </w:rPr>
      </w:pPr>
    </w:p>
    <w:p w14:paraId="4E9EBADF">
      <w:pPr>
        <w:spacing w:line="360" w:lineRule="auto"/>
        <w:ind w:firstLine="5428" w:firstLineChars="2262"/>
        <w:rPr>
          <w:rFonts w:ascii="宋体" w:hAnsi="宋体"/>
          <w:bCs/>
          <w:sz w:val="24"/>
          <w:szCs w:val="24"/>
          <w:highlight w:val="none"/>
          <w:u w:val="single"/>
        </w:rPr>
      </w:pPr>
      <w:r>
        <w:rPr>
          <w:rFonts w:hint="eastAsia" w:ascii="宋体" w:hAnsi="宋体"/>
          <w:bCs/>
          <w:sz w:val="24"/>
          <w:szCs w:val="24"/>
          <w:highlight w:val="none"/>
        </w:rPr>
        <w:t>供应商</w:t>
      </w:r>
      <w:r>
        <w:rPr>
          <w:rFonts w:hint="eastAsia" w:ascii="宋体" w:hAnsi="宋体"/>
          <w:bCs/>
          <w:sz w:val="24"/>
          <w:szCs w:val="24"/>
          <w:highlight w:val="none"/>
          <w:lang w:eastAsia="zh-CN"/>
        </w:rPr>
        <w:t>公章</w:t>
      </w:r>
      <w:r>
        <w:rPr>
          <w:rFonts w:hint="eastAsia" w:ascii="宋体" w:hAnsi="宋体"/>
          <w:bCs/>
          <w:sz w:val="24"/>
          <w:szCs w:val="24"/>
          <w:highlight w:val="none"/>
        </w:rPr>
        <w:t>：</w:t>
      </w:r>
    </w:p>
    <w:p w14:paraId="538ADD50">
      <w:pPr>
        <w:tabs>
          <w:tab w:val="left" w:pos="630"/>
        </w:tabs>
        <w:spacing w:line="360" w:lineRule="auto"/>
        <w:ind w:firstLine="5428" w:firstLineChars="2262"/>
        <w:rPr>
          <w:rFonts w:ascii="宋体" w:hAnsi="宋体"/>
          <w:bCs/>
          <w:sz w:val="24"/>
          <w:szCs w:val="24"/>
          <w:highlight w:val="none"/>
          <w:lang w:val="zh-CN"/>
        </w:rPr>
      </w:pPr>
      <w:r>
        <w:rPr>
          <w:rFonts w:hint="eastAsia" w:ascii="宋体" w:hAnsi="宋体"/>
          <w:bCs/>
          <w:sz w:val="24"/>
          <w:szCs w:val="24"/>
          <w:highlight w:val="none"/>
        </w:rPr>
        <w:t>日期：</w:t>
      </w:r>
    </w:p>
    <w:bookmarkEnd w:id="141"/>
    <w:p w14:paraId="352424BB">
      <w:pPr>
        <w:pStyle w:val="33"/>
        <w:ind w:firstLine="210"/>
        <w:rPr>
          <w:highlight w:val="none"/>
        </w:rPr>
      </w:pPr>
    </w:p>
    <w:p w14:paraId="760C0F6B">
      <w:pPr>
        <w:pStyle w:val="33"/>
        <w:ind w:firstLine="210"/>
        <w:rPr>
          <w:highlight w:val="none"/>
        </w:rPr>
      </w:pPr>
    </w:p>
    <w:p w14:paraId="7BA7DB68">
      <w:pPr>
        <w:tabs>
          <w:tab w:val="left" w:pos="630"/>
        </w:tabs>
        <w:spacing w:after="156" w:afterLines="50" w:line="360" w:lineRule="auto"/>
        <w:ind w:firstLine="3188" w:firstLineChars="1323"/>
        <w:outlineLvl w:val="1"/>
        <w:rPr>
          <w:rFonts w:ascii="宋体" w:hAnsi="宋体"/>
          <w:sz w:val="24"/>
          <w:szCs w:val="24"/>
          <w:highlight w:val="none"/>
        </w:rPr>
      </w:pPr>
      <w:r>
        <w:rPr>
          <w:rFonts w:hint="eastAsia" w:ascii="宋体" w:hAnsi="宋体"/>
          <w:b/>
          <w:sz w:val="24"/>
          <w:szCs w:val="24"/>
          <w:highlight w:val="none"/>
          <w:lang w:val="zh-CN"/>
        </w:rPr>
        <w:t>无不良信用记录承诺函</w:t>
      </w:r>
    </w:p>
    <w:p w14:paraId="6763E4B5">
      <w:pPr>
        <w:spacing w:line="360" w:lineRule="auto"/>
        <w:ind w:firstLine="435"/>
        <w:rPr>
          <w:rFonts w:ascii="宋体" w:hAnsi="宋体"/>
          <w:sz w:val="24"/>
          <w:szCs w:val="24"/>
          <w:highlight w:val="none"/>
        </w:rPr>
      </w:pPr>
      <w:bookmarkStart w:id="142" w:name="_Hlk77794010"/>
      <w:r>
        <w:rPr>
          <w:rFonts w:hint="eastAsia" w:ascii="宋体" w:hAnsi="宋体"/>
          <w:sz w:val="24"/>
          <w:szCs w:val="24"/>
          <w:highlight w:val="none"/>
        </w:rPr>
        <w:t>本公司郑重承诺，我公司无以下不良信用记录情形：</w:t>
      </w:r>
    </w:p>
    <w:p w14:paraId="4778C857">
      <w:pPr>
        <w:spacing w:line="360" w:lineRule="auto"/>
        <w:ind w:firstLine="435"/>
        <w:rPr>
          <w:rFonts w:ascii="宋体" w:hAnsi="宋体"/>
          <w:sz w:val="24"/>
          <w:szCs w:val="24"/>
          <w:highlight w:val="none"/>
        </w:rPr>
      </w:pPr>
      <w:r>
        <w:rPr>
          <w:rFonts w:hint="eastAsia" w:ascii="宋体" w:hAnsi="宋体"/>
          <w:sz w:val="24"/>
          <w:szCs w:val="24"/>
          <w:highlight w:val="none"/>
        </w:rPr>
        <w:t>1、公司被人民法院列入失信被执行人；</w:t>
      </w:r>
    </w:p>
    <w:p w14:paraId="35D10F98">
      <w:pPr>
        <w:spacing w:line="360" w:lineRule="auto"/>
        <w:ind w:firstLine="435"/>
        <w:rPr>
          <w:rFonts w:ascii="宋体" w:hAnsi="宋体"/>
          <w:sz w:val="24"/>
          <w:szCs w:val="24"/>
          <w:highlight w:val="none"/>
        </w:rPr>
      </w:pPr>
      <w:r>
        <w:rPr>
          <w:rFonts w:hint="eastAsia" w:ascii="宋体" w:hAnsi="宋体"/>
          <w:color w:val="000000" w:themeColor="text1"/>
          <w:sz w:val="24"/>
          <w:szCs w:val="24"/>
          <w:highlight w:val="none"/>
          <w14:textFill>
            <w14:solidFill>
              <w14:schemeClr w14:val="tx1"/>
            </w14:solidFill>
          </w14:textFill>
        </w:rPr>
        <w:t>2、</w:t>
      </w:r>
      <w:r>
        <w:rPr>
          <w:rFonts w:hint="eastAsia" w:ascii="宋体" w:hAnsi="宋体"/>
          <w:sz w:val="24"/>
          <w:szCs w:val="24"/>
          <w:highlight w:val="none"/>
        </w:rPr>
        <w:t>公司被市场监督管理部门列入</w:t>
      </w:r>
      <w:r>
        <w:rPr>
          <w:rFonts w:hint="eastAsia" w:ascii="宋体" w:hAnsi="宋体"/>
          <w:sz w:val="24"/>
          <w:szCs w:val="24"/>
          <w:highlight w:val="none"/>
          <w:lang w:eastAsia="zh-CN"/>
        </w:rPr>
        <w:t>严重违法失信企业</w:t>
      </w:r>
      <w:r>
        <w:rPr>
          <w:rFonts w:hint="eastAsia" w:ascii="宋体" w:hAnsi="宋体"/>
          <w:sz w:val="24"/>
          <w:szCs w:val="24"/>
          <w:highlight w:val="none"/>
        </w:rPr>
        <w:t>名录；</w:t>
      </w:r>
    </w:p>
    <w:p w14:paraId="5F367F38">
      <w:pPr>
        <w:spacing w:line="360" w:lineRule="auto"/>
        <w:ind w:firstLine="435"/>
        <w:rPr>
          <w:rFonts w:ascii="宋体" w:hAnsi="宋体"/>
          <w:sz w:val="24"/>
          <w:szCs w:val="24"/>
          <w:highlight w:val="none"/>
        </w:rPr>
      </w:pPr>
      <w:r>
        <w:rPr>
          <w:rFonts w:hint="eastAsia" w:ascii="宋体" w:hAnsi="宋体"/>
          <w:sz w:val="24"/>
          <w:szCs w:val="24"/>
          <w:highlight w:val="none"/>
        </w:rPr>
        <w:t>3、公司被税务部门列入重大税收违法案件当事人名单的；</w:t>
      </w:r>
    </w:p>
    <w:p w14:paraId="49EFDA63">
      <w:pPr>
        <w:spacing w:line="360" w:lineRule="auto"/>
        <w:ind w:firstLine="435"/>
        <w:rPr>
          <w:rFonts w:ascii="宋体" w:hAnsi="宋体"/>
          <w:sz w:val="24"/>
          <w:szCs w:val="24"/>
          <w:highlight w:val="none"/>
        </w:rPr>
      </w:pPr>
      <w:r>
        <w:rPr>
          <w:rFonts w:hint="eastAsia" w:ascii="宋体" w:hAnsi="宋体"/>
          <w:sz w:val="24"/>
          <w:szCs w:val="24"/>
          <w:highlight w:val="none"/>
        </w:rPr>
        <w:t>4、公司被政府采购监管部门列入政府采购严重违法失信行为记录名单。</w:t>
      </w:r>
    </w:p>
    <w:p w14:paraId="4F5545A3">
      <w:pPr>
        <w:spacing w:line="360" w:lineRule="auto"/>
        <w:ind w:firstLine="435"/>
        <w:rPr>
          <w:rFonts w:ascii="宋体" w:hAnsi="宋体" w:cs="宋体"/>
          <w:kern w:val="0"/>
          <w:sz w:val="32"/>
          <w:szCs w:val="32"/>
          <w:highlight w:val="none"/>
        </w:rPr>
      </w:pPr>
      <w:r>
        <w:rPr>
          <w:rFonts w:ascii="宋体" w:hAnsi="宋体"/>
          <w:sz w:val="24"/>
          <w:szCs w:val="24"/>
          <w:highlight w:val="none"/>
        </w:rPr>
        <w:t>我公司承诺</w:t>
      </w:r>
      <w:r>
        <w:rPr>
          <w:rFonts w:hint="eastAsia" w:ascii="宋体" w:hAnsi="宋体"/>
          <w:sz w:val="24"/>
          <w:szCs w:val="24"/>
          <w:highlight w:val="none"/>
        </w:rPr>
        <w:t>：</w:t>
      </w:r>
      <w:r>
        <w:rPr>
          <w:rFonts w:ascii="宋体" w:hAnsi="宋体"/>
          <w:sz w:val="24"/>
          <w:szCs w:val="24"/>
          <w:highlight w:val="none"/>
        </w:rPr>
        <w:t>合同签订前，若我公司具有不良信用记录情形，贵方可取消我公司</w:t>
      </w:r>
      <w:r>
        <w:rPr>
          <w:rFonts w:hint="eastAsia" w:ascii="宋体" w:hAnsi="宋体"/>
          <w:sz w:val="24"/>
          <w:szCs w:val="24"/>
          <w:highlight w:val="none"/>
        </w:rPr>
        <w:t>成交</w:t>
      </w:r>
      <w:r>
        <w:rPr>
          <w:rFonts w:ascii="宋体" w:hAnsi="宋体"/>
          <w:sz w:val="24"/>
          <w:szCs w:val="24"/>
          <w:highlight w:val="none"/>
        </w:rPr>
        <w:t>资格或者不授予合同，所有责任由我公司自行承担。同时，我公司愿意无条件接受监管部门的调查处理。</w:t>
      </w:r>
    </w:p>
    <w:p w14:paraId="0222D4D3">
      <w:pPr>
        <w:tabs>
          <w:tab w:val="left" w:pos="630"/>
        </w:tabs>
        <w:spacing w:line="360" w:lineRule="auto"/>
        <w:ind w:firstLine="630"/>
        <w:rPr>
          <w:rFonts w:ascii="宋体" w:hAnsi="宋体"/>
          <w:sz w:val="24"/>
          <w:szCs w:val="24"/>
          <w:highlight w:val="none"/>
        </w:rPr>
      </w:pPr>
    </w:p>
    <w:p w14:paraId="6A431B9D">
      <w:pPr>
        <w:spacing w:line="360" w:lineRule="auto"/>
        <w:ind w:firstLine="5428" w:firstLineChars="2262"/>
        <w:rPr>
          <w:rFonts w:ascii="宋体" w:hAnsi="宋体"/>
          <w:bCs/>
          <w:sz w:val="24"/>
          <w:szCs w:val="24"/>
          <w:highlight w:val="none"/>
          <w:u w:val="single"/>
        </w:rPr>
      </w:pPr>
      <w:r>
        <w:rPr>
          <w:rFonts w:hint="eastAsia" w:ascii="宋体" w:hAnsi="宋体"/>
          <w:bCs/>
          <w:sz w:val="24"/>
          <w:szCs w:val="24"/>
          <w:highlight w:val="none"/>
        </w:rPr>
        <w:t>供应商</w:t>
      </w:r>
      <w:r>
        <w:rPr>
          <w:rFonts w:hint="eastAsia" w:ascii="宋体" w:hAnsi="宋体"/>
          <w:bCs/>
          <w:sz w:val="24"/>
          <w:szCs w:val="24"/>
          <w:highlight w:val="none"/>
          <w:lang w:eastAsia="zh-CN"/>
        </w:rPr>
        <w:t>公章</w:t>
      </w:r>
      <w:r>
        <w:rPr>
          <w:rFonts w:hint="eastAsia" w:ascii="宋体" w:hAnsi="宋体"/>
          <w:bCs/>
          <w:sz w:val="24"/>
          <w:szCs w:val="24"/>
          <w:highlight w:val="none"/>
        </w:rPr>
        <w:t>：</w:t>
      </w:r>
    </w:p>
    <w:p w14:paraId="0FA6A895">
      <w:pPr>
        <w:tabs>
          <w:tab w:val="left" w:pos="630"/>
        </w:tabs>
        <w:spacing w:line="360" w:lineRule="auto"/>
        <w:ind w:firstLine="5428" w:firstLineChars="2262"/>
        <w:rPr>
          <w:rFonts w:ascii="宋体" w:hAnsi="宋体"/>
          <w:bCs/>
          <w:sz w:val="24"/>
          <w:szCs w:val="24"/>
          <w:highlight w:val="none"/>
          <w:u w:val="single"/>
        </w:rPr>
      </w:pPr>
      <w:r>
        <w:rPr>
          <w:rFonts w:hint="eastAsia" w:ascii="宋体" w:hAnsi="宋体"/>
          <w:bCs/>
          <w:sz w:val="24"/>
          <w:szCs w:val="24"/>
          <w:highlight w:val="none"/>
        </w:rPr>
        <w:t>日期：</w:t>
      </w:r>
      <w:bookmarkEnd w:id="137"/>
      <w:bookmarkEnd w:id="138"/>
      <w:bookmarkEnd w:id="139"/>
      <w:bookmarkEnd w:id="140"/>
      <w:bookmarkEnd w:id="142"/>
      <w:bookmarkStart w:id="143" w:name="_Toc363199274"/>
      <w:r>
        <w:rPr>
          <w:rFonts w:hint="eastAsia" w:ascii="宋体" w:hAnsi="宋体" w:cs="宋体"/>
          <w:sz w:val="24"/>
          <w:szCs w:val="24"/>
          <w:highlight w:val="none"/>
        </w:rPr>
        <w:br w:type="page"/>
      </w:r>
      <w:bookmarkStart w:id="144" w:name="_Toc18709"/>
      <w:bookmarkStart w:id="145" w:name="_Toc20743"/>
      <w:bookmarkStart w:id="146" w:name="_Toc17797"/>
      <w:r>
        <w:rPr>
          <w:rFonts w:hint="eastAsia" w:ascii="宋体" w:hAnsi="宋体" w:cs="宋体"/>
          <w:b/>
          <w:bCs/>
          <w:sz w:val="24"/>
          <w:szCs w:val="24"/>
          <w:highlight w:val="none"/>
        </w:rPr>
        <w:t>附件</w:t>
      </w:r>
      <w:bookmarkEnd w:id="143"/>
      <w:r>
        <w:rPr>
          <w:rFonts w:hint="eastAsia" w:ascii="宋体" w:hAnsi="宋体" w:cs="宋体"/>
          <w:b/>
          <w:bCs/>
          <w:sz w:val="24"/>
          <w:szCs w:val="24"/>
          <w:highlight w:val="none"/>
        </w:rPr>
        <w:t>六</w:t>
      </w:r>
      <w:bookmarkEnd w:id="144"/>
      <w:bookmarkEnd w:id="145"/>
      <w:bookmarkEnd w:id="146"/>
    </w:p>
    <w:p w14:paraId="7D8E33E4">
      <w:pPr>
        <w:pStyle w:val="3"/>
        <w:spacing w:before="0" w:after="0" w:line="560" w:lineRule="exact"/>
        <w:jc w:val="center"/>
        <w:rPr>
          <w:rFonts w:ascii="宋体" w:hAnsi="宋体" w:eastAsia="宋体" w:cs="宋体"/>
          <w:sz w:val="24"/>
          <w:szCs w:val="24"/>
          <w:highlight w:val="none"/>
          <w:lang w:val="zh-CN"/>
        </w:rPr>
      </w:pPr>
      <w:bookmarkStart w:id="147" w:name="_Toc18402"/>
      <w:bookmarkStart w:id="148" w:name="_Toc25238"/>
      <w:bookmarkStart w:id="149" w:name="_Toc30075"/>
      <w:r>
        <w:rPr>
          <w:rFonts w:hint="eastAsia" w:ascii="宋体" w:hAnsi="宋体" w:eastAsia="宋体" w:cs="宋体"/>
          <w:sz w:val="24"/>
          <w:szCs w:val="24"/>
          <w:highlight w:val="none"/>
          <w:lang w:val="zh-CN"/>
        </w:rPr>
        <w:t>响应情况表</w:t>
      </w:r>
      <w:bookmarkEnd w:id="147"/>
      <w:bookmarkEnd w:id="148"/>
      <w:bookmarkEnd w:id="149"/>
    </w:p>
    <w:p w14:paraId="61786D60">
      <w:pPr>
        <w:jc w:val="center"/>
        <w:rPr>
          <w:rFonts w:ascii="宋体" w:hAnsi="宋体" w:cs="宋体"/>
          <w:bCs/>
          <w:sz w:val="24"/>
          <w:szCs w:val="24"/>
          <w:highlight w:val="none"/>
          <w:lang w:val="zh-CN"/>
        </w:rPr>
      </w:pP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1" w:type="dxa"/>
          <w:bottom w:w="0" w:type="dxa"/>
          <w:right w:w="51" w:type="dxa"/>
        </w:tblCellMar>
      </w:tblPr>
      <w:tblGrid>
        <w:gridCol w:w="840"/>
        <w:gridCol w:w="1794"/>
        <w:gridCol w:w="2196"/>
        <w:gridCol w:w="2222"/>
        <w:gridCol w:w="1978"/>
      </w:tblGrid>
      <w:tr w14:paraId="00C4CC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70" w:hRule="atLeast"/>
          <w:jc w:val="center"/>
        </w:trPr>
        <w:tc>
          <w:tcPr>
            <w:tcW w:w="4830" w:type="dxa"/>
            <w:gridSpan w:val="3"/>
            <w:vAlign w:val="center"/>
          </w:tcPr>
          <w:p w14:paraId="7FA4297A">
            <w:pPr>
              <w:jc w:val="center"/>
              <w:rPr>
                <w:rFonts w:ascii="宋体" w:hAnsi="宋体" w:cs="宋体"/>
                <w:b/>
                <w:sz w:val="24"/>
                <w:szCs w:val="21"/>
                <w:highlight w:val="none"/>
              </w:rPr>
            </w:pPr>
            <w:bookmarkStart w:id="150" w:name="_Toc471299110"/>
            <w:r>
              <w:rPr>
                <w:rFonts w:hint="eastAsia" w:ascii="宋体" w:hAnsi="宋体" w:cs="宋体"/>
                <w:b/>
                <w:sz w:val="24"/>
                <w:szCs w:val="21"/>
                <w:highlight w:val="none"/>
              </w:rPr>
              <w:t>按磋商文件规定填写</w:t>
            </w:r>
          </w:p>
        </w:tc>
        <w:tc>
          <w:tcPr>
            <w:tcW w:w="4200" w:type="dxa"/>
            <w:gridSpan w:val="2"/>
            <w:vAlign w:val="center"/>
          </w:tcPr>
          <w:p w14:paraId="194119E9">
            <w:pPr>
              <w:jc w:val="center"/>
              <w:rPr>
                <w:rFonts w:ascii="宋体" w:hAnsi="宋体" w:cs="宋体"/>
                <w:b/>
                <w:sz w:val="24"/>
                <w:szCs w:val="21"/>
                <w:highlight w:val="none"/>
              </w:rPr>
            </w:pPr>
            <w:r>
              <w:rPr>
                <w:rFonts w:hint="eastAsia" w:ascii="宋体" w:hAnsi="宋体" w:cs="宋体"/>
                <w:b/>
                <w:sz w:val="24"/>
                <w:szCs w:val="21"/>
                <w:highlight w:val="none"/>
              </w:rPr>
              <w:t>按供应商所投内容填写</w:t>
            </w:r>
          </w:p>
        </w:tc>
      </w:tr>
      <w:tr w14:paraId="031E74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553" w:hRule="atLeast"/>
          <w:jc w:val="center"/>
        </w:trPr>
        <w:tc>
          <w:tcPr>
            <w:tcW w:w="840" w:type="dxa"/>
            <w:vAlign w:val="center"/>
          </w:tcPr>
          <w:p w14:paraId="691E11D2">
            <w:pPr>
              <w:jc w:val="center"/>
              <w:rPr>
                <w:rFonts w:ascii="宋体" w:hAnsi="宋体" w:cs="宋体"/>
                <w:b/>
                <w:sz w:val="24"/>
                <w:szCs w:val="21"/>
                <w:highlight w:val="none"/>
              </w:rPr>
            </w:pPr>
            <w:r>
              <w:rPr>
                <w:rFonts w:hint="eastAsia" w:ascii="宋体" w:hAnsi="宋体" w:cs="宋体"/>
                <w:b/>
                <w:sz w:val="24"/>
                <w:szCs w:val="21"/>
                <w:highlight w:val="none"/>
              </w:rPr>
              <w:t>序号</w:t>
            </w:r>
          </w:p>
        </w:tc>
        <w:tc>
          <w:tcPr>
            <w:tcW w:w="1794" w:type="dxa"/>
            <w:vAlign w:val="center"/>
          </w:tcPr>
          <w:p w14:paraId="3D094152">
            <w:pPr>
              <w:jc w:val="center"/>
              <w:rPr>
                <w:rFonts w:ascii="宋体" w:hAnsi="宋体" w:cs="宋体"/>
                <w:b/>
                <w:sz w:val="24"/>
                <w:szCs w:val="21"/>
                <w:highlight w:val="none"/>
              </w:rPr>
            </w:pPr>
            <w:r>
              <w:rPr>
                <w:rFonts w:hint="eastAsia" w:ascii="宋体" w:hAnsi="宋体" w:cs="宋体"/>
                <w:b/>
                <w:sz w:val="24"/>
                <w:szCs w:val="21"/>
                <w:highlight w:val="none"/>
              </w:rPr>
              <w:t>内容</w:t>
            </w:r>
          </w:p>
        </w:tc>
        <w:tc>
          <w:tcPr>
            <w:tcW w:w="2196" w:type="dxa"/>
            <w:vAlign w:val="center"/>
          </w:tcPr>
          <w:p w14:paraId="30CAEE0D">
            <w:pPr>
              <w:jc w:val="center"/>
              <w:rPr>
                <w:rFonts w:ascii="宋体" w:hAnsi="宋体" w:cs="宋体"/>
                <w:b/>
                <w:sz w:val="24"/>
                <w:szCs w:val="21"/>
                <w:highlight w:val="none"/>
              </w:rPr>
            </w:pPr>
            <w:r>
              <w:rPr>
                <w:rFonts w:hint="eastAsia" w:ascii="宋体" w:hAnsi="宋体" w:cs="宋体"/>
                <w:b/>
                <w:sz w:val="24"/>
                <w:szCs w:val="21"/>
                <w:highlight w:val="none"/>
              </w:rPr>
              <w:t>磋商文件要求</w:t>
            </w:r>
          </w:p>
        </w:tc>
        <w:tc>
          <w:tcPr>
            <w:tcW w:w="2222" w:type="dxa"/>
            <w:vAlign w:val="center"/>
          </w:tcPr>
          <w:p w14:paraId="2EB3A3E5">
            <w:pPr>
              <w:jc w:val="center"/>
              <w:rPr>
                <w:rFonts w:ascii="宋体" w:hAnsi="宋体" w:cs="宋体"/>
                <w:b/>
                <w:sz w:val="24"/>
                <w:szCs w:val="21"/>
                <w:highlight w:val="none"/>
              </w:rPr>
            </w:pPr>
            <w:r>
              <w:rPr>
                <w:rFonts w:hint="eastAsia" w:ascii="宋体" w:hAnsi="宋体" w:cs="宋体"/>
                <w:b/>
                <w:sz w:val="24"/>
                <w:szCs w:val="21"/>
                <w:highlight w:val="none"/>
              </w:rPr>
              <w:t>响应承诺</w:t>
            </w:r>
          </w:p>
        </w:tc>
        <w:tc>
          <w:tcPr>
            <w:tcW w:w="1978" w:type="dxa"/>
            <w:vAlign w:val="center"/>
          </w:tcPr>
          <w:p w14:paraId="77229595">
            <w:pPr>
              <w:jc w:val="center"/>
              <w:rPr>
                <w:rFonts w:ascii="宋体" w:hAnsi="宋体" w:cs="宋体"/>
                <w:b/>
                <w:sz w:val="24"/>
                <w:szCs w:val="21"/>
                <w:highlight w:val="none"/>
              </w:rPr>
            </w:pPr>
            <w:r>
              <w:rPr>
                <w:rFonts w:hint="eastAsia" w:ascii="宋体" w:hAnsi="宋体" w:cs="宋体"/>
                <w:b/>
                <w:sz w:val="24"/>
                <w:szCs w:val="21"/>
                <w:highlight w:val="none"/>
              </w:rPr>
              <w:t>偏离说明</w:t>
            </w:r>
          </w:p>
        </w:tc>
      </w:tr>
      <w:tr w14:paraId="418B61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vAlign w:val="center"/>
          </w:tcPr>
          <w:p w14:paraId="5903C82D">
            <w:pPr>
              <w:jc w:val="center"/>
              <w:rPr>
                <w:rFonts w:ascii="宋体" w:hAnsi="宋体" w:cs="宋体"/>
                <w:sz w:val="24"/>
                <w:szCs w:val="24"/>
                <w:highlight w:val="none"/>
              </w:rPr>
            </w:pPr>
            <w:r>
              <w:rPr>
                <w:rFonts w:hint="eastAsia" w:ascii="宋体" w:hAnsi="宋体" w:cs="宋体"/>
                <w:sz w:val="24"/>
                <w:szCs w:val="24"/>
                <w:highlight w:val="none"/>
              </w:rPr>
              <w:t>1</w:t>
            </w:r>
          </w:p>
        </w:tc>
        <w:tc>
          <w:tcPr>
            <w:tcW w:w="1794" w:type="dxa"/>
            <w:vAlign w:val="center"/>
          </w:tcPr>
          <w:p w14:paraId="393F0BC7">
            <w:pPr>
              <w:jc w:val="center"/>
              <w:rPr>
                <w:rFonts w:ascii="宋体" w:hAnsi="宋体" w:cs="宋体"/>
                <w:sz w:val="24"/>
                <w:szCs w:val="24"/>
                <w:highlight w:val="none"/>
              </w:rPr>
            </w:pPr>
            <w:r>
              <w:rPr>
                <w:rFonts w:hint="eastAsia" w:ascii="宋体" w:hAnsi="宋体" w:cs="宋体"/>
                <w:sz w:val="24"/>
                <w:szCs w:val="28"/>
                <w:highlight w:val="none"/>
              </w:rPr>
              <w:t>技术响应</w:t>
            </w:r>
          </w:p>
        </w:tc>
        <w:tc>
          <w:tcPr>
            <w:tcW w:w="2196" w:type="dxa"/>
            <w:vAlign w:val="center"/>
          </w:tcPr>
          <w:p w14:paraId="16C9377C">
            <w:pPr>
              <w:rPr>
                <w:rFonts w:ascii="宋体" w:hAnsi="宋体" w:cs="宋体"/>
                <w:sz w:val="24"/>
                <w:szCs w:val="24"/>
                <w:highlight w:val="none"/>
              </w:rPr>
            </w:pPr>
          </w:p>
        </w:tc>
        <w:tc>
          <w:tcPr>
            <w:tcW w:w="2222" w:type="dxa"/>
            <w:vAlign w:val="center"/>
          </w:tcPr>
          <w:p w14:paraId="3FC5D136">
            <w:pPr>
              <w:rPr>
                <w:rFonts w:ascii="宋体" w:hAnsi="宋体" w:cs="宋体"/>
                <w:sz w:val="24"/>
                <w:szCs w:val="24"/>
                <w:highlight w:val="none"/>
              </w:rPr>
            </w:pPr>
          </w:p>
        </w:tc>
        <w:tc>
          <w:tcPr>
            <w:tcW w:w="1978" w:type="dxa"/>
            <w:vAlign w:val="center"/>
          </w:tcPr>
          <w:p w14:paraId="79202BB3">
            <w:pPr>
              <w:rPr>
                <w:rFonts w:ascii="宋体" w:hAnsi="宋体" w:cs="宋体"/>
                <w:sz w:val="24"/>
                <w:szCs w:val="24"/>
                <w:highlight w:val="none"/>
              </w:rPr>
            </w:pPr>
          </w:p>
        </w:tc>
      </w:tr>
      <w:tr w14:paraId="22800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vAlign w:val="center"/>
          </w:tcPr>
          <w:p w14:paraId="31FDC6C7">
            <w:pPr>
              <w:jc w:val="center"/>
              <w:rPr>
                <w:rFonts w:ascii="宋体" w:hAnsi="宋体" w:cs="宋体"/>
                <w:sz w:val="24"/>
                <w:szCs w:val="24"/>
                <w:highlight w:val="none"/>
              </w:rPr>
            </w:pPr>
            <w:r>
              <w:rPr>
                <w:rFonts w:hint="eastAsia" w:ascii="宋体" w:hAnsi="宋体" w:cs="宋体"/>
                <w:sz w:val="24"/>
                <w:szCs w:val="24"/>
                <w:highlight w:val="none"/>
              </w:rPr>
              <w:t>2</w:t>
            </w:r>
          </w:p>
        </w:tc>
        <w:tc>
          <w:tcPr>
            <w:tcW w:w="1794" w:type="dxa"/>
            <w:vAlign w:val="center"/>
          </w:tcPr>
          <w:p w14:paraId="6BDF5A2B">
            <w:pPr>
              <w:jc w:val="center"/>
              <w:rPr>
                <w:rFonts w:ascii="宋体" w:hAnsi="宋体" w:cs="宋体"/>
                <w:sz w:val="24"/>
                <w:szCs w:val="24"/>
                <w:highlight w:val="none"/>
              </w:rPr>
            </w:pPr>
            <w:r>
              <w:rPr>
                <w:rFonts w:hint="eastAsia" w:ascii="宋体" w:hAnsi="宋体" w:cs="宋体"/>
                <w:sz w:val="24"/>
                <w:szCs w:val="28"/>
                <w:highlight w:val="none"/>
              </w:rPr>
              <w:t>付款响应</w:t>
            </w:r>
          </w:p>
        </w:tc>
        <w:tc>
          <w:tcPr>
            <w:tcW w:w="2196" w:type="dxa"/>
            <w:vAlign w:val="center"/>
          </w:tcPr>
          <w:p w14:paraId="1ACFC54A">
            <w:pPr>
              <w:rPr>
                <w:rFonts w:ascii="宋体" w:hAnsi="宋体" w:cs="宋体"/>
                <w:sz w:val="24"/>
                <w:szCs w:val="24"/>
                <w:highlight w:val="none"/>
              </w:rPr>
            </w:pPr>
          </w:p>
        </w:tc>
        <w:tc>
          <w:tcPr>
            <w:tcW w:w="2222" w:type="dxa"/>
            <w:vAlign w:val="center"/>
          </w:tcPr>
          <w:p w14:paraId="1E87DD76">
            <w:pPr>
              <w:rPr>
                <w:rFonts w:ascii="宋体" w:hAnsi="宋体" w:cs="宋体"/>
                <w:sz w:val="24"/>
                <w:szCs w:val="24"/>
                <w:highlight w:val="none"/>
              </w:rPr>
            </w:pPr>
          </w:p>
        </w:tc>
        <w:tc>
          <w:tcPr>
            <w:tcW w:w="1978" w:type="dxa"/>
            <w:vAlign w:val="center"/>
          </w:tcPr>
          <w:p w14:paraId="118F0F4D">
            <w:pPr>
              <w:rPr>
                <w:rFonts w:ascii="宋体" w:hAnsi="宋体" w:cs="宋体"/>
                <w:sz w:val="24"/>
                <w:szCs w:val="24"/>
                <w:highlight w:val="none"/>
              </w:rPr>
            </w:pPr>
          </w:p>
        </w:tc>
      </w:tr>
      <w:tr w14:paraId="12CB3C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vAlign w:val="center"/>
          </w:tcPr>
          <w:p w14:paraId="689D1C44">
            <w:pPr>
              <w:jc w:val="center"/>
              <w:rPr>
                <w:rFonts w:ascii="宋体" w:hAnsi="宋体" w:cs="宋体"/>
                <w:sz w:val="24"/>
                <w:szCs w:val="24"/>
                <w:highlight w:val="none"/>
              </w:rPr>
            </w:pPr>
            <w:r>
              <w:rPr>
                <w:rFonts w:hint="eastAsia" w:ascii="宋体" w:hAnsi="宋体" w:cs="宋体"/>
                <w:sz w:val="24"/>
                <w:szCs w:val="24"/>
                <w:highlight w:val="none"/>
              </w:rPr>
              <w:t>3</w:t>
            </w:r>
          </w:p>
        </w:tc>
        <w:tc>
          <w:tcPr>
            <w:tcW w:w="1794" w:type="dxa"/>
            <w:vAlign w:val="center"/>
          </w:tcPr>
          <w:p w14:paraId="6F519C34">
            <w:pPr>
              <w:jc w:val="center"/>
              <w:rPr>
                <w:rFonts w:ascii="宋体" w:hAnsi="宋体" w:cs="宋体"/>
                <w:sz w:val="24"/>
                <w:szCs w:val="24"/>
                <w:highlight w:val="none"/>
              </w:rPr>
            </w:pPr>
            <w:r>
              <w:rPr>
                <w:rFonts w:hint="eastAsia" w:ascii="宋体" w:hAnsi="宋体" w:cs="宋体"/>
                <w:sz w:val="24"/>
                <w:szCs w:val="28"/>
                <w:highlight w:val="none"/>
              </w:rPr>
              <w:t>服务期响应</w:t>
            </w:r>
          </w:p>
        </w:tc>
        <w:tc>
          <w:tcPr>
            <w:tcW w:w="2196" w:type="dxa"/>
            <w:vAlign w:val="center"/>
          </w:tcPr>
          <w:p w14:paraId="4C707601">
            <w:pPr>
              <w:rPr>
                <w:rFonts w:ascii="宋体" w:hAnsi="宋体" w:cs="宋体"/>
                <w:sz w:val="24"/>
                <w:szCs w:val="24"/>
                <w:highlight w:val="none"/>
              </w:rPr>
            </w:pPr>
          </w:p>
        </w:tc>
        <w:tc>
          <w:tcPr>
            <w:tcW w:w="2222" w:type="dxa"/>
            <w:vAlign w:val="center"/>
          </w:tcPr>
          <w:p w14:paraId="17E639B6">
            <w:pPr>
              <w:rPr>
                <w:rFonts w:ascii="宋体" w:hAnsi="宋体" w:cs="宋体"/>
                <w:sz w:val="24"/>
                <w:szCs w:val="24"/>
                <w:highlight w:val="none"/>
              </w:rPr>
            </w:pPr>
          </w:p>
        </w:tc>
        <w:tc>
          <w:tcPr>
            <w:tcW w:w="1978" w:type="dxa"/>
            <w:vAlign w:val="center"/>
          </w:tcPr>
          <w:p w14:paraId="5D478CDA">
            <w:pPr>
              <w:rPr>
                <w:rFonts w:ascii="宋体" w:hAnsi="宋体" w:cs="宋体"/>
                <w:sz w:val="24"/>
                <w:szCs w:val="24"/>
                <w:highlight w:val="none"/>
              </w:rPr>
            </w:pPr>
          </w:p>
        </w:tc>
      </w:tr>
      <w:tr w14:paraId="29AD4A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51" w:type="dxa"/>
            <w:bottom w:w="0" w:type="dxa"/>
            <w:right w:w="51" w:type="dxa"/>
          </w:tblCellMar>
        </w:tblPrEx>
        <w:trPr>
          <w:cantSplit/>
          <w:trHeight w:val="454" w:hRule="atLeast"/>
          <w:jc w:val="center"/>
        </w:trPr>
        <w:tc>
          <w:tcPr>
            <w:tcW w:w="840" w:type="dxa"/>
            <w:vAlign w:val="center"/>
          </w:tcPr>
          <w:p w14:paraId="43445F2A">
            <w:pPr>
              <w:jc w:val="center"/>
              <w:rPr>
                <w:rFonts w:ascii="宋体" w:hAnsi="宋体" w:cs="宋体"/>
                <w:sz w:val="24"/>
                <w:szCs w:val="24"/>
                <w:highlight w:val="none"/>
              </w:rPr>
            </w:pPr>
            <w:r>
              <w:rPr>
                <w:rFonts w:hint="eastAsia" w:ascii="宋体" w:hAnsi="宋体" w:cs="宋体"/>
                <w:sz w:val="24"/>
                <w:szCs w:val="24"/>
                <w:highlight w:val="none"/>
              </w:rPr>
              <w:t>4</w:t>
            </w:r>
          </w:p>
        </w:tc>
        <w:tc>
          <w:tcPr>
            <w:tcW w:w="1794" w:type="dxa"/>
            <w:vAlign w:val="center"/>
          </w:tcPr>
          <w:p w14:paraId="07D357A4">
            <w:pPr>
              <w:jc w:val="center"/>
              <w:rPr>
                <w:rFonts w:ascii="宋体" w:hAnsi="宋体" w:cs="宋体"/>
                <w:sz w:val="24"/>
                <w:szCs w:val="24"/>
                <w:highlight w:val="none"/>
              </w:rPr>
            </w:pPr>
            <w:r>
              <w:rPr>
                <w:rFonts w:hint="eastAsia" w:ascii="宋体" w:hAnsi="宋体" w:cs="宋体"/>
                <w:sz w:val="24"/>
                <w:szCs w:val="24"/>
                <w:highlight w:val="none"/>
              </w:rPr>
              <w:t>其他</w:t>
            </w:r>
          </w:p>
        </w:tc>
        <w:tc>
          <w:tcPr>
            <w:tcW w:w="2196" w:type="dxa"/>
            <w:vAlign w:val="center"/>
          </w:tcPr>
          <w:p w14:paraId="3466E2F4">
            <w:pPr>
              <w:rPr>
                <w:rFonts w:ascii="宋体" w:hAnsi="宋体" w:cs="宋体"/>
                <w:sz w:val="24"/>
                <w:szCs w:val="24"/>
                <w:highlight w:val="none"/>
              </w:rPr>
            </w:pPr>
          </w:p>
        </w:tc>
        <w:tc>
          <w:tcPr>
            <w:tcW w:w="2222" w:type="dxa"/>
            <w:vAlign w:val="center"/>
          </w:tcPr>
          <w:p w14:paraId="4BCA5728">
            <w:pPr>
              <w:rPr>
                <w:rFonts w:ascii="宋体" w:hAnsi="宋体" w:cs="宋体"/>
                <w:sz w:val="24"/>
                <w:szCs w:val="24"/>
                <w:highlight w:val="none"/>
              </w:rPr>
            </w:pPr>
          </w:p>
        </w:tc>
        <w:tc>
          <w:tcPr>
            <w:tcW w:w="1978" w:type="dxa"/>
            <w:vAlign w:val="center"/>
          </w:tcPr>
          <w:p w14:paraId="54C314C2">
            <w:pPr>
              <w:rPr>
                <w:rFonts w:ascii="宋体" w:hAnsi="宋体" w:cs="宋体"/>
                <w:sz w:val="24"/>
                <w:szCs w:val="24"/>
                <w:highlight w:val="none"/>
              </w:rPr>
            </w:pPr>
          </w:p>
        </w:tc>
      </w:tr>
    </w:tbl>
    <w:p w14:paraId="5A6E8D5C">
      <w:pPr>
        <w:snapToGrid w:val="0"/>
        <w:spacing w:line="360" w:lineRule="auto"/>
        <w:rPr>
          <w:rFonts w:ascii="宋体" w:hAnsi="宋体" w:cs="宋体"/>
          <w:sz w:val="24"/>
          <w:szCs w:val="24"/>
          <w:highlight w:val="none"/>
        </w:rPr>
      </w:pPr>
    </w:p>
    <w:p w14:paraId="36EF7A26">
      <w:pPr>
        <w:snapToGrid w:val="0"/>
        <w:spacing w:line="460" w:lineRule="exact"/>
        <w:rPr>
          <w:rFonts w:ascii="宋体" w:hAnsi="宋体" w:cs="宋体"/>
          <w:b/>
          <w:bCs/>
          <w:sz w:val="24"/>
          <w:szCs w:val="24"/>
          <w:highlight w:val="none"/>
        </w:rPr>
      </w:pPr>
    </w:p>
    <w:p w14:paraId="48CA0BD3">
      <w:pPr>
        <w:snapToGrid w:val="0"/>
        <w:spacing w:line="460" w:lineRule="exact"/>
        <w:rPr>
          <w:rFonts w:ascii="宋体" w:hAnsi="宋体" w:cs="宋体"/>
          <w:b/>
          <w:bCs/>
          <w:sz w:val="24"/>
          <w:szCs w:val="24"/>
          <w:highlight w:val="none"/>
        </w:rPr>
      </w:pPr>
      <w:r>
        <w:rPr>
          <w:rFonts w:hint="eastAsia" w:ascii="宋体" w:hAnsi="宋体" w:cs="宋体"/>
          <w:b/>
          <w:bCs/>
          <w:sz w:val="24"/>
          <w:szCs w:val="24"/>
          <w:highlight w:val="none"/>
        </w:rPr>
        <w:t>供应商</w:t>
      </w:r>
      <w:r>
        <w:rPr>
          <w:rFonts w:hint="eastAsia" w:ascii="宋体" w:hAnsi="宋体" w:cs="宋体"/>
          <w:b/>
          <w:bCs/>
          <w:sz w:val="24"/>
          <w:szCs w:val="24"/>
          <w:highlight w:val="none"/>
          <w:lang w:eastAsia="zh-CN"/>
        </w:rPr>
        <w:t>公章</w:t>
      </w:r>
      <w:r>
        <w:rPr>
          <w:rFonts w:hint="eastAsia" w:ascii="宋体" w:hAnsi="宋体" w:cs="宋体"/>
          <w:b/>
          <w:bCs/>
          <w:sz w:val="24"/>
          <w:szCs w:val="24"/>
          <w:highlight w:val="none"/>
        </w:rPr>
        <w:t>：</w:t>
      </w:r>
    </w:p>
    <w:p w14:paraId="57B98066">
      <w:pPr>
        <w:spacing w:line="460" w:lineRule="exact"/>
        <w:jc w:val="left"/>
        <w:rPr>
          <w:rFonts w:ascii="宋体" w:hAnsi="宋体" w:cs="宋体"/>
          <w:sz w:val="24"/>
          <w:szCs w:val="24"/>
          <w:highlight w:val="none"/>
        </w:rPr>
      </w:pPr>
      <w:r>
        <w:rPr>
          <w:rFonts w:hint="eastAsia" w:ascii="宋体" w:hAnsi="宋体" w:cs="宋体"/>
          <w:b/>
          <w:bCs/>
          <w:sz w:val="24"/>
          <w:szCs w:val="24"/>
          <w:highlight w:val="none"/>
        </w:rPr>
        <w:t>日期：   年   月   日</w:t>
      </w:r>
    </w:p>
    <w:p w14:paraId="10F6A7F5">
      <w:pPr>
        <w:spacing w:line="460" w:lineRule="exact"/>
        <w:rPr>
          <w:rFonts w:ascii="宋体" w:hAnsi="宋体" w:cs="宋体"/>
          <w:sz w:val="24"/>
          <w:szCs w:val="24"/>
          <w:highlight w:val="none"/>
        </w:rPr>
      </w:pPr>
    </w:p>
    <w:p w14:paraId="7E3BAC44">
      <w:pPr>
        <w:spacing w:line="500" w:lineRule="exact"/>
        <w:rPr>
          <w:rFonts w:ascii="宋体" w:hAnsi="宋体" w:cs="宋体"/>
          <w:sz w:val="24"/>
          <w:szCs w:val="24"/>
          <w:highlight w:val="none"/>
        </w:rPr>
      </w:pPr>
      <w:r>
        <w:rPr>
          <w:rFonts w:hint="eastAsia" w:ascii="宋体" w:hAnsi="宋体" w:cs="宋体"/>
          <w:b/>
          <w:bCs/>
          <w:sz w:val="24"/>
          <w:szCs w:val="24"/>
          <w:highlight w:val="none"/>
        </w:rPr>
        <w:t>注：</w:t>
      </w:r>
      <w:r>
        <w:rPr>
          <w:rFonts w:hint="eastAsia" w:ascii="宋体" w:hAnsi="宋体" w:cs="宋体"/>
          <w:sz w:val="24"/>
          <w:szCs w:val="28"/>
          <w:highlight w:val="none"/>
        </w:rPr>
        <w:t>提供的服务满足采购需求；付款及服务期等均应响应磋商文件要求。</w:t>
      </w:r>
      <w:r>
        <w:rPr>
          <w:rFonts w:hint="eastAsia" w:ascii="宋体" w:hAnsi="宋体" w:cs="宋体"/>
          <w:bCs/>
          <w:sz w:val="24"/>
          <w:szCs w:val="24"/>
          <w:highlight w:val="none"/>
        </w:rPr>
        <w:br w:type="page"/>
      </w:r>
      <w:bookmarkStart w:id="151" w:name="_Toc22037"/>
      <w:bookmarkStart w:id="152" w:name="_Toc29422"/>
      <w:r>
        <w:rPr>
          <w:rStyle w:val="95"/>
          <w:rFonts w:hint="eastAsia" w:ascii="宋体" w:hAnsi="宋体" w:eastAsia="宋体" w:cs="宋体"/>
          <w:b/>
          <w:bCs/>
          <w:sz w:val="24"/>
          <w:szCs w:val="24"/>
          <w:highlight w:val="none"/>
        </w:rPr>
        <w:t>附件</w:t>
      </w:r>
      <w:bookmarkEnd w:id="150"/>
      <w:r>
        <w:rPr>
          <w:rStyle w:val="95"/>
          <w:rFonts w:hint="eastAsia" w:ascii="宋体" w:hAnsi="宋体" w:eastAsia="宋体" w:cs="宋体"/>
          <w:b/>
          <w:bCs/>
          <w:sz w:val="24"/>
          <w:szCs w:val="24"/>
          <w:highlight w:val="none"/>
        </w:rPr>
        <w:t>七</w:t>
      </w:r>
      <w:bookmarkEnd w:id="151"/>
      <w:bookmarkEnd w:id="152"/>
    </w:p>
    <w:p w14:paraId="4F7498EA">
      <w:pPr>
        <w:pStyle w:val="3"/>
        <w:spacing w:before="0" w:after="0" w:line="560" w:lineRule="exact"/>
        <w:jc w:val="center"/>
        <w:rPr>
          <w:rFonts w:ascii="宋体" w:hAnsi="宋体" w:eastAsia="宋体" w:cs="宋体"/>
          <w:sz w:val="24"/>
          <w:szCs w:val="24"/>
          <w:highlight w:val="none"/>
        </w:rPr>
      </w:pPr>
      <w:bookmarkStart w:id="153" w:name="_Toc1624"/>
      <w:bookmarkStart w:id="154" w:name="_Toc18625"/>
      <w:bookmarkStart w:id="155" w:name="_Toc30527"/>
      <w:r>
        <w:rPr>
          <w:rFonts w:hint="eastAsia" w:ascii="宋体" w:hAnsi="宋体" w:eastAsia="宋体" w:cs="宋体"/>
          <w:sz w:val="24"/>
          <w:szCs w:val="24"/>
          <w:highlight w:val="none"/>
        </w:rPr>
        <w:t>相关服务承诺函</w:t>
      </w:r>
      <w:bookmarkEnd w:id="153"/>
      <w:bookmarkEnd w:id="154"/>
      <w:bookmarkEnd w:id="155"/>
    </w:p>
    <w:p w14:paraId="363C8FD0">
      <w:pPr>
        <w:jc w:val="center"/>
        <w:rPr>
          <w:rFonts w:ascii="宋体" w:hAnsi="宋体" w:cs="宋体"/>
          <w:sz w:val="24"/>
          <w:szCs w:val="28"/>
          <w:highlight w:val="none"/>
        </w:rPr>
      </w:pPr>
    </w:p>
    <w:p w14:paraId="07553B02">
      <w:pPr>
        <w:jc w:val="center"/>
        <w:rPr>
          <w:rFonts w:ascii="宋体" w:hAnsi="宋体" w:cs="宋体"/>
          <w:sz w:val="24"/>
          <w:szCs w:val="28"/>
          <w:highlight w:val="none"/>
        </w:rPr>
      </w:pPr>
      <w:r>
        <w:rPr>
          <w:rFonts w:hint="eastAsia" w:ascii="宋体" w:hAnsi="宋体" w:cs="宋体"/>
          <w:sz w:val="24"/>
          <w:szCs w:val="28"/>
          <w:highlight w:val="none"/>
        </w:rPr>
        <w:t>(供应商可自行制作格式)</w:t>
      </w:r>
    </w:p>
    <w:p w14:paraId="7471DA16">
      <w:pPr>
        <w:rPr>
          <w:rFonts w:ascii="宋体" w:hAnsi="宋体" w:cs="宋体"/>
          <w:highlight w:val="none"/>
        </w:rPr>
      </w:pPr>
    </w:p>
    <w:p w14:paraId="3C4D2C28">
      <w:pPr>
        <w:rPr>
          <w:rFonts w:ascii="宋体" w:hAnsi="宋体" w:cs="宋体"/>
          <w:highlight w:val="none"/>
        </w:rPr>
      </w:pPr>
    </w:p>
    <w:p w14:paraId="2DAC79A8">
      <w:pPr>
        <w:spacing w:before="120" w:after="120"/>
        <w:outlineLvl w:val="9"/>
        <w:rPr>
          <w:rFonts w:ascii="宋体" w:hAnsi="宋体" w:eastAsia="宋体" w:cs="宋体"/>
          <w:sz w:val="24"/>
          <w:szCs w:val="24"/>
          <w:highlight w:val="none"/>
        </w:rPr>
      </w:pPr>
      <w:bookmarkStart w:id="156" w:name="_Toc3177"/>
      <w:r>
        <w:rPr>
          <w:rFonts w:hint="eastAsia" w:ascii="宋体" w:hAnsi="宋体" w:eastAsia="宋体" w:cs="宋体"/>
          <w:sz w:val="24"/>
          <w:szCs w:val="24"/>
          <w:highlight w:val="none"/>
        </w:rPr>
        <w:br w:type="page"/>
      </w:r>
      <w:bookmarkStart w:id="157" w:name="_Toc2879"/>
      <w:bookmarkStart w:id="158" w:name="_Toc3796"/>
      <w:bookmarkStart w:id="159" w:name="_Toc13577"/>
      <w:r>
        <w:rPr>
          <w:rFonts w:hint="eastAsia" w:ascii="宋体" w:hAnsi="宋体" w:eastAsia="宋体" w:cs="宋体"/>
          <w:b/>
          <w:bCs/>
          <w:sz w:val="24"/>
          <w:szCs w:val="24"/>
          <w:highlight w:val="none"/>
        </w:rPr>
        <w:t>附件八</w:t>
      </w:r>
      <w:bookmarkEnd w:id="157"/>
      <w:bookmarkEnd w:id="158"/>
      <w:bookmarkEnd w:id="159"/>
    </w:p>
    <w:bookmarkEnd w:id="156"/>
    <w:p w14:paraId="42FCDE96">
      <w:pPr>
        <w:pStyle w:val="3"/>
        <w:spacing w:before="0" w:after="0" w:line="560" w:lineRule="exact"/>
        <w:jc w:val="center"/>
        <w:rPr>
          <w:rFonts w:ascii="宋体" w:hAnsi="宋体" w:eastAsia="宋体" w:cs="宋体"/>
          <w:sz w:val="24"/>
          <w:szCs w:val="24"/>
          <w:highlight w:val="none"/>
        </w:rPr>
      </w:pPr>
      <w:bookmarkStart w:id="160" w:name="_Toc20094"/>
      <w:bookmarkStart w:id="161" w:name="_Toc5794"/>
      <w:bookmarkStart w:id="162" w:name="_Toc23763"/>
      <w:bookmarkStart w:id="163" w:name="_Toc28327"/>
      <w:r>
        <w:rPr>
          <w:rFonts w:hint="eastAsia" w:ascii="宋体" w:hAnsi="宋体" w:eastAsia="宋体" w:cs="宋体"/>
          <w:sz w:val="24"/>
          <w:szCs w:val="24"/>
          <w:highlight w:val="none"/>
        </w:rPr>
        <w:t>联合体协议</w:t>
      </w:r>
      <w:bookmarkEnd w:id="160"/>
      <w:bookmarkEnd w:id="161"/>
      <w:bookmarkEnd w:id="162"/>
      <w:bookmarkEnd w:id="163"/>
    </w:p>
    <w:p w14:paraId="7F07390D">
      <w:pPr>
        <w:spacing w:line="360" w:lineRule="auto"/>
        <w:jc w:val="center"/>
        <w:rPr>
          <w:rFonts w:ascii="宋体" w:hAnsi="宋体" w:cs="宋体"/>
          <w:sz w:val="24"/>
          <w:szCs w:val="24"/>
          <w:highlight w:val="none"/>
        </w:rPr>
      </w:pPr>
      <w:r>
        <w:rPr>
          <w:rFonts w:hint="eastAsia" w:ascii="宋体" w:hAnsi="宋体" w:cs="宋体"/>
          <w:sz w:val="24"/>
          <w:szCs w:val="24"/>
          <w:highlight w:val="none"/>
        </w:rPr>
        <w:t>（不允许联合体参加磋商或未组成联合体的，不需此件）</w:t>
      </w:r>
    </w:p>
    <w:p w14:paraId="288D60D5">
      <w:pPr>
        <w:spacing w:line="360" w:lineRule="auto"/>
        <w:jc w:val="center"/>
        <w:rPr>
          <w:rFonts w:ascii="宋体" w:hAnsi="宋体" w:cs="宋体"/>
          <w:spacing w:val="-6"/>
          <w:sz w:val="24"/>
          <w:szCs w:val="24"/>
          <w:highlight w:val="none"/>
        </w:rPr>
      </w:pPr>
      <w:r>
        <w:rPr>
          <w:rFonts w:hint="eastAsia" w:ascii="宋体" w:hAnsi="宋体" w:cs="宋体"/>
          <w:spacing w:val="-6"/>
          <w:sz w:val="24"/>
          <w:szCs w:val="24"/>
          <w:highlight w:val="none"/>
        </w:rPr>
        <w:t>（允许联合体参加磋商且供应商为联合体的，请将此件加盖公章后制成扫描件上传）</w:t>
      </w:r>
    </w:p>
    <w:p w14:paraId="75FD8045">
      <w:pPr>
        <w:rPr>
          <w:rFonts w:ascii="宋体" w:hAnsi="宋体" w:cs="宋体"/>
          <w:sz w:val="24"/>
          <w:szCs w:val="24"/>
          <w:highlight w:val="none"/>
        </w:rPr>
      </w:pPr>
    </w:p>
    <w:p w14:paraId="644774FE">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u w:val="single"/>
        </w:rPr>
        <w:t xml:space="preserve">         </w:t>
      </w:r>
      <w:r>
        <w:rPr>
          <w:rFonts w:hint="eastAsia" w:ascii="宋体" w:hAnsi="宋体" w:cs="宋体"/>
          <w:sz w:val="24"/>
          <w:szCs w:val="24"/>
          <w:highlight w:val="none"/>
        </w:rPr>
        <w:t>与</w:t>
      </w:r>
      <w:r>
        <w:rPr>
          <w:rFonts w:hint="eastAsia" w:ascii="宋体" w:hAnsi="宋体" w:cs="宋体"/>
          <w:sz w:val="24"/>
          <w:szCs w:val="24"/>
          <w:highlight w:val="none"/>
          <w:u w:val="single"/>
        </w:rPr>
        <w:t xml:space="preserve">          </w:t>
      </w:r>
      <w:r>
        <w:rPr>
          <w:rFonts w:hint="eastAsia" w:ascii="宋体" w:hAnsi="宋体" w:cs="宋体"/>
          <w:sz w:val="24"/>
          <w:szCs w:val="24"/>
          <w:highlight w:val="none"/>
        </w:rPr>
        <w:t>就“</w:t>
      </w:r>
      <w:r>
        <w:rPr>
          <w:rFonts w:hint="eastAsia" w:ascii="宋体" w:hAnsi="宋体" w:cs="宋体"/>
          <w:sz w:val="24"/>
          <w:szCs w:val="24"/>
          <w:highlight w:val="none"/>
          <w:u w:val="single"/>
        </w:rPr>
        <w:t>某项目</w:t>
      </w:r>
      <w:r>
        <w:rPr>
          <w:rFonts w:hint="eastAsia" w:ascii="宋体" w:hAnsi="宋体" w:cs="宋体"/>
          <w:sz w:val="24"/>
          <w:szCs w:val="24"/>
          <w:highlight w:val="none"/>
        </w:rPr>
        <w:t>”（项目编号：</w:t>
      </w:r>
      <w:r>
        <w:rPr>
          <w:rFonts w:hint="eastAsia" w:ascii="宋体" w:hAnsi="宋体" w:cs="宋体"/>
          <w:sz w:val="24"/>
          <w:szCs w:val="24"/>
          <w:highlight w:val="none"/>
          <w:u w:val="single"/>
        </w:rPr>
        <w:t>某编号</w:t>
      </w:r>
      <w:r>
        <w:rPr>
          <w:rFonts w:hint="eastAsia" w:ascii="宋体" w:hAnsi="宋体" w:cs="宋体"/>
          <w:sz w:val="24"/>
          <w:szCs w:val="24"/>
          <w:highlight w:val="none"/>
        </w:rPr>
        <w:t>）的磋商有关事宜，经各方充分协商一致，达成如下协议：</w:t>
      </w:r>
    </w:p>
    <w:p w14:paraId="790912FF">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一、由</w:t>
      </w:r>
      <w:r>
        <w:rPr>
          <w:rFonts w:hint="eastAsia" w:ascii="宋体" w:hAnsi="宋体" w:cs="宋体"/>
          <w:sz w:val="24"/>
          <w:szCs w:val="24"/>
          <w:highlight w:val="none"/>
          <w:u w:val="single"/>
        </w:rPr>
        <w:t xml:space="preserve">    </w:t>
      </w:r>
      <w:r>
        <w:rPr>
          <w:rFonts w:hint="eastAsia" w:ascii="宋体" w:hAnsi="宋体" w:cs="宋体"/>
          <w:sz w:val="24"/>
          <w:szCs w:val="24"/>
          <w:highlight w:val="none"/>
        </w:rPr>
        <w:t>牵头，</w:t>
      </w:r>
      <w:r>
        <w:rPr>
          <w:rFonts w:hint="eastAsia" w:ascii="宋体" w:hAnsi="宋体" w:cs="宋体"/>
          <w:sz w:val="24"/>
          <w:szCs w:val="24"/>
          <w:highlight w:val="none"/>
          <w:u w:val="single"/>
        </w:rPr>
        <w:t xml:space="preserve">    </w:t>
      </w:r>
      <w:r>
        <w:rPr>
          <w:rFonts w:hint="eastAsia" w:ascii="宋体" w:hAnsi="宋体" w:cs="宋体"/>
          <w:sz w:val="24"/>
          <w:szCs w:val="24"/>
          <w:highlight w:val="none"/>
        </w:rPr>
        <w:t>参加，组成联合体共同进行本项目的磋商工作。</w:t>
      </w:r>
    </w:p>
    <w:p w14:paraId="3A5C2287">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二、</w:t>
      </w:r>
      <w:r>
        <w:rPr>
          <w:rFonts w:hint="eastAsia" w:ascii="宋体" w:hAnsi="宋体" w:cs="宋体"/>
          <w:sz w:val="24"/>
          <w:szCs w:val="24"/>
          <w:highlight w:val="none"/>
          <w:u w:val="single"/>
        </w:rPr>
        <w:t xml:space="preserve">          </w:t>
      </w:r>
      <w:r>
        <w:rPr>
          <w:rFonts w:hint="eastAsia" w:ascii="宋体" w:hAnsi="宋体" w:cs="宋体"/>
          <w:sz w:val="24"/>
          <w:szCs w:val="24"/>
          <w:highlight w:val="none"/>
        </w:rPr>
        <w:t>为本次磋商的主体方，联合体以主体方的名义参加磋商。主体方负责磋商项目的一切组织、协调工作，并授权磋商代理人以联合体的名义参加项目的磋商，代理人在响应文件提交、磋商、合同签订过程中所签署的一切文件和处理与本次采购的有关一切事物，联合体各方均予以承认并承担法律责任。联合体成交后，联合体各方共同与采购人签订合同，就本成交项目对采购人承担连带责任。</w:t>
      </w:r>
    </w:p>
    <w:p w14:paraId="60B7DD7B">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三、如联合体成交，则主体方负责</w:t>
      </w:r>
      <w:r>
        <w:rPr>
          <w:rFonts w:hint="eastAsia" w:ascii="宋体" w:hAnsi="宋体" w:cs="宋体"/>
          <w:sz w:val="24"/>
          <w:szCs w:val="24"/>
          <w:highlight w:val="none"/>
          <w:u w:val="single"/>
        </w:rPr>
        <w:t xml:space="preserve">                             </w:t>
      </w:r>
      <w:r>
        <w:rPr>
          <w:rFonts w:hint="eastAsia" w:ascii="宋体" w:hAnsi="宋体" w:cs="宋体"/>
          <w:sz w:val="24"/>
          <w:szCs w:val="24"/>
          <w:highlight w:val="none"/>
        </w:rPr>
        <w:t>等工作；参加方负责</w:t>
      </w:r>
      <w:r>
        <w:rPr>
          <w:rFonts w:hint="eastAsia" w:ascii="宋体" w:hAnsi="宋体" w:cs="宋体"/>
          <w:sz w:val="24"/>
          <w:szCs w:val="24"/>
          <w:highlight w:val="none"/>
          <w:u w:val="single"/>
        </w:rPr>
        <w:t xml:space="preserve">                     </w:t>
      </w:r>
      <w:r>
        <w:rPr>
          <w:rFonts w:hint="eastAsia" w:ascii="宋体" w:hAnsi="宋体" w:cs="宋体"/>
          <w:sz w:val="24"/>
          <w:szCs w:val="24"/>
          <w:highlight w:val="none"/>
        </w:rPr>
        <w:t xml:space="preserve"> 等工作。各方各自承担相应的责任。</w:t>
      </w:r>
    </w:p>
    <w:p w14:paraId="4E769DE8">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四、各方不得再以自己名义单独在本项目中参加磋商，也不得组成新的联合体参加本项目磋商。</w:t>
      </w:r>
    </w:p>
    <w:p w14:paraId="07C5487F">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五、参加方负责内容的合同金额占联合体协议合同总金额百分之</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45421429">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六、主体方负责内容的合同金额占联合体协议合同总金额百分之</w:t>
      </w:r>
      <w:r>
        <w:rPr>
          <w:rFonts w:hint="eastAsia" w:ascii="宋体" w:hAnsi="宋体" w:cs="宋体"/>
          <w:sz w:val="24"/>
          <w:szCs w:val="24"/>
          <w:highlight w:val="none"/>
          <w:u w:val="single"/>
        </w:rPr>
        <w:t xml:space="preserve">      </w:t>
      </w:r>
      <w:r>
        <w:rPr>
          <w:rFonts w:hint="eastAsia" w:ascii="宋体" w:hAnsi="宋体" w:cs="宋体"/>
          <w:sz w:val="24"/>
          <w:szCs w:val="24"/>
          <w:highlight w:val="none"/>
        </w:rPr>
        <w:t>。</w:t>
      </w:r>
    </w:p>
    <w:p w14:paraId="55ECCDE0">
      <w:pPr>
        <w:spacing w:line="360" w:lineRule="auto"/>
        <w:ind w:firstLine="480" w:firstLineChars="200"/>
        <w:outlineLvl w:val="9"/>
        <w:rPr>
          <w:rFonts w:ascii="宋体" w:hAnsi="宋体" w:cs="宋体"/>
          <w:sz w:val="24"/>
          <w:szCs w:val="24"/>
          <w:highlight w:val="none"/>
        </w:rPr>
      </w:pPr>
      <w:r>
        <w:rPr>
          <w:rFonts w:hint="eastAsia" w:ascii="宋体" w:hAnsi="宋体" w:cs="宋体"/>
          <w:sz w:val="24"/>
          <w:szCs w:val="24"/>
          <w:highlight w:val="none"/>
        </w:rPr>
        <w:t>七、未成交，本协议自动废止。</w:t>
      </w:r>
    </w:p>
    <w:p w14:paraId="178C593E">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主体方：（公章）                      参加方：（公章）</w:t>
      </w:r>
    </w:p>
    <w:p w14:paraId="1C217598">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 xml:space="preserve">法定代表人：                          法定代表人： </w:t>
      </w:r>
    </w:p>
    <w:p w14:paraId="2D913BD5">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地址：                                地址：</w:t>
      </w:r>
    </w:p>
    <w:p w14:paraId="646E2086">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邮编：                                邮编：</w:t>
      </w:r>
    </w:p>
    <w:p w14:paraId="1DA68A7A">
      <w:pPr>
        <w:spacing w:line="360" w:lineRule="auto"/>
        <w:ind w:firstLine="480" w:firstLineChars="200"/>
        <w:rPr>
          <w:rFonts w:ascii="宋体" w:hAnsi="宋体" w:cs="宋体"/>
          <w:sz w:val="24"/>
          <w:szCs w:val="24"/>
          <w:highlight w:val="none"/>
        </w:rPr>
      </w:pPr>
      <w:r>
        <w:rPr>
          <w:rFonts w:hint="eastAsia" w:ascii="宋体" w:hAnsi="宋体" w:cs="宋体"/>
          <w:sz w:val="24"/>
          <w:szCs w:val="24"/>
          <w:highlight w:val="none"/>
        </w:rPr>
        <w:t>电话：                                电话：</w:t>
      </w:r>
    </w:p>
    <w:p w14:paraId="5A146F09">
      <w:pPr>
        <w:rPr>
          <w:rFonts w:ascii="宋体" w:hAnsi="宋体" w:cs="宋体"/>
          <w:highlight w:val="none"/>
        </w:rPr>
      </w:pPr>
    </w:p>
    <w:p w14:paraId="1C32C481">
      <w:pPr>
        <w:jc w:val="right"/>
        <w:rPr>
          <w:rFonts w:ascii="宋体" w:hAnsi="宋体" w:cs="宋体"/>
          <w:b/>
          <w:bCs/>
          <w:sz w:val="24"/>
          <w:szCs w:val="24"/>
          <w:highlight w:val="none"/>
        </w:rPr>
      </w:pPr>
    </w:p>
    <w:p w14:paraId="7E367231">
      <w:pPr>
        <w:jc w:val="right"/>
        <w:rPr>
          <w:rFonts w:ascii="宋体" w:hAnsi="宋体" w:cs="宋体"/>
          <w:bCs/>
          <w:sz w:val="24"/>
          <w:szCs w:val="24"/>
          <w:highlight w:val="none"/>
        </w:rPr>
      </w:pPr>
      <w:r>
        <w:rPr>
          <w:rFonts w:hint="eastAsia" w:ascii="宋体" w:hAnsi="宋体" w:cs="宋体"/>
          <w:bCs/>
          <w:sz w:val="24"/>
          <w:szCs w:val="24"/>
          <w:highlight w:val="none"/>
        </w:rPr>
        <w:t>签订日期</w:t>
      </w:r>
      <w:r>
        <w:rPr>
          <w:rFonts w:hint="eastAsia" w:ascii="宋体" w:hAnsi="宋体" w:cs="宋体"/>
          <w:bCs/>
          <w:sz w:val="24"/>
          <w:szCs w:val="24"/>
          <w:highlight w:val="none"/>
          <w:lang w:eastAsia="zh-CN"/>
        </w:rPr>
        <w:t>：</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年</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月</w:t>
      </w:r>
      <w:r>
        <w:rPr>
          <w:rFonts w:hint="eastAsia" w:ascii="宋体" w:hAnsi="宋体" w:cs="宋体"/>
          <w:bCs/>
          <w:sz w:val="24"/>
          <w:szCs w:val="24"/>
          <w:highlight w:val="none"/>
          <w:u w:val="single"/>
        </w:rPr>
        <w:t xml:space="preserve">    </w:t>
      </w:r>
      <w:r>
        <w:rPr>
          <w:rFonts w:hint="eastAsia" w:ascii="宋体" w:hAnsi="宋体" w:cs="宋体"/>
          <w:bCs/>
          <w:sz w:val="24"/>
          <w:szCs w:val="24"/>
          <w:highlight w:val="none"/>
        </w:rPr>
        <w:t>日</w:t>
      </w:r>
    </w:p>
    <w:p w14:paraId="63ED8E9F">
      <w:pPr>
        <w:rPr>
          <w:rFonts w:ascii="宋体" w:hAnsi="宋体" w:cs="宋体"/>
          <w:b/>
          <w:bCs/>
          <w:sz w:val="24"/>
          <w:szCs w:val="24"/>
          <w:highlight w:val="none"/>
        </w:rPr>
      </w:pPr>
      <w:r>
        <w:rPr>
          <w:rFonts w:hint="eastAsia" w:ascii="宋体" w:hAnsi="宋体" w:cs="宋体"/>
          <w:b/>
          <w:bCs/>
          <w:sz w:val="24"/>
          <w:szCs w:val="24"/>
          <w:highlight w:val="none"/>
        </w:rPr>
        <w:br w:type="page"/>
      </w:r>
    </w:p>
    <w:p w14:paraId="10CF1F9E">
      <w:pPr>
        <w:outlineLvl w:val="9"/>
        <w:rPr>
          <w:rStyle w:val="95"/>
          <w:rFonts w:hint="eastAsia" w:ascii="宋体" w:hAnsi="宋体" w:eastAsia="宋体" w:cs="宋体"/>
          <w:sz w:val="24"/>
          <w:szCs w:val="24"/>
          <w:highlight w:val="none"/>
          <w:lang w:val="en-US" w:eastAsia="zh-CN"/>
        </w:rPr>
      </w:pPr>
      <w:bookmarkStart w:id="164" w:name="_Toc3162"/>
      <w:bookmarkStart w:id="165" w:name="_Toc2238"/>
      <w:bookmarkStart w:id="166" w:name="_Toc7571"/>
      <w:r>
        <w:rPr>
          <w:rStyle w:val="95"/>
          <w:rFonts w:hint="eastAsia" w:ascii="宋体" w:hAnsi="宋体" w:eastAsia="宋体" w:cs="宋体"/>
          <w:sz w:val="24"/>
          <w:szCs w:val="24"/>
          <w:highlight w:val="none"/>
        </w:rPr>
        <w:t>附件</w:t>
      </w:r>
      <w:bookmarkEnd w:id="164"/>
      <w:bookmarkEnd w:id="165"/>
      <w:r>
        <w:rPr>
          <w:rStyle w:val="95"/>
          <w:rFonts w:hint="eastAsia" w:ascii="宋体" w:hAnsi="宋体" w:cs="宋体"/>
          <w:sz w:val="24"/>
          <w:szCs w:val="24"/>
          <w:highlight w:val="none"/>
          <w:lang w:val="en-US" w:eastAsia="zh-CN"/>
        </w:rPr>
        <w:t>九</w:t>
      </w:r>
    </w:p>
    <w:bookmarkEnd w:id="166"/>
    <w:p w14:paraId="78B61DEB">
      <w:pPr>
        <w:spacing w:line="360" w:lineRule="auto"/>
        <w:rPr>
          <w:rFonts w:ascii="宋体" w:hAnsi="宋体" w:cs="宋体"/>
          <w:bCs/>
          <w:sz w:val="24"/>
          <w:szCs w:val="24"/>
          <w:highlight w:val="none"/>
        </w:rPr>
      </w:pPr>
      <w:bookmarkStart w:id="167" w:name="_Toc28850"/>
    </w:p>
    <w:p w14:paraId="513421A7">
      <w:pPr>
        <w:spacing w:line="360" w:lineRule="auto"/>
        <w:jc w:val="center"/>
        <w:outlineLvl w:val="1"/>
        <w:rPr>
          <w:rFonts w:ascii="宋体" w:hAnsi="宋体" w:cs="宋体"/>
          <w:bCs/>
          <w:sz w:val="24"/>
          <w:szCs w:val="24"/>
          <w:highlight w:val="none"/>
        </w:rPr>
      </w:pPr>
      <w:r>
        <w:rPr>
          <w:rFonts w:hint="eastAsia" w:ascii="宋体" w:hAnsi="宋体" w:cs="宋体"/>
          <w:bCs/>
          <w:sz w:val="24"/>
          <w:szCs w:val="24"/>
          <w:highlight w:val="none"/>
        </w:rPr>
        <w:t>磋商文件要求和供应商认为需要提供的其它说明和资料</w:t>
      </w:r>
      <w:bookmarkEnd w:id="167"/>
    </w:p>
    <w:p w14:paraId="0DDE71BB">
      <w:pPr>
        <w:jc w:val="center"/>
        <w:outlineLvl w:val="9"/>
        <w:rPr>
          <w:rFonts w:hint="eastAsia" w:ascii="宋体" w:hAnsi="宋体" w:cs="宋体"/>
          <w:bCs/>
          <w:sz w:val="24"/>
          <w:szCs w:val="24"/>
          <w:highlight w:val="none"/>
          <w:lang w:eastAsia="zh-CN"/>
        </w:rPr>
      </w:pPr>
      <w:r>
        <w:rPr>
          <w:rFonts w:hint="eastAsia" w:ascii="宋体" w:hAnsi="宋体" w:cs="宋体"/>
          <w:bCs/>
          <w:sz w:val="24"/>
          <w:szCs w:val="24"/>
          <w:highlight w:val="none"/>
          <w:lang w:eastAsia="zh-CN"/>
        </w:rPr>
        <w:t>（</w:t>
      </w:r>
      <w:r>
        <w:rPr>
          <w:rFonts w:hint="eastAsia" w:ascii="宋体" w:hAnsi="宋体" w:cs="宋体"/>
          <w:bCs/>
          <w:sz w:val="24"/>
          <w:szCs w:val="24"/>
          <w:highlight w:val="none"/>
          <w:lang w:val="en-US" w:eastAsia="zh-CN"/>
        </w:rPr>
        <w:t>按照评审顺序依次编入投标文件</w:t>
      </w:r>
      <w:r>
        <w:rPr>
          <w:rFonts w:hint="eastAsia" w:ascii="宋体" w:hAnsi="宋体" w:cs="宋体"/>
          <w:bCs/>
          <w:sz w:val="24"/>
          <w:szCs w:val="24"/>
          <w:highlight w:val="none"/>
          <w:lang w:eastAsia="zh-CN"/>
        </w:rPr>
        <w:t>）</w:t>
      </w:r>
    </w:p>
    <w:p w14:paraId="2813EC05">
      <w:pPr>
        <w:rPr>
          <w:rFonts w:hint="eastAsia" w:ascii="宋体" w:hAnsi="宋体" w:cs="宋体"/>
          <w:bCs/>
          <w:sz w:val="24"/>
          <w:szCs w:val="24"/>
          <w:highlight w:val="none"/>
          <w:lang w:eastAsia="zh-CN"/>
        </w:rPr>
      </w:pPr>
      <w:r>
        <w:rPr>
          <w:rFonts w:hint="eastAsia" w:ascii="宋体" w:hAnsi="宋体" w:cs="宋体"/>
          <w:bCs/>
          <w:sz w:val="24"/>
          <w:szCs w:val="24"/>
          <w:highlight w:val="none"/>
          <w:lang w:eastAsia="zh-CN"/>
        </w:rPr>
        <w:br w:type="page"/>
      </w:r>
    </w:p>
    <w:p w14:paraId="6F287BF5">
      <w:pPr>
        <w:adjustRightInd w:val="0"/>
        <w:snapToGrid w:val="0"/>
        <w:spacing w:line="320" w:lineRule="auto"/>
        <w:jc w:val="center"/>
        <w:rPr>
          <w:rFonts w:hint="eastAsia" w:ascii="宋体" w:hAnsi="宋体" w:eastAsia="宋体" w:cs="宋体"/>
          <w:b/>
          <w:bCs/>
          <w:color w:val="auto"/>
          <w:kern w:val="2"/>
          <w:sz w:val="24"/>
          <w:szCs w:val="24"/>
          <w:highlight w:val="none"/>
          <w:lang w:val="en-US" w:eastAsia="zh-CN" w:bidi="ar-SA"/>
        </w:rPr>
      </w:pPr>
      <w:r>
        <w:rPr>
          <w:rFonts w:hint="eastAsia" w:ascii="宋体" w:hAnsi="宋体" w:eastAsia="宋体" w:cs="宋体"/>
          <w:b/>
          <w:bCs/>
          <w:color w:val="auto"/>
          <w:kern w:val="2"/>
          <w:sz w:val="24"/>
          <w:szCs w:val="24"/>
          <w:highlight w:val="none"/>
          <w:lang w:val="en-US" w:eastAsia="zh-CN" w:bidi="ar-SA"/>
        </w:rPr>
        <w:t>最终磋商报价书</w:t>
      </w:r>
    </w:p>
    <w:tbl>
      <w:tblPr>
        <w:tblStyle w:val="34"/>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71"/>
        <w:gridCol w:w="6667"/>
      </w:tblGrid>
      <w:tr w14:paraId="29B94E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85" w:hRule="atLeast"/>
          <w:jc w:val="center"/>
        </w:trPr>
        <w:tc>
          <w:tcPr>
            <w:tcW w:w="2471" w:type="dxa"/>
            <w:tcBorders>
              <w:top w:val="single" w:color="auto" w:sz="4" w:space="0"/>
              <w:bottom w:val="single" w:color="auto" w:sz="4" w:space="0"/>
              <w:right w:val="single" w:color="auto" w:sz="4" w:space="0"/>
            </w:tcBorders>
            <w:noWrap w:val="0"/>
            <w:vAlign w:val="center"/>
          </w:tcPr>
          <w:p w14:paraId="5E7061D7">
            <w:pPr>
              <w:widowControl/>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rPr>
              <w:t>项目名称</w:t>
            </w:r>
          </w:p>
        </w:tc>
        <w:tc>
          <w:tcPr>
            <w:tcW w:w="6667" w:type="dxa"/>
            <w:tcBorders>
              <w:top w:val="single" w:color="auto" w:sz="4" w:space="0"/>
              <w:bottom w:val="single" w:color="auto" w:sz="4" w:space="0"/>
              <w:right w:val="single" w:color="auto" w:sz="4" w:space="0"/>
            </w:tcBorders>
            <w:noWrap w:val="0"/>
            <w:vAlign w:val="center"/>
          </w:tcPr>
          <w:p w14:paraId="5B3FD8DE">
            <w:pPr>
              <w:spacing w:line="360" w:lineRule="exact"/>
              <w:jc w:val="center"/>
              <w:rPr>
                <w:rFonts w:hint="eastAsia" w:ascii="宋体" w:hAnsi="宋体"/>
                <w:bCs/>
                <w:color w:val="auto"/>
                <w:sz w:val="24"/>
                <w:szCs w:val="24"/>
                <w:highlight w:val="none"/>
                <w:u w:val="single"/>
              </w:rPr>
            </w:pPr>
          </w:p>
        </w:tc>
      </w:tr>
      <w:tr w14:paraId="60DAE84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4CB84E21">
            <w:pPr>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rPr>
              <w:t>项目编号</w:t>
            </w:r>
          </w:p>
        </w:tc>
        <w:tc>
          <w:tcPr>
            <w:tcW w:w="6667" w:type="dxa"/>
            <w:tcBorders>
              <w:top w:val="nil"/>
            </w:tcBorders>
            <w:noWrap w:val="0"/>
            <w:vAlign w:val="center"/>
          </w:tcPr>
          <w:p w14:paraId="397322E4">
            <w:pPr>
              <w:jc w:val="center"/>
              <w:rPr>
                <w:rFonts w:hint="eastAsia" w:ascii="宋体" w:hAnsi="宋体"/>
                <w:bCs/>
                <w:color w:val="auto"/>
                <w:sz w:val="24"/>
                <w:szCs w:val="24"/>
                <w:highlight w:val="none"/>
              </w:rPr>
            </w:pPr>
          </w:p>
        </w:tc>
      </w:tr>
      <w:tr w14:paraId="44124C0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0B9DE3B2">
            <w:pPr>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磋商</w:t>
            </w:r>
            <w:r>
              <w:rPr>
                <w:rFonts w:hint="eastAsia" w:ascii="宋体" w:hAnsi="宋体"/>
                <w:b/>
                <w:color w:val="auto"/>
                <w:sz w:val="24"/>
                <w:szCs w:val="24"/>
                <w:highlight w:val="none"/>
              </w:rPr>
              <w:t>供应商全称</w:t>
            </w:r>
          </w:p>
        </w:tc>
        <w:tc>
          <w:tcPr>
            <w:tcW w:w="6667" w:type="dxa"/>
            <w:tcBorders>
              <w:top w:val="nil"/>
            </w:tcBorders>
            <w:noWrap w:val="0"/>
            <w:vAlign w:val="center"/>
          </w:tcPr>
          <w:p w14:paraId="675AAE64">
            <w:pPr>
              <w:spacing w:line="360" w:lineRule="auto"/>
              <w:rPr>
                <w:rFonts w:hint="eastAsia" w:ascii="宋体" w:hAnsi="宋体"/>
                <w:bCs/>
                <w:color w:val="auto"/>
                <w:sz w:val="24"/>
                <w:szCs w:val="24"/>
                <w:highlight w:val="none"/>
              </w:rPr>
            </w:pPr>
          </w:p>
        </w:tc>
      </w:tr>
      <w:tr w14:paraId="69E3F5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10" w:hRule="atLeast"/>
          <w:jc w:val="center"/>
        </w:trPr>
        <w:tc>
          <w:tcPr>
            <w:tcW w:w="2471" w:type="dxa"/>
            <w:tcBorders>
              <w:top w:val="nil"/>
            </w:tcBorders>
            <w:noWrap w:val="0"/>
            <w:vAlign w:val="center"/>
          </w:tcPr>
          <w:p w14:paraId="2A36E955">
            <w:pPr>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磋商</w:t>
            </w:r>
            <w:r>
              <w:rPr>
                <w:rFonts w:hint="eastAsia" w:ascii="宋体" w:hAnsi="宋体"/>
                <w:b/>
                <w:color w:val="auto"/>
                <w:sz w:val="24"/>
                <w:szCs w:val="24"/>
                <w:highlight w:val="none"/>
              </w:rPr>
              <w:t>范围</w:t>
            </w:r>
          </w:p>
        </w:tc>
        <w:tc>
          <w:tcPr>
            <w:tcW w:w="6667" w:type="dxa"/>
            <w:tcBorders>
              <w:top w:val="nil"/>
            </w:tcBorders>
            <w:noWrap w:val="0"/>
            <w:vAlign w:val="center"/>
          </w:tcPr>
          <w:p w14:paraId="2CBBA4A2">
            <w:pPr>
              <w:widowControl/>
              <w:spacing w:line="360" w:lineRule="exact"/>
              <w:rPr>
                <w:rFonts w:hint="eastAsia" w:ascii="宋体" w:hAnsi="宋体"/>
                <w:bCs/>
                <w:color w:val="auto"/>
                <w:sz w:val="24"/>
                <w:szCs w:val="24"/>
                <w:highlight w:val="none"/>
              </w:rPr>
            </w:pPr>
            <w:r>
              <w:rPr>
                <w:rFonts w:hint="eastAsia" w:ascii="宋体" w:hAnsi="宋体"/>
                <w:bCs/>
                <w:color w:val="auto"/>
                <w:sz w:val="24"/>
                <w:szCs w:val="24"/>
                <w:highlight w:val="none"/>
              </w:rPr>
              <w:t>第</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 xml:space="preserve">           </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rPr>
              <w:t>包(不分包项目填写“全部”)</w:t>
            </w:r>
          </w:p>
        </w:tc>
      </w:tr>
      <w:tr w14:paraId="5388177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319" w:hRule="atLeast"/>
          <w:jc w:val="center"/>
        </w:trPr>
        <w:tc>
          <w:tcPr>
            <w:tcW w:w="2471" w:type="dxa"/>
            <w:tcBorders>
              <w:top w:val="nil"/>
            </w:tcBorders>
            <w:noWrap w:val="0"/>
            <w:vAlign w:val="center"/>
          </w:tcPr>
          <w:p w14:paraId="40271393">
            <w:pPr>
              <w:spacing w:line="360" w:lineRule="exact"/>
              <w:jc w:val="center"/>
              <w:rPr>
                <w:rFonts w:hint="eastAsia" w:ascii="宋体" w:hAnsi="宋体"/>
                <w:b/>
                <w:color w:val="auto"/>
                <w:sz w:val="24"/>
                <w:szCs w:val="24"/>
                <w:highlight w:val="none"/>
              </w:rPr>
            </w:pPr>
            <w:r>
              <w:rPr>
                <w:rFonts w:hint="eastAsia" w:ascii="宋体" w:hAnsi="宋体"/>
                <w:b/>
                <w:color w:val="auto"/>
                <w:sz w:val="24"/>
                <w:szCs w:val="24"/>
                <w:highlight w:val="none"/>
                <w:lang w:val="en-US" w:eastAsia="zh-CN"/>
              </w:rPr>
              <w:t>磋商</w:t>
            </w:r>
            <w:r>
              <w:rPr>
                <w:rFonts w:hint="eastAsia" w:ascii="宋体" w:hAnsi="宋体"/>
                <w:b/>
                <w:color w:val="auto"/>
                <w:sz w:val="24"/>
                <w:szCs w:val="24"/>
                <w:highlight w:val="none"/>
              </w:rPr>
              <w:t>报价</w:t>
            </w:r>
          </w:p>
          <w:p w14:paraId="20703B43">
            <w:pPr>
              <w:spacing w:line="360" w:lineRule="exact"/>
              <w:jc w:val="center"/>
              <w:rPr>
                <w:rFonts w:ascii="宋体" w:hAnsi="宋体"/>
                <w:b/>
                <w:color w:val="auto"/>
                <w:sz w:val="24"/>
                <w:szCs w:val="24"/>
                <w:highlight w:val="none"/>
              </w:rPr>
            </w:pPr>
            <w:r>
              <w:rPr>
                <w:rFonts w:hint="eastAsia" w:ascii="宋体" w:hAnsi="宋体"/>
                <w:b/>
                <w:color w:val="auto"/>
                <w:sz w:val="24"/>
                <w:szCs w:val="24"/>
                <w:highlight w:val="none"/>
              </w:rPr>
              <w:t>（人民币）</w:t>
            </w:r>
          </w:p>
        </w:tc>
        <w:tc>
          <w:tcPr>
            <w:tcW w:w="6667" w:type="dxa"/>
            <w:tcBorders>
              <w:top w:val="nil"/>
            </w:tcBorders>
            <w:noWrap w:val="0"/>
            <w:vAlign w:val="center"/>
          </w:tcPr>
          <w:p w14:paraId="7E8E0E1D">
            <w:pPr>
              <w:spacing w:line="360" w:lineRule="auto"/>
              <w:ind w:right="-670"/>
              <w:rPr>
                <w:rFonts w:hint="default" w:ascii="宋体" w:hAnsi="宋体" w:eastAsia="宋体"/>
                <w:bCs/>
                <w:color w:val="auto"/>
                <w:sz w:val="24"/>
                <w:szCs w:val="24"/>
                <w:highlight w:val="none"/>
                <w:u w:val="single"/>
                <w:lang w:val="en-US" w:eastAsia="zh-CN"/>
              </w:rPr>
            </w:pPr>
            <w:r>
              <w:rPr>
                <w:rFonts w:hint="eastAsia" w:ascii="宋体" w:hAnsi="宋体"/>
                <w:bCs/>
                <w:color w:val="auto"/>
                <w:sz w:val="24"/>
                <w:szCs w:val="24"/>
                <w:highlight w:val="none"/>
              </w:rPr>
              <w:t>大写：</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 xml:space="preserve">           </w:t>
            </w:r>
            <w:r>
              <w:rPr>
                <w:rFonts w:hint="eastAsia" w:ascii="宋体" w:hAnsi="宋体"/>
                <w:bCs/>
                <w:color w:val="auto"/>
                <w:sz w:val="24"/>
                <w:szCs w:val="24"/>
                <w:highlight w:val="none"/>
                <w:u w:val="single"/>
              </w:rPr>
              <w:t xml:space="preserve">   </w:t>
            </w:r>
            <w:r>
              <w:rPr>
                <w:rFonts w:hint="eastAsia" w:ascii="宋体" w:hAnsi="宋体"/>
                <w:bCs/>
                <w:color w:val="auto"/>
                <w:sz w:val="24"/>
                <w:szCs w:val="24"/>
                <w:highlight w:val="none"/>
                <w:u w:val="single"/>
                <w:lang w:val="en-US" w:eastAsia="zh-CN"/>
              </w:rPr>
              <w:t>元/年</w:t>
            </w:r>
          </w:p>
          <w:p w14:paraId="14CB0B11">
            <w:pPr>
              <w:spacing w:line="360" w:lineRule="auto"/>
              <w:ind w:right="-670"/>
              <w:rPr>
                <w:rFonts w:hint="default" w:ascii="宋体" w:hAnsi="宋体" w:eastAsia="宋体"/>
                <w:bCs/>
                <w:color w:val="auto"/>
                <w:sz w:val="24"/>
                <w:szCs w:val="24"/>
                <w:highlight w:val="none"/>
                <w:u w:val="single"/>
                <w:lang w:val="en-US" w:eastAsia="zh-CN"/>
              </w:rPr>
            </w:pPr>
            <w:r>
              <w:rPr>
                <w:rFonts w:hint="eastAsia" w:ascii="宋体" w:hAnsi="宋体"/>
                <w:bCs/>
                <w:color w:val="auto"/>
                <w:sz w:val="24"/>
                <w:szCs w:val="24"/>
                <w:highlight w:val="none"/>
                <w:lang w:eastAsia="zh-CN"/>
              </w:rPr>
              <w:t>小写：</w:t>
            </w:r>
            <w:r>
              <w:rPr>
                <w:rFonts w:hint="eastAsia" w:ascii="宋体" w:hAnsi="宋体"/>
                <w:bCs/>
                <w:color w:val="auto"/>
                <w:sz w:val="24"/>
                <w:szCs w:val="24"/>
                <w:highlight w:val="none"/>
                <w:u w:val="single"/>
                <w:lang w:val="en-US" w:eastAsia="zh-CN"/>
              </w:rPr>
              <w:t xml:space="preserve">                    元/年</w:t>
            </w:r>
          </w:p>
        </w:tc>
      </w:tr>
      <w:tr w14:paraId="2D547E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08" w:hRule="atLeast"/>
          <w:jc w:val="center"/>
        </w:trPr>
        <w:tc>
          <w:tcPr>
            <w:tcW w:w="2471" w:type="dxa"/>
            <w:tcBorders>
              <w:top w:val="nil"/>
            </w:tcBorders>
            <w:noWrap w:val="0"/>
            <w:vAlign w:val="center"/>
          </w:tcPr>
          <w:p w14:paraId="6A2A2038">
            <w:pPr>
              <w:spacing w:line="360" w:lineRule="auto"/>
              <w:jc w:val="center"/>
              <w:rPr>
                <w:rFonts w:ascii="宋体" w:hAnsi="宋体"/>
                <w:b/>
                <w:color w:val="auto"/>
                <w:sz w:val="24"/>
                <w:szCs w:val="24"/>
                <w:highlight w:val="none"/>
              </w:rPr>
            </w:pPr>
            <w:r>
              <w:rPr>
                <w:rFonts w:hint="eastAsia" w:ascii="宋体" w:hAnsi="宋体"/>
                <w:b/>
                <w:color w:val="auto"/>
                <w:sz w:val="24"/>
                <w:szCs w:val="24"/>
                <w:highlight w:val="none"/>
              </w:rPr>
              <w:t>备注</w:t>
            </w:r>
          </w:p>
        </w:tc>
        <w:tc>
          <w:tcPr>
            <w:tcW w:w="6667" w:type="dxa"/>
            <w:tcBorders>
              <w:top w:val="nil"/>
            </w:tcBorders>
            <w:noWrap w:val="0"/>
            <w:vAlign w:val="center"/>
          </w:tcPr>
          <w:p w14:paraId="69938989">
            <w:pPr>
              <w:spacing w:line="360" w:lineRule="auto"/>
              <w:jc w:val="left"/>
              <w:rPr>
                <w:rFonts w:hint="eastAsia" w:ascii="宋体" w:hAnsi="宋体"/>
                <w:bCs/>
                <w:color w:val="auto"/>
                <w:sz w:val="24"/>
                <w:szCs w:val="24"/>
                <w:highlight w:val="none"/>
              </w:rPr>
            </w:pPr>
          </w:p>
        </w:tc>
      </w:tr>
    </w:tbl>
    <w:p w14:paraId="39B74557">
      <w:pPr>
        <w:adjustRightInd w:val="0"/>
        <w:snapToGrid w:val="0"/>
        <w:spacing w:line="320" w:lineRule="auto"/>
        <w:rPr>
          <w:rFonts w:hint="eastAsia" w:ascii="宋体" w:hAnsi="宋体" w:cs="宋体"/>
          <w:color w:val="auto"/>
          <w:szCs w:val="21"/>
          <w:highlight w:val="none"/>
        </w:rPr>
      </w:pPr>
    </w:p>
    <w:p w14:paraId="7C2EBD96">
      <w:pPr>
        <w:pStyle w:val="28"/>
        <w:adjustRightInd w:val="0"/>
        <w:snapToGrid w:val="0"/>
        <w:spacing w:line="320" w:lineRule="auto"/>
        <w:rPr>
          <w:rFonts w:hint="eastAsia" w:ascii="宋体" w:hAnsi="宋体" w:eastAsia="宋体" w:cs="宋体"/>
          <w:b w:val="0"/>
          <w:color w:val="auto"/>
          <w:sz w:val="21"/>
          <w:szCs w:val="21"/>
          <w:highlight w:val="none"/>
        </w:rPr>
      </w:pPr>
    </w:p>
    <w:p w14:paraId="1C268C37">
      <w:pPr>
        <w:pStyle w:val="28"/>
        <w:adjustRightInd w:val="0"/>
        <w:snapToGrid w:val="0"/>
        <w:spacing w:line="320" w:lineRule="auto"/>
        <w:rPr>
          <w:rFonts w:hint="eastAsia" w:ascii="宋体" w:hAnsi="宋体" w:eastAsia="宋体" w:cs="宋体"/>
          <w:b w:val="0"/>
          <w:color w:val="auto"/>
          <w:sz w:val="21"/>
          <w:szCs w:val="21"/>
          <w:highlight w:val="none"/>
          <w:u w:val="single"/>
        </w:rPr>
      </w:pPr>
      <w:r>
        <w:rPr>
          <w:rFonts w:hint="eastAsia" w:ascii="宋体" w:hAnsi="宋体" w:eastAsia="宋体" w:cs="宋体"/>
          <w:b w:val="0"/>
          <w:color w:val="auto"/>
          <w:sz w:val="21"/>
          <w:szCs w:val="21"/>
          <w:highlight w:val="none"/>
        </w:rPr>
        <w:t>供应商公章或授权代表签字：</w:t>
      </w:r>
    </w:p>
    <w:p w14:paraId="19D7860E">
      <w:pPr>
        <w:spacing w:line="440" w:lineRule="exact"/>
        <w:rPr>
          <w:rFonts w:hint="eastAsia" w:ascii="宋体" w:hAnsi="宋体" w:cs="宋体"/>
          <w:color w:val="auto"/>
          <w:szCs w:val="21"/>
          <w:highlight w:val="none"/>
        </w:rPr>
      </w:pPr>
    </w:p>
    <w:p w14:paraId="13CEF86B">
      <w:pPr>
        <w:widowControl/>
        <w:adjustRightInd w:val="0"/>
        <w:snapToGrid w:val="0"/>
        <w:spacing w:line="320" w:lineRule="auto"/>
        <w:jc w:val="left"/>
        <w:rPr>
          <w:rFonts w:hint="eastAsia" w:ascii="宋体" w:hAnsi="宋体" w:cs="宋体"/>
          <w:color w:val="auto"/>
          <w:szCs w:val="21"/>
          <w:highlight w:val="none"/>
        </w:rPr>
      </w:pPr>
      <w:r>
        <w:rPr>
          <w:rFonts w:hint="eastAsia" w:ascii="宋体" w:hAnsi="宋体" w:cs="宋体"/>
          <w:color w:val="auto"/>
          <w:szCs w:val="21"/>
          <w:highlight w:val="none"/>
        </w:rPr>
        <w:t>备注：</w:t>
      </w:r>
    </w:p>
    <w:p w14:paraId="2A110AE4">
      <w:pPr>
        <w:widowControl/>
        <w:adjustRightInd w:val="0"/>
        <w:snapToGrid w:val="0"/>
        <w:spacing w:line="320" w:lineRule="auto"/>
        <w:ind w:firstLine="315" w:firstLineChars="150"/>
        <w:jc w:val="left"/>
        <w:rPr>
          <w:rFonts w:hint="eastAsia" w:ascii="宋体" w:hAnsi="宋体" w:eastAsia="宋体" w:cs="宋体"/>
          <w:b w:val="0"/>
          <w:bCs/>
          <w:color w:val="auto"/>
          <w:sz w:val="21"/>
          <w:szCs w:val="21"/>
          <w:highlight w:val="none"/>
        </w:rPr>
      </w:pPr>
      <w:r>
        <w:rPr>
          <w:rFonts w:hint="eastAsia" w:ascii="宋体" w:hAnsi="宋体" w:cs="宋体"/>
          <w:color w:val="auto"/>
          <w:szCs w:val="21"/>
          <w:highlight w:val="none"/>
        </w:rPr>
        <w:t>1、</w:t>
      </w:r>
      <w:r>
        <w:rPr>
          <w:rFonts w:hint="eastAsia" w:ascii="宋体" w:hAnsi="宋体" w:cs="宋体"/>
          <w:color w:val="auto"/>
          <w:szCs w:val="21"/>
          <w:highlight w:val="none"/>
          <w:lang w:val="zh-CN"/>
        </w:rPr>
        <w:t>磋商报价为供应商在竞争性磋商文件中提出的各项支付金额的总和。包括本次磋商全部内容及人员工资、材料费、工具费、税费等所发生的所有费用</w:t>
      </w:r>
      <w:r>
        <w:rPr>
          <w:rFonts w:hint="eastAsia" w:ascii="宋体" w:hAnsi="宋体" w:cs="宋体"/>
          <w:color w:val="auto"/>
          <w:szCs w:val="21"/>
          <w:highlight w:val="none"/>
        </w:rPr>
        <w:t>等。</w:t>
      </w:r>
    </w:p>
    <w:p w14:paraId="4D18B39D">
      <w:pPr>
        <w:widowControl/>
        <w:adjustRightInd w:val="0"/>
        <w:snapToGrid w:val="0"/>
        <w:spacing w:line="320" w:lineRule="auto"/>
        <w:ind w:firstLine="315" w:firstLineChars="150"/>
        <w:jc w:val="left"/>
        <w:rPr>
          <w:rFonts w:hint="eastAsia" w:ascii="宋体" w:hAnsi="宋体" w:eastAsia="宋体" w:cs="宋体"/>
          <w:color w:val="auto"/>
          <w:szCs w:val="21"/>
          <w:highlight w:val="none"/>
        </w:rPr>
      </w:pPr>
      <w:r>
        <w:rPr>
          <w:rFonts w:hint="eastAsia" w:ascii="宋体" w:hAnsi="宋体" w:eastAsia="宋体" w:cs="宋体"/>
          <w:color w:val="auto"/>
          <w:szCs w:val="21"/>
          <w:highlight w:val="none"/>
        </w:rPr>
        <w:t>2、本《最终磋商报价书》中如存在大写金额与小写金额不一致的，供应商须以大写金额为准进行修正；总价金额与依据单价计算出的结果不一致的，须以单价金额为准进行修正，除单价金额小数点有明显错误。</w:t>
      </w:r>
    </w:p>
    <w:p w14:paraId="7F23875E">
      <w:pPr>
        <w:widowControl/>
        <w:adjustRightInd w:val="0"/>
        <w:snapToGrid w:val="0"/>
        <w:spacing w:line="320" w:lineRule="auto"/>
        <w:ind w:firstLine="315" w:firstLineChars="150"/>
        <w:jc w:val="left"/>
        <w:rPr>
          <w:rFonts w:hint="default"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3、最终成交单价价格将按照成交人最终报价的金额按照报价下浮比例同比计算清单单价。</w:t>
      </w:r>
    </w:p>
    <w:p w14:paraId="58894853">
      <w:pPr>
        <w:jc w:val="center"/>
        <w:outlineLvl w:val="9"/>
        <w:rPr>
          <w:rFonts w:hint="eastAsia" w:ascii="宋体" w:hAnsi="宋体" w:cs="宋体"/>
          <w:bCs/>
          <w:sz w:val="24"/>
          <w:szCs w:val="24"/>
          <w:highlight w:val="none"/>
          <w:lang w:eastAsia="zh-CN"/>
        </w:rPr>
      </w:pPr>
    </w:p>
    <w:sectPr>
      <w:footerReference r:id="rId6" w:type="default"/>
      <w:pgSz w:w="11906" w:h="16838"/>
      <w:pgMar w:top="1440" w:right="1531" w:bottom="1440" w:left="1531" w:header="851" w:footer="992" w:gutter="0"/>
      <w:pgNumType w:fmt="decimal"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仿宋简体">
    <w:panose1 w:val="02010601030101010101"/>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 w:name="等线">
    <w:altName w:val="Arial Unicode MS"/>
    <w:panose1 w:val="02010600030101010101"/>
    <w:charset w:val="86"/>
    <w:family w:val="auto"/>
    <w:pitch w:val="default"/>
    <w:sig w:usb0="00000000" w:usb1="00000000" w:usb2="00000016" w:usb3="00000000" w:csb0="0004000F" w:csb1="00000000"/>
  </w:font>
  <w:font w:name="微软雅黑">
    <w:panose1 w:val="020B0503020204020204"/>
    <w:charset w:val="86"/>
    <w:family w:val="auto"/>
    <w:pitch w:val="default"/>
    <w:sig w:usb0="80000287" w:usb1="280F3C52" w:usb2="00000016" w:usb3="00000000" w:csb0="0004001F" w:csb1="00000000"/>
  </w:font>
  <w:font w:name="DotumChe">
    <w:panose1 w:val="020B0609000101010101"/>
    <w:charset w:val="81"/>
    <w:family w:val="modern"/>
    <w:pitch w:val="default"/>
    <w:sig w:usb0="B00002AF" w:usb1="69D77CFB" w:usb2="00000030" w:usb3="00000000" w:csb0="4008009F" w:csb1="DFD70000"/>
  </w:font>
  <w:font w:name="华文中宋">
    <w:panose1 w:val="02010600040101010101"/>
    <w:charset w:val="86"/>
    <w:family w:val="auto"/>
    <w:pitch w:val="default"/>
    <w:sig w:usb0="00000287" w:usb1="080F0000" w:usb2="00000000" w:usb3="00000000" w:csb0="0004009F" w:csb1="DFD70000"/>
  </w:font>
  <w:font w:name="仿宋">
    <w:panose1 w:val="02010609060101010101"/>
    <w:charset w:val="86"/>
    <w:family w:val="auto"/>
    <w:pitch w:val="default"/>
    <w:sig w:usb0="800002BF" w:usb1="38CF7CFA" w:usb2="00000016" w:usb3="00000000" w:csb0="00040001" w:csb1="00000000"/>
  </w:font>
  <w:font w:name="Arial Unicode MS">
    <w:panose1 w:val="020B0604020202020204"/>
    <w:charset w:val="86"/>
    <w:family w:val="auto"/>
    <w:pitch w:val="default"/>
    <w:sig w:usb0="FFFFFFFF" w:usb1="E9FFFFFF" w:usb2="0000003F" w:usb3="00000000" w:csb0="603F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D115D83">
    <w:pPr>
      <w:pStyle w:val="20"/>
      <w:framePr w:wrap="around" w:vAnchor="text" w:hAnchor="margin" w:xAlign="center" w:y="1"/>
      <w:rPr>
        <w:rStyle w:val="38"/>
      </w:rPr>
    </w:pPr>
    <w:r>
      <w:rPr>
        <w:rStyle w:val="38"/>
      </w:rPr>
      <w:fldChar w:fldCharType="begin"/>
    </w:r>
    <w:r>
      <w:rPr>
        <w:rStyle w:val="38"/>
      </w:rPr>
      <w:instrText xml:space="preserve">PAGE  </w:instrText>
    </w:r>
    <w:r>
      <w:rPr>
        <w:rStyle w:val="38"/>
      </w:rPr>
      <w:fldChar w:fldCharType="end"/>
    </w:r>
  </w:p>
  <w:p w14:paraId="03F36169">
    <w:pPr>
      <w:pStyle w:val="2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90F878">
    <w:pPr>
      <w:pStyle w:val="20"/>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654F4353">
                          <w:pPr>
                            <w:pStyle w:val="20"/>
                          </w:pPr>
                          <w:r>
                            <w:fldChar w:fldCharType="begin"/>
                          </w:r>
                          <w:r>
                            <w:instrText xml:space="preserve"> PAGE  \* MERGEFORMAT </w:instrText>
                          </w:r>
                          <w:r>
                            <w:fldChar w:fldCharType="separate"/>
                          </w:r>
                          <w:r>
                            <w:t>3</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654F4353">
                    <w:pPr>
                      <w:pStyle w:val="20"/>
                    </w:pPr>
                    <w:r>
                      <w:fldChar w:fldCharType="begin"/>
                    </w:r>
                    <w:r>
                      <w:instrText xml:space="preserve"> PAGE  \* MERGEFORMAT </w:instrText>
                    </w:r>
                    <w:r>
                      <w:fldChar w:fldCharType="separate"/>
                    </w:r>
                    <w:r>
                      <w:t>3</w:t>
                    </w:r>
                    <w: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C43626">
    <w:pPr>
      <w:pStyle w:val="21"/>
      <w:keepNext w:val="0"/>
      <w:keepLines w:val="0"/>
      <w:pageBreakBefore w:val="0"/>
      <w:widowControl w:val="0"/>
      <w:pBdr>
        <w:bottom w:val="single" w:color="auto" w:sz="6" w:space="0"/>
      </w:pBdr>
      <w:tabs>
        <w:tab w:val="left" w:pos="8460"/>
        <w:tab w:val="left" w:pos="9180"/>
        <w:tab w:val="clear" w:pos="4153"/>
        <w:tab w:val="clear" w:pos="8306"/>
      </w:tabs>
      <w:kinsoku/>
      <w:wordWrap/>
      <w:overflowPunct/>
      <w:topLinePunct w:val="0"/>
      <w:bidi w:val="0"/>
      <w:adjustRightInd/>
      <w:snapToGrid w:val="0"/>
      <w:ind w:right="0"/>
      <w:textAlignment w:val="auto"/>
    </w:pPr>
    <w:r>
      <w:rPr>
        <w:rFonts w:hint="eastAsia"/>
        <w:lang w:eastAsia="zh-CN"/>
      </w:rPr>
      <w:t>诸佛庵中学食堂劳务派遣项目</w:t>
    </w:r>
    <w:r>
      <w:rPr>
        <w:rFonts w:hint="eastAsia"/>
        <w:lang w:val="en-US" w:eastAsia="zh-CN"/>
      </w:rPr>
      <w:t xml:space="preserve">                                                          </w:t>
    </w:r>
    <w:r>
      <w:rPr>
        <w:rFonts w:hint="eastAsia"/>
      </w:rPr>
      <w:t>竞争性磋商文件</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532AA05">
    <w:pPr>
      <w:pStyle w:val="21"/>
      <w:framePr w:wrap="around" w:vAnchor="text" w:hAnchor="margin" w:xAlign="right" w:y="1"/>
      <w:rPr>
        <w:rStyle w:val="38"/>
      </w:rPr>
    </w:pPr>
    <w:r>
      <w:rPr>
        <w:rStyle w:val="38"/>
      </w:rPr>
      <w:fldChar w:fldCharType="begin"/>
    </w:r>
    <w:r>
      <w:rPr>
        <w:rStyle w:val="38"/>
      </w:rPr>
      <w:instrText xml:space="preserve">PAGE  </w:instrText>
    </w:r>
    <w:r>
      <w:rPr>
        <w:rStyle w:val="38"/>
      </w:rPr>
      <w:fldChar w:fldCharType="end"/>
    </w:r>
  </w:p>
  <w:p w14:paraId="5EAAB759">
    <w:pPr>
      <w:pStyle w:val="21"/>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5"/>
    <w:multiLevelType w:val="multilevel"/>
    <w:tmpl w:val="00000005"/>
    <w:lvl w:ilvl="0" w:tentative="0">
      <w:start w:val="1"/>
      <w:numFmt w:val="decimal"/>
      <w:pStyle w:val="53"/>
      <w:lvlText w:val="%1."/>
      <w:lvlJc w:val="left"/>
      <w:pPr>
        <w:tabs>
          <w:tab w:val="left" w:pos="709"/>
        </w:tabs>
        <w:ind w:left="709" w:hanging="709"/>
      </w:pPr>
      <w:rPr>
        <w:rFonts w:hint="eastAsia"/>
      </w:rPr>
    </w:lvl>
    <w:lvl w:ilvl="1" w:tentative="0">
      <w:start w:val="1"/>
      <w:numFmt w:val="decimal"/>
      <w:lvlText w:val="%1.%2"/>
      <w:lvlJc w:val="left"/>
      <w:pPr>
        <w:tabs>
          <w:tab w:val="left" w:pos="709"/>
        </w:tabs>
        <w:ind w:left="709" w:hanging="709"/>
      </w:pPr>
      <w:rPr>
        <w:rFonts w:hint="eastAsia"/>
      </w:rPr>
    </w:lvl>
    <w:lvl w:ilvl="2" w:tentative="0">
      <w:start w:val="1"/>
      <w:numFmt w:val="decimal"/>
      <w:lvlText w:val="%1.%2.%3."/>
      <w:lvlJc w:val="left"/>
      <w:pPr>
        <w:tabs>
          <w:tab w:val="left" w:pos="425"/>
        </w:tabs>
        <w:ind w:left="425" w:hanging="425"/>
      </w:pPr>
      <w:rPr>
        <w:rFonts w:hint="eastAsia"/>
      </w:rPr>
    </w:lvl>
    <w:lvl w:ilvl="3" w:tentative="0">
      <w:start w:val="1"/>
      <w:numFmt w:val="decimal"/>
      <w:lvlText w:val="%1.%2.%3.%4."/>
      <w:lvlJc w:val="left"/>
      <w:pPr>
        <w:tabs>
          <w:tab w:val="left" w:pos="851"/>
        </w:tabs>
        <w:ind w:left="851" w:hanging="851"/>
      </w:pPr>
      <w:rPr>
        <w:rFonts w:hint="eastAsia"/>
      </w:rPr>
    </w:lvl>
    <w:lvl w:ilvl="4" w:tentative="0">
      <w:start w:val="1"/>
      <w:numFmt w:val="decimal"/>
      <w:lvlText w:val="%1.%2.%3.%4.%5."/>
      <w:lvlJc w:val="left"/>
      <w:pPr>
        <w:tabs>
          <w:tab w:val="left" w:pos="992"/>
        </w:tabs>
        <w:ind w:left="992" w:hanging="992"/>
      </w:pPr>
      <w:rPr>
        <w:rFonts w:hint="eastAsia"/>
      </w:rPr>
    </w:lvl>
    <w:lvl w:ilvl="5" w:tentative="0">
      <w:start w:val="1"/>
      <w:numFmt w:val="decimal"/>
      <w:lvlText w:val="%1.%2.%3.%4.%5.%6."/>
      <w:lvlJc w:val="left"/>
      <w:pPr>
        <w:tabs>
          <w:tab w:val="left" w:pos="1134"/>
        </w:tabs>
        <w:ind w:left="1134" w:hanging="1134"/>
      </w:pPr>
      <w:rPr>
        <w:rFonts w:hint="eastAsia"/>
      </w:rPr>
    </w:lvl>
    <w:lvl w:ilvl="6" w:tentative="0">
      <w:start w:val="1"/>
      <w:numFmt w:val="decimal"/>
      <w:lvlText w:val="%1.%2.%3.%4.%5.%6.%7."/>
      <w:lvlJc w:val="left"/>
      <w:pPr>
        <w:tabs>
          <w:tab w:val="left" w:pos="1276"/>
        </w:tabs>
        <w:ind w:left="1276" w:hanging="1276"/>
      </w:pPr>
      <w:rPr>
        <w:rFonts w:hint="eastAsia"/>
      </w:rPr>
    </w:lvl>
    <w:lvl w:ilvl="7" w:tentative="0">
      <w:start w:val="1"/>
      <w:numFmt w:val="decimal"/>
      <w:lvlText w:val="%1.%2.%3.%4.%5.%6.%7.%8."/>
      <w:lvlJc w:val="left"/>
      <w:pPr>
        <w:tabs>
          <w:tab w:val="left" w:pos="1418"/>
        </w:tabs>
        <w:ind w:left="1418" w:hanging="1418"/>
      </w:pPr>
      <w:rPr>
        <w:rFonts w:hint="eastAsia"/>
      </w:rPr>
    </w:lvl>
    <w:lvl w:ilvl="8" w:tentative="0">
      <w:start w:val="1"/>
      <w:numFmt w:val="decimal"/>
      <w:lvlText w:val="%1.%2.%3.%4.%5.%6.%7.%8.%9."/>
      <w:lvlJc w:val="left"/>
      <w:pPr>
        <w:tabs>
          <w:tab w:val="left" w:pos="1559"/>
        </w:tabs>
        <w:ind w:left="1559" w:hanging="1559"/>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val="fullPage" w:percent="73"/>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NiYmRmNDdhZjY0ZjMyZjEyODNmNDgzNjAxNjAyYzYifQ=="/>
  </w:docVars>
  <w:rsids>
    <w:rsidRoot w:val="002D677B"/>
    <w:rsid w:val="000120AC"/>
    <w:rsid w:val="000145D1"/>
    <w:rsid w:val="00015C71"/>
    <w:rsid w:val="000271A7"/>
    <w:rsid w:val="00042454"/>
    <w:rsid w:val="00053B80"/>
    <w:rsid w:val="00053F56"/>
    <w:rsid w:val="00057B34"/>
    <w:rsid w:val="0006429A"/>
    <w:rsid w:val="00066BCF"/>
    <w:rsid w:val="0007068B"/>
    <w:rsid w:val="0007438F"/>
    <w:rsid w:val="00083A3D"/>
    <w:rsid w:val="00085013"/>
    <w:rsid w:val="0008734A"/>
    <w:rsid w:val="00091912"/>
    <w:rsid w:val="00092365"/>
    <w:rsid w:val="00095459"/>
    <w:rsid w:val="000A18AA"/>
    <w:rsid w:val="000A3D75"/>
    <w:rsid w:val="000D72BD"/>
    <w:rsid w:val="000E215B"/>
    <w:rsid w:val="000E29A9"/>
    <w:rsid w:val="000F6DD6"/>
    <w:rsid w:val="0010048A"/>
    <w:rsid w:val="00102BDC"/>
    <w:rsid w:val="00111AA2"/>
    <w:rsid w:val="00117F05"/>
    <w:rsid w:val="001252D5"/>
    <w:rsid w:val="001260B2"/>
    <w:rsid w:val="00135355"/>
    <w:rsid w:val="00146D70"/>
    <w:rsid w:val="00156254"/>
    <w:rsid w:val="001723C8"/>
    <w:rsid w:val="001903C6"/>
    <w:rsid w:val="001A3254"/>
    <w:rsid w:val="001B57E1"/>
    <w:rsid w:val="001C47BA"/>
    <w:rsid w:val="001C6B89"/>
    <w:rsid w:val="00206019"/>
    <w:rsid w:val="0021447E"/>
    <w:rsid w:val="002175D2"/>
    <w:rsid w:val="00222133"/>
    <w:rsid w:val="00230806"/>
    <w:rsid w:val="00230AFD"/>
    <w:rsid w:val="00232B23"/>
    <w:rsid w:val="00237B8A"/>
    <w:rsid w:val="0024002C"/>
    <w:rsid w:val="0025494F"/>
    <w:rsid w:val="002656AE"/>
    <w:rsid w:val="00281CBF"/>
    <w:rsid w:val="002908AE"/>
    <w:rsid w:val="00295D2C"/>
    <w:rsid w:val="002A2A22"/>
    <w:rsid w:val="002A5B98"/>
    <w:rsid w:val="002C3E11"/>
    <w:rsid w:val="002D508E"/>
    <w:rsid w:val="002D53B9"/>
    <w:rsid w:val="002D677B"/>
    <w:rsid w:val="002E54B3"/>
    <w:rsid w:val="002F5374"/>
    <w:rsid w:val="002F5CAB"/>
    <w:rsid w:val="00314F50"/>
    <w:rsid w:val="003342EF"/>
    <w:rsid w:val="00337DCA"/>
    <w:rsid w:val="00341CB0"/>
    <w:rsid w:val="003452C5"/>
    <w:rsid w:val="00350E5F"/>
    <w:rsid w:val="00370F26"/>
    <w:rsid w:val="003808D6"/>
    <w:rsid w:val="00385D3E"/>
    <w:rsid w:val="003A03AB"/>
    <w:rsid w:val="003E0B3C"/>
    <w:rsid w:val="003E7C3B"/>
    <w:rsid w:val="00410AD8"/>
    <w:rsid w:val="00413100"/>
    <w:rsid w:val="00424DA5"/>
    <w:rsid w:val="00425C52"/>
    <w:rsid w:val="004413B4"/>
    <w:rsid w:val="00453F7D"/>
    <w:rsid w:val="00480966"/>
    <w:rsid w:val="004A2AC5"/>
    <w:rsid w:val="004A45A4"/>
    <w:rsid w:val="004C64FF"/>
    <w:rsid w:val="004D5F5D"/>
    <w:rsid w:val="004F279A"/>
    <w:rsid w:val="0050472D"/>
    <w:rsid w:val="005236AE"/>
    <w:rsid w:val="00524A87"/>
    <w:rsid w:val="00533AAE"/>
    <w:rsid w:val="00554CE3"/>
    <w:rsid w:val="005710D8"/>
    <w:rsid w:val="005A03E4"/>
    <w:rsid w:val="005B04B8"/>
    <w:rsid w:val="005E38A4"/>
    <w:rsid w:val="005E56CC"/>
    <w:rsid w:val="005E754A"/>
    <w:rsid w:val="00654D2C"/>
    <w:rsid w:val="00661562"/>
    <w:rsid w:val="00682117"/>
    <w:rsid w:val="0068795B"/>
    <w:rsid w:val="00695280"/>
    <w:rsid w:val="006B21E7"/>
    <w:rsid w:val="006D3DB9"/>
    <w:rsid w:val="006F01D1"/>
    <w:rsid w:val="006F3D3E"/>
    <w:rsid w:val="006F49EE"/>
    <w:rsid w:val="00703A7D"/>
    <w:rsid w:val="007045A4"/>
    <w:rsid w:val="00715AE4"/>
    <w:rsid w:val="0073207C"/>
    <w:rsid w:val="007550DC"/>
    <w:rsid w:val="00766A44"/>
    <w:rsid w:val="00767BB2"/>
    <w:rsid w:val="00777046"/>
    <w:rsid w:val="00784363"/>
    <w:rsid w:val="0078488E"/>
    <w:rsid w:val="00790BD6"/>
    <w:rsid w:val="0079235B"/>
    <w:rsid w:val="007A4EEE"/>
    <w:rsid w:val="007B00FB"/>
    <w:rsid w:val="007E5141"/>
    <w:rsid w:val="007F2C26"/>
    <w:rsid w:val="007F3323"/>
    <w:rsid w:val="007F72E0"/>
    <w:rsid w:val="00802679"/>
    <w:rsid w:val="00810784"/>
    <w:rsid w:val="00821EE8"/>
    <w:rsid w:val="008448CD"/>
    <w:rsid w:val="0086536B"/>
    <w:rsid w:val="0089296C"/>
    <w:rsid w:val="008A6D3D"/>
    <w:rsid w:val="008B0E3B"/>
    <w:rsid w:val="008C0ED2"/>
    <w:rsid w:val="008D216E"/>
    <w:rsid w:val="008D283D"/>
    <w:rsid w:val="008E0D41"/>
    <w:rsid w:val="00922A63"/>
    <w:rsid w:val="00925990"/>
    <w:rsid w:val="00940C0D"/>
    <w:rsid w:val="00942328"/>
    <w:rsid w:val="0094320A"/>
    <w:rsid w:val="009628D2"/>
    <w:rsid w:val="00964C0F"/>
    <w:rsid w:val="0097577C"/>
    <w:rsid w:val="00980525"/>
    <w:rsid w:val="009B5EF1"/>
    <w:rsid w:val="009D0332"/>
    <w:rsid w:val="00A051CF"/>
    <w:rsid w:val="00A12E92"/>
    <w:rsid w:val="00A14F6A"/>
    <w:rsid w:val="00A17EB8"/>
    <w:rsid w:val="00A2462A"/>
    <w:rsid w:val="00A27C2C"/>
    <w:rsid w:val="00A301BA"/>
    <w:rsid w:val="00A3443C"/>
    <w:rsid w:val="00A5114C"/>
    <w:rsid w:val="00A52EA8"/>
    <w:rsid w:val="00A612D2"/>
    <w:rsid w:val="00A7302C"/>
    <w:rsid w:val="00A74097"/>
    <w:rsid w:val="00A74C0B"/>
    <w:rsid w:val="00A85BA0"/>
    <w:rsid w:val="00A95755"/>
    <w:rsid w:val="00A957C6"/>
    <w:rsid w:val="00A966A5"/>
    <w:rsid w:val="00AA5057"/>
    <w:rsid w:val="00AB51D7"/>
    <w:rsid w:val="00AC4741"/>
    <w:rsid w:val="00AD100F"/>
    <w:rsid w:val="00B00630"/>
    <w:rsid w:val="00B21075"/>
    <w:rsid w:val="00B27CFD"/>
    <w:rsid w:val="00B4726F"/>
    <w:rsid w:val="00B57818"/>
    <w:rsid w:val="00B578EB"/>
    <w:rsid w:val="00B7616C"/>
    <w:rsid w:val="00B80346"/>
    <w:rsid w:val="00BA10A8"/>
    <w:rsid w:val="00BA136D"/>
    <w:rsid w:val="00BA3764"/>
    <w:rsid w:val="00BB63DF"/>
    <w:rsid w:val="00BB7605"/>
    <w:rsid w:val="00BC2739"/>
    <w:rsid w:val="00BC5045"/>
    <w:rsid w:val="00C0313E"/>
    <w:rsid w:val="00C35B5F"/>
    <w:rsid w:val="00C4377A"/>
    <w:rsid w:val="00C5087F"/>
    <w:rsid w:val="00C56F48"/>
    <w:rsid w:val="00C6343E"/>
    <w:rsid w:val="00C71EC0"/>
    <w:rsid w:val="00C72D9C"/>
    <w:rsid w:val="00C734AB"/>
    <w:rsid w:val="00C84AAC"/>
    <w:rsid w:val="00C97CD9"/>
    <w:rsid w:val="00CA32AE"/>
    <w:rsid w:val="00CA60CE"/>
    <w:rsid w:val="00CB2CE0"/>
    <w:rsid w:val="00CE1386"/>
    <w:rsid w:val="00CE28E9"/>
    <w:rsid w:val="00CE3BB4"/>
    <w:rsid w:val="00CF10C1"/>
    <w:rsid w:val="00CF3743"/>
    <w:rsid w:val="00D027C9"/>
    <w:rsid w:val="00D13AEE"/>
    <w:rsid w:val="00D16453"/>
    <w:rsid w:val="00D175FB"/>
    <w:rsid w:val="00D2401D"/>
    <w:rsid w:val="00D33ECF"/>
    <w:rsid w:val="00D429C1"/>
    <w:rsid w:val="00D6083A"/>
    <w:rsid w:val="00DA1E4E"/>
    <w:rsid w:val="00DA2C77"/>
    <w:rsid w:val="00DA578E"/>
    <w:rsid w:val="00DC1314"/>
    <w:rsid w:val="00DC653F"/>
    <w:rsid w:val="00DD1C69"/>
    <w:rsid w:val="00DD2C6C"/>
    <w:rsid w:val="00DE18CD"/>
    <w:rsid w:val="00DF7DF4"/>
    <w:rsid w:val="00E119E3"/>
    <w:rsid w:val="00E15875"/>
    <w:rsid w:val="00E20914"/>
    <w:rsid w:val="00E231B2"/>
    <w:rsid w:val="00E55D55"/>
    <w:rsid w:val="00E617E1"/>
    <w:rsid w:val="00E848B5"/>
    <w:rsid w:val="00E912B4"/>
    <w:rsid w:val="00EA3497"/>
    <w:rsid w:val="00EB3BD8"/>
    <w:rsid w:val="00EE11E5"/>
    <w:rsid w:val="00EE4358"/>
    <w:rsid w:val="00EE5630"/>
    <w:rsid w:val="00EF2195"/>
    <w:rsid w:val="00EF3C5F"/>
    <w:rsid w:val="00F05A49"/>
    <w:rsid w:val="00F1594F"/>
    <w:rsid w:val="00F22829"/>
    <w:rsid w:val="00F31F25"/>
    <w:rsid w:val="00F40445"/>
    <w:rsid w:val="00F43B03"/>
    <w:rsid w:val="00F464A7"/>
    <w:rsid w:val="00F564DA"/>
    <w:rsid w:val="00F64830"/>
    <w:rsid w:val="00F74BC0"/>
    <w:rsid w:val="00F76D41"/>
    <w:rsid w:val="00F91C4B"/>
    <w:rsid w:val="00F927C2"/>
    <w:rsid w:val="00FA1EEE"/>
    <w:rsid w:val="00FA35DA"/>
    <w:rsid w:val="00FB29F0"/>
    <w:rsid w:val="00FC1D08"/>
    <w:rsid w:val="00FC79F6"/>
    <w:rsid w:val="00FF1C7C"/>
    <w:rsid w:val="017E1B19"/>
    <w:rsid w:val="01ED3B47"/>
    <w:rsid w:val="03062E20"/>
    <w:rsid w:val="03B22505"/>
    <w:rsid w:val="04067181"/>
    <w:rsid w:val="04103CCA"/>
    <w:rsid w:val="04BB0286"/>
    <w:rsid w:val="04EE7346"/>
    <w:rsid w:val="05033C99"/>
    <w:rsid w:val="05045387"/>
    <w:rsid w:val="05104E6D"/>
    <w:rsid w:val="05ED76CD"/>
    <w:rsid w:val="06262FF6"/>
    <w:rsid w:val="06496ED9"/>
    <w:rsid w:val="07267565"/>
    <w:rsid w:val="078C18B4"/>
    <w:rsid w:val="07A20F5E"/>
    <w:rsid w:val="080B49C0"/>
    <w:rsid w:val="08531B86"/>
    <w:rsid w:val="0861256E"/>
    <w:rsid w:val="09013345"/>
    <w:rsid w:val="095F7F4C"/>
    <w:rsid w:val="09A60123"/>
    <w:rsid w:val="09AE75F4"/>
    <w:rsid w:val="09B95F2A"/>
    <w:rsid w:val="0A0C7574"/>
    <w:rsid w:val="0A424E4D"/>
    <w:rsid w:val="0A802BBE"/>
    <w:rsid w:val="0AF82AC1"/>
    <w:rsid w:val="0B56662F"/>
    <w:rsid w:val="0B66533A"/>
    <w:rsid w:val="0B84414D"/>
    <w:rsid w:val="0BD46BAD"/>
    <w:rsid w:val="0BE120B2"/>
    <w:rsid w:val="0CEC43CA"/>
    <w:rsid w:val="0D50431A"/>
    <w:rsid w:val="0DF624E0"/>
    <w:rsid w:val="0E1024C2"/>
    <w:rsid w:val="0E346850"/>
    <w:rsid w:val="0E404088"/>
    <w:rsid w:val="0EA113FA"/>
    <w:rsid w:val="0ECA11CC"/>
    <w:rsid w:val="0F390E8E"/>
    <w:rsid w:val="0F8F57EF"/>
    <w:rsid w:val="0FC465FA"/>
    <w:rsid w:val="0FF97625"/>
    <w:rsid w:val="1018304A"/>
    <w:rsid w:val="10A03CC1"/>
    <w:rsid w:val="110475FD"/>
    <w:rsid w:val="119066D9"/>
    <w:rsid w:val="11A335B5"/>
    <w:rsid w:val="1219428E"/>
    <w:rsid w:val="13490C7D"/>
    <w:rsid w:val="135C3D02"/>
    <w:rsid w:val="13D52CCE"/>
    <w:rsid w:val="14E27C21"/>
    <w:rsid w:val="153B2049"/>
    <w:rsid w:val="15614DA8"/>
    <w:rsid w:val="15AD79BC"/>
    <w:rsid w:val="16066864"/>
    <w:rsid w:val="16991EF7"/>
    <w:rsid w:val="16E31A9A"/>
    <w:rsid w:val="17162FF6"/>
    <w:rsid w:val="173850A7"/>
    <w:rsid w:val="174C0AC9"/>
    <w:rsid w:val="175A753C"/>
    <w:rsid w:val="177B4CDC"/>
    <w:rsid w:val="17BA7FA6"/>
    <w:rsid w:val="18FD74C3"/>
    <w:rsid w:val="192B2CC7"/>
    <w:rsid w:val="198B1495"/>
    <w:rsid w:val="199B3A21"/>
    <w:rsid w:val="19F570DC"/>
    <w:rsid w:val="1A6C248D"/>
    <w:rsid w:val="1AF45622"/>
    <w:rsid w:val="1B5A7D5C"/>
    <w:rsid w:val="1B724496"/>
    <w:rsid w:val="1B7B26E1"/>
    <w:rsid w:val="1BBFA30C"/>
    <w:rsid w:val="1C1A0C17"/>
    <w:rsid w:val="1C32741A"/>
    <w:rsid w:val="1C405AE5"/>
    <w:rsid w:val="1D452AE5"/>
    <w:rsid w:val="1D960483"/>
    <w:rsid w:val="1DF15284"/>
    <w:rsid w:val="1EA20A33"/>
    <w:rsid w:val="1F171CFB"/>
    <w:rsid w:val="1F3C13B6"/>
    <w:rsid w:val="1F4B49D6"/>
    <w:rsid w:val="1FF85069"/>
    <w:rsid w:val="20F41885"/>
    <w:rsid w:val="212611D2"/>
    <w:rsid w:val="21993B18"/>
    <w:rsid w:val="219959F5"/>
    <w:rsid w:val="22464B8D"/>
    <w:rsid w:val="229A201B"/>
    <w:rsid w:val="233F1DB4"/>
    <w:rsid w:val="239974D6"/>
    <w:rsid w:val="23E266D0"/>
    <w:rsid w:val="23E4618A"/>
    <w:rsid w:val="244E3D8C"/>
    <w:rsid w:val="24B335CE"/>
    <w:rsid w:val="24F11BE1"/>
    <w:rsid w:val="25CD354A"/>
    <w:rsid w:val="25EF0E4B"/>
    <w:rsid w:val="26577532"/>
    <w:rsid w:val="269169B4"/>
    <w:rsid w:val="269C26E3"/>
    <w:rsid w:val="27110C4C"/>
    <w:rsid w:val="272E2D63"/>
    <w:rsid w:val="27410CB9"/>
    <w:rsid w:val="276D441A"/>
    <w:rsid w:val="27B568DB"/>
    <w:rsid w:val="2861396F"/>
    <w:rsid w:val="28B44010"/>
    <w:rsid w:val="29384EA8"/>
    <w:rsid w:val="29CC520E"/>
    <w:rsid w:val="29E26463"/>
    <w:rsid w:val="2A023B5C"/>
    <w:rsid w:val="2A07065D"/>
    <w:rsid w:val="2A0A08C3"/>
    <w:rsid w:val="2A534564"/>
    <w:rsid w:val="2A573A70"/>
    <w:rsid w:val="2B373B1E"/>
    <w:rsid w:val="2CBD48CE"/>
    <w:rsid w:val="2CC64E8F"/>
    <w:rsid w:val="2CE211B2"/>
    <w:rsid w:val="2E015B36"/>
    <w:rsid w:val="2E275F81"/>
    <w:rsid w:val="2E4E51C2"/>
    <w:rsid w:val="2E77681E"/>
    <w:rsid w:val="2F4B2B19"/>
    <w:rsid w:val="2F6246CC"/>
    <w:rsid w:val="2FC53683"/>
    <w:rsid w:val="2FE97A5F"/>
    <w:rsid w:val="305A47DE"/>
    <w:rsid w:val="309E348C"/>
    <w:rsid w:val="312D70A2"/>
    <w:rsid w:val="31394322"/>
    <w:rsid w:val="315C0774"/>
    <w:rsid w:val="3184082E"/>
    <w:rsid w:val="321928B8"/>
    <w:rsid w:val="32617B06"/>
    <w:rsid w:val="328304A8"/>
    <w:rsid w:val="32BC5F4D"/>
    <w:rsid w:val="33393656"/>
    <w:rsid w:val="337C1CD3"/>
    <w:rsid w:val="33C11B6F"/>
    <w:rsid w:val="33CA6F46"/>
    <w:rsid w:val="33FE364D"/>
    <w:rsid w:val="3429115A"/>
    <w:rsid w:val="34325CD9"/>
    <w:rsid w:val="346113B3"/>
    <w:rsid w:val="34F2580B"/>
    <w:rsid w:val="36024564"/>
    <w:rsid w:val="36276335"/>
    <w:rsid w:val="36525F3B"/>
    <w:rsid w:val="36813D28"/>
    <w:rsid w:val="36981B5D"/>
    <w:rsid w:val="36A9634B"/>
    <w:rsid w:val="36D079C8"/>
    <w:rsid w:val="37D716E7"/>
    <w:rsid w:val="390A4CE0"/>
    <w:rsid w:val="3941767C"/>
    <w:rsid w:val="39A552A4"/>
    <w:rsid w:val="39D761EF"/>
    <w:rsid w:val="3A76410D"/>
    <w:rsid w:val="3A8F3EBA"/>
    <w:rsid w:val="3AB10259"/>
    <w:rsid w:val="3ABA6222"/>
    <w:rsid w:val="3B301F44"/>
    <w:rsid w:val="3B705898"/>
    <w:rsid w:val="3BAE4829"/>
    <w:rsid w:val="3BD57D54"/>
    <w:rsid w:val="3BDF73C5"/>
    <w:rsid w:val="3D7C4A02"/>
    <w:rsid w:val="3D902D22"/>
    <w:rsid w:val="3DF4021A"/>
    <w:rsid w:val="3E047963"/>
    <w:rsid w:val="3E8E5BBA"/>
    <w:rsid w:val="3EB86069"/>
    <w:rsid w:val="3EDC10FF"/>
    <w:rsid w:val="3F0A5E23"/>
    <w:rsid w:val="3F785608"/>
    <w:rsid w:val="3FFF20F3"/>
    <w:rsid w:val="402734A4"/>
    <w:rsid w:val="405A4873"/>
    <w:rsid w:val="405C30EF"/>
    <w:rsid w:val="407B3EBF"/>
    <w:rsid w:val="40902F36"/>
    <w:rsid w:val="40DF693D"/>
    <w:rsid w:val="40F16A8E"/>
    <w:rsid w:val="412545BE"/>
    <w:rsid w:val="4184340D"/>
    <w:rsid w:val="41E21275"/>
    <w:rsid w:val="41F46909"/>
    <w:rsid w:val="42597CF0"/>
    <w:rsid w:val="42D67AEC"/>
    <w:rsid w:val="42F6152E"/>
    <w:rsid w:val="42FF6CFF"/>
    <w:rsid w:val="43771108"/>
    <w:rsid w:val="438C4E1A"/>
    <w:rsid w:val="43F7487C"/>
    <w:rsid w:val="4440126D"/>
    <w:rsid w:val="445F7604"/>
    <w:rsid w:val="446523D2"/>
    <w:rsid w:val="44DA0696"/>
    <w:rsid w:val="44E45943"/>
    <w:rsid w:val="44E80BF1"/>
    <w:rsid w:val="4583380E"/>
    <w:rsid w:val="45993146"/>
    <w:rsid w:val="45EB3538"/>
    <w:rsid w:val="46440499"/>
    <w:rsid w:val="46771AC0"/>
    <w:rsid w:val="47867C8A"/>
    <w:rsid w:val="47954A4A"/>
    <w:rsid w:val="479B001B"/>
    <w:rsid w:val="47D21CE6"/>
    <w:rsid w:val="47E5272B"/>
    <w:rsid w:val="481456B4"/>
    <w:rsid w:val="48876507"/>
    <w:rsid w:val="48A14890"/>
    <w:rsid w:val="4A4C0CEF"/>
    <w:rsid w:val="4A67403B"/>
    <w:rsid w:val="4A734E79"/>
    <w:rsid w:val="4AD27698"/>
    <w:rsid w:val="4B1B114F"/>
    <w:rsid w:val="4B250368"/>
    <w:rsid w:val="4B7A75FA"/>
    <w:rsid w:val="4B7B52E3"/>
    <w:rsid w:val="4B7F6C9B"/>
    <w:rsid w:val="4BB01238"/>
    <w:rsid w:val="4BBA3C84"/>
    <w:rsid w:val="4BF93ABC"/>
    <w:rsid w:val="4C2F1AF1"/>
    <w:rsid w:val="4C3F1A69"/>
    <w:rsid w:val="4C401A56"/>
    <w:rsid w:val="4C4C7D4D"/>
    <w:rsid w:val="4C692E82"/>
    <w:rsid w:val="4C974380"/>
    <w:rsid w:val="4CA7336B"/>
    <w:rsid w:val="4D001539"/>
    <w:rsid w:val="4D060FF1"/>
    <w:rsid w:val="4D5B5816"/>
    <w:rsid w:val="4D6138EC"/>
    <w:rsid w:val="4D714797"/>
    <w:rsid w:val="4D7809BA"/>
    <w:rsid w:val="4D820C8A"/>
    <w:rsid w:val="4D8E6FAE"/>
    <w:rsid w:val="4D9F0EEA"/>
    <w:rsid w:val="4F095D32"/>
    <w:rsid w:val="4F1A4882"/>
    <w:rsid w:val="4F3C4DEC"/>
    <w:rsid w:val="4F6D0EC1"/>
    <w:rsid w:val="504900D3"/>
    <w:rsid w:val="52892F5B"/>
    <w:rsid w:val="52F61709"/>
    <w:rsid w:val="54073585"/>
    <w:rsid w:val="54510D56"/>
    <w:rsid w:val="5495703C"/>
    <w:rsid w:val="54995B0C"/>
    <w:rsid w:val="54DB7C79"/>
    <w:rsid w:val="54E74E26"/>
    <w:rsid w:val="55580A4D"/>
    <w:rsid w:val="55B45B96"/>
    <w:rsid w:val="55C3622E"/>
    <w:rsid w:val="55DC1770"/>
    <w:rsid w:val="55EB22AC"/>
    <w:rsid w:val="561133F2"/>
    <w:rsid w:val="56571FFA"/>
    <w:rsid w:val="56A92CC7"/>
    <w:rsid w:val="57ED033C"/>
    <w:rsid w:val="58BD10F2"/>
    <w:rsid w:val="58CD33C2"/>
    <w:rsid w:val="596469D4"/>
    <w:rsid w:val="5A435D8A"/>
    <w:rsid w:val="5AA57E79"/>
    <w:rsid w:val="5B0CF2D3"/>
    <w:rsid w:val="5B7B30F8"/>
    <w:rsid w:val="5BBC1D09"/>
    <w:rsid w:val="5BEC2BF6"/>
    <w:rsid w:val="5C34380B"/>
    <w:rsid w:val="5CBB6877"/>
    <w:rsid w:val="5CFC6999"/>
    <w:rsid w:val="5E765BD7"/>
    <w:rsid w:val="5EEC63F2"/>
    <w:rsid w:val="5F912AC4"/>
    <w:rsid w:val="5FD14724"/>
    <w:rsid w:val="60387705"/>
    <w:rsid w:val="60700F30"/>
    <w:rsid w:val="607B7DDA"/>
    <w:rsid w:val="60E81B80"/>
    <w:rsid w:val="61A76748"/>
    <w:rsid w:val="61AE38ED"/>
    <w:rsid w:val="62B731FE"/>
    <w:rsid w:val="63023C80"/>
    <w:rsid w:val="631A6383"/>
    <w:rsid w:val="636D3AA1"/>
    <w:rsid w:val="639F3ED2"/>
    <w:rsid w:val="6418228D"/>
    <w:rsid w:val="64F22548"/>
    <w:rsid w:val="65216376"/>
    <w:rsid w:val="656062CA"/>
    <w:rsid w:val="659106E2"/>
    <w:rsid w:val="65AB236D"/>
    <w:rsid w:val="65B8080F"/>
    <w:rsid w:val="65E8208B"/>
    <w:rsid w:val="66353AAC"/>
    <w:rsid w:val="66483EC5"/>
    <w:rsid w:val="66704DB4"/>
    <w:rsid w:val="66FF3B3B"/>
    <w:rsid w:val="67102453"/>
    <w:rsid w:val="679648B3"/>
    <w:rsid w:val="68A67F29"/>
    <w:rsid w:val="68C15CCA"/>
    <w:rsid w:val="68E73E96"/>
    <w:rsid w:val="692D45F0"/>
    <w:rsid w:val="697D619C"/>
    <w:rsid w:val="69992F6F"/>
    <w:rsid w:val="69EE3D79"/>
    <w:rsid w:val="6A0E091D"/>
    <w:rsid w:val="6A5F2208"/>
    <w:rsid w:val="6ABA50AD"/>
    <w:rsid w:val="6B58725B"/>
    <w:rsid w:val="6BA94127"/>
    <w:rsid w:val="6BFE46EA"/>
    <w:rsid w:val="6C7F53F2"/>
    <w:rsid w:val="6C8B20CC"/>
    <w:rsid w:val="6C95A85E"/>
    <w:rsid w:val="6D176247"/>
    <w:rsid w:val="6F053873"/>
    <w:rsid w:val="6F1ECFF8"/>
    <w:rsid w:val="703D1445"/>
    <w:rsid w:val="704217E5"/>
    <w:rsid w:val="71106C43"/>
    <w:rsid w:val="71152000"/>
    <w:rsid w:val="721756F7"/>
    <w:rsid w:val="7231680E"/>
    <w:rsid w:val="72896870"/>
    <w:rsid w:val="728E0960"/>
    <w:rsid w:val="749A7E60"/>
    <w:rsid w:val="750872E0"/>
    <w:rsid w:val="75493BC8"/>
    <w:rsid w:val="7656661E"/>
    <w:rsid w:val="76ED37EF"/>
    <w:rsid w:val="770F21D1"/>
    <w:rsid w:val="77EF4493"/>
    <w:rsid w:val="78A7019A"/>
    <w:rsid w:val="78C06712"/>
    <w:rsid w:val="796B51A8"/>
    <w:rsid w:val="797B151F"/>
    <w:rsid w:val="797D526C"/>
    <w:rsid w:val="79BA3B0E"/>
    <w:rsid w:val="7ABB6962"/>
    <w:rsid w:val="7AF4539C"/>
    <w:rsid w:val="7C013D85"/>
    <w:rsid w:val="7C2F8C70"/>
    <w:rsid w:val="7C63164A"/>
    <w:rsid w:val="7C662C4B"/>
    <w:rsid w:val="7CF35D84"/>
    <w:rsid w:val="7DB40A20"/>
    <w:rsid w:val="7DDF36B2"/>
    <w:rsid w:val="7E136A50"/>
    <w:rsid w:val="7E49765A"/>
    <w:rsid w:val="7E4C0FEB"/>
    <w:rsid w:val="7EBB50F1"/>
    <w:rsid w:val="7EBE0C5A"/>
    <w:rsid w:val="7EE56270"/>
    <w:rsid w:val="7EFB3C47"/>
    <w:rsid w:val="7EFB49D6"/>
    <w:rsid w:val="7F7F569C"/>
    <w:rsid w:val="7F7F68A4"/>
    <w:rsid w:val="7F850ECB"/>
    <w:rsid w:val="7F9F1736"/>
    <w:rsid w:val="7FD31A01"/>
    <w:rsid w:val="7FFB101A"/>
    <w:rsid w:val="9BF96BAC"/>
    <w:rsid w:val="AD2DA3B9"/>
    <w:rsid w:val="AF6FE06F"/>
    <w:rsid w:val="D78F6FBA"/>
    <w:rsid w:val="DBDF55C4"/>
    <w:rsid w:val="DF3D59C8"/>
    <w:rsid w:val="EBFFC059"/>
    <w:rsid w:val="EEF1341C"/>
    <w:rsid w:val="F7B9D6FD"/>
    <w:rsid w:val="F7CC7425"/>
    <w:rsid w:val="FAEC74ED"/>
    <w:rsid w:val="FE93A17C"/>
    <w:rsid w:val="FEFF2685"/>
    <w:rsid w:val="FFD23C0D"/>
    <w:rsid w:val="FFEFE6BF"/>
    <w:rsid w:val="FFF59FA3"/>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qFormat="1" w:unhideWhenUsed="0" w:uiPriority="0"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uiPriority="99" w:name="Normal Indent"/>
    <w:lsdException w:uiPriority="99" w:name="footnote text"/>
    <w:lsdException w:qFormat="1" w:unhideWhenUsed="0" w:uiPriority="99"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qFormat="1" w:unhideWhenUsed="0" w:uiPriority="0" w:semiHidden="0" w:name="envelope return"/>
    <w:lsdException w:uiPriority="99" w:name="footnote reference"/>
    <w:lsdException w:qFormat="1" w:unhideWhenUsed="0"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qFormat="1" w:unhideWhenUsed="0" w:uiPriority="0" w:semiHidden="0" w:name="Body Text 2"/>
    <w:lsdException w:qFormat="1" w:uiPriority="99" w:semiHidden="0" w:name="Body Text 3"/>
    <w:lsdException w:qFormat="1" w:unhideWhenUsed="0" w:uiPriority="0" w:semiHidden="0" w:name="Body Text Indent 2"/>
    <w:lsdException w:qFormat="1" w:unhideWhenUsed="0" w:uiPriority="0" w:semiHidden="0" w:name="Body Text Indent 3"/>
    <w:lsdException w:uiPriority="99"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iPriority="99"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paragraph" w:styleId="2">
    <w:name w:val="heading 1"/>
    <w:basedOn w:val="1"/>
    <w:next w:val="1"/>
    <w:link w:val="45"/>
    <w:qFormat/>
    <w:uiPriority w:val="0"/>
    <w:pPr>
      <w:keepNext/>
      <w:outlineLvl w:val="0"/>
    </w:pPr>
    <w:rPr>
      <w:sz w:val="28"/>
      <w:szCs w:val="24"/>
    </w:rPr>
  </w:style>
  <w:style w:type="paragraph" w:styleId="3">
    <w:name w:val="heading 2"/>
    <w:basedOn w:val="1"/>
    <w:next w:val="1"/>
    <w:link w:val="95"/>
    <w:qFormat/>
    <w:uiPriority w:val="0"/>
    <w:pPr>
      <w:keepNext/>
      <w:keepLines/>
      <w:adjustRightInd w:val="0"/>
      <w:spacing w:before="260" w:after="260" w:line="416" w:lineRule="atLeast"/>
      <w:jc w:val="left"/>
      <w:textAlignment w:val="baseline"/>
      <w:outlineLvl w:val="1"/>
    </w:pPr>
    <w:rPr>
      <w:rFonts w:ascii="Arial" w:hAnsi="Arial" w:eastAsia="黑体"/>
      <w:b/>
      <w:kern w:val="0"/>
      <w:sz w:val="32"/>
    </w:rPr>
  </w:style>
  <w:style w:type="paragraph" w:styleId="4">
    <w:name w:val="heading 3"/>
    <w:basedOn w:val="1"/>
    <w:next w:val="1"/>
    <w:link w:val="47"/>
    <w:qFormat/>
    <w:uiPriority w:val="0"/>
    <w:pPr>
      <w:keepNext/>
      <w:keepLines/>
      <w:spacing w:before="260" w:after="260" w:line="416" w:lineRule="auto"/>
      <w:outlineLvl w:val="2"/>
    </w:pPr>
    <w:rPr>
      <w:b/>
      <w:bCs/>
      <w:sz w:val="32"/>
      <w:szCs w:val="32"/>
      <w:lang w:val="zh-CN"/>
    </w:rPr>
  </w:style>
  <w:style w:type="paragraph" w:styleId="5">
    <w:name w:val="heading 4"/>
    <w:basedOn w:val="1"/>
    <w:next w:val="1"/>
    <w:link w:val="48"/>
    <w:qFormat/>
    <w:uiPriority w:val="0"/>
    <w:pPr>
      <w:keepNext/>
      <w:keepLines/>
      <w:adjustRightInd w:val="0"/>
      <w:spacing w:before="280" w:after="290" w:line="376" w:lineRule="atLeast"/>
      <w:jc w:val="left"/>
      <w:textAlignment w:val="baseline"/>
      <w:outlineLvl w:val="3"/>
    </w:pPr>
    <w:rPr>
      <w:rFonts w:ascii="Arial" w:hAnsi="Arial" w:eastAsia="黑体"/>
      <w:b/>
      <w:kern w:val="0"/>
      <w:sz w:val="28"/>
    </w:rPr>
  </w:style>
  <w:style w:type="character" w:default="1" w:styleId="36">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6">
    <w:name w:val="toc 7"/>
    <w:basedOn w:val="1"/>
    <w:next w:val="1"/>
    <w:qFormat/>
    <w:uiPriority w:val="0"/>
    <w:pPr>
      <w:ind w:left="2520" w:leftChars="1200"/>
    </w:pPr>
  </w:style>
  <w:style w:type="paragraph" w:styleId="7">
    <w:name w:val="Document Map"/>
    <w:basedOn w:val="1"/>
    <w:link w:val="72"/>
    <w:qFormat/>
    <w:uiPriority w:val="0"/>
    <w:pPr>
      <w:shd w:val="clear" w:color="auto" w:fill="000080"/>
    </w:pPr>
  </w:style>
  <w:style w:type="paragraph" w:styleId="8">
    <w:name w:val="annotation text"/>
    <w:basedOn w:val="1"/>
    <w:link w:val="66"/>
    <w:semiHidden/>
    <w:qFormat/>
    <w:uiPriority w:val="99"/>
    <w:pPr>
      <w:jc w:val="left"/>
    </w:pPr>
  </w:style>
  <w:style w:type="paragraph" w:styleId="9">
    <w:name w:val="Body Text 3"/>
    <w:basedOn w:val="1"/>
    <w:link w:val="87"/>
    <w:unhideWhenUsed/>
    <w:qFormat/>
    <w:uiPriority w:val="99"/>
    <w:pPr>
      <w:spacing w:after="120"/>
    </w:pPr>
    <w:rPr>
      <w:rFonts w:ascii="Calibri" w:hAnsi="Calibri"/>
      <w:sz w:val="16"/>
      <w:szCs w:val="16"/>
      <w:lang w:val="zh-CN"/>
    </w:rPr>
  </w:style>
  <w:style w:type="paragraph" w:styleId="10">
    <w:name w:val="Body Text"/>
    <w:basedOn w:val="1"/>
    <w:next w:val="1"/>
    <w:link w:val="61"/>
    <w:qFormat/>
    <w:uiPriority w:val="0"/>
    <w:pPr>
      <w:spacing w:after="120"/>
    </w:pPr>
    <w:rPr>
      <w:szCs w:val="24"/>
    </w:rPr>
  </w:style>
  <w:style w:type="paragraph" w:styleId="11">
    <w:name w:val="Body Text Indent"/>
    <w:basedOn w:val="1"/>
    <w:next w:val="12"/>
    <w:link w:val="50"/>
    <w:qFormat/>
    <w:uiPriority w:val="0"/>
    <w:pPr>
      <w:ind w:firstLine="540"/>
    </w:pPr>
    <w:rPr>
      <w:rFonts w:eastAsia="仿宋_GB2312"/>
      <w:sz w:val="28"/>
    </w:rPr>
  </w:style>
  <w:style w:type="paragraph" w:styleId="12">
    <w:name w:val="envelope return"/>
    <w:basedOn w:val="1"/>
    <w:qFormat/>
    <w:uiPriority w:val="0"/>
    <w:pPr>
      <w:snapToGrid w:val="0"/>
    </w:pPr>
    <w:rPr>
      <w:rFonts w:ascii="Arial" w:hAnsi="Arial"/>
    </w:rPr>
  </w:style>
  <w:style w:type="paragraph" w:styleId="13">
    <w:name w:val="toc 5"/>
    <w:basedOn w:val="1"/>
    <w:next w:val="1"/>
    <w:qFormat/>
    <w:uiPriority w:val="0"/>
    <w:pPr>
      <w:ind w:left="1680" w:leftChars="800"/>
    </w:pPr>
  </w:style>
  <w:style w:type="paragraph" w:styleId="14">
    <w:name w:val="toc 3"/>
    <w:basedOn w:val="1"/>
    <w:next w:val="1"/>
    <w:qFormat/>
    <w:uiPriority w:val="39"/>
    <w:pPr>
      <w:ind w:left="840" w:leftChars="400"/>
    </w:pPr>
  </w:style>
  <w:style w:type="paragraph" w:styleId="15">
    <w:name w:val="Plain Text"/>
    <w:basedOn w:val="1"/>
    <w:link w:val="69"/>
    <w:qFormat/>
    <w:uiPriority w:val="0"/>
    <w:rPr>
      <w:rFonts w:ascii="宋体" w:hAnsi="Courier New" w:cstheme="minorBidi"/>
      <w:szCs w:val="22"/>
    </w:rPr>
  </w:style>
  <w:style w:type="paragraph" w:styleId="16">
    <w:name w:val="toc 8"/>
    <w:basedOn w:val="1"/>
    <w:next w:val="1"/>
    <w:qFormat/>
    <w:uiPriority w:val="0"/>
    <w:pPr>
      <w:ind w:left="2940" w:leftChars="1400"/>
    </w:pPr>
  </w:style>
  <w:style w:type="paragraph" w:styleId="17">
    <w:name w:val="Date"/>
    <w:basedOn w:val="1"/>
    <w:next w:val="1"/>
    <w:link w:val="49"/>
    <w:qFormat/>
    <w:uiPriority w:val="0"/>
    <w:rPr>
      <w:rFonts w:ascii="Arial" w:hAnsi="Arial" w:eastAsia="楷体_GB2312"/>
      <w:sz w:val="28"/>
    </w:rPr>
  </w:style>
  <w:style w:type="paragraph" w:styleId="18">
    <w:name w:val="Body Text Indent 2"/>
    <w:basedOn w:val="1"/>
    <w:link w:val="52"/>
    <w:qFormat/>
    <w:uiPriority w:val="0"/>
    <w:pPr>
      <w:tabs>
        <w:tab w:val="left" w:pos="720"/>
      </w:tabs>
      <w:ind w:right="-506" w:rightChars="-241" w:firstLine="538" w:firstLineChars="192"/>
    </w:pPr>
    <w:rPr>
      <w:rFonts w:eastAsia="仿宋_GB2312"/>
      <w:sz w:val="28"/>
    </w:rPr>
  </w:style>
  <w:style w:type="paragraph" w:styleId="19">
    <w:name w:val="Balloon Text"/>
    <w:basedOn w:val="1"/>
    <w:link w:val="63"/>
    <w:qFormat/>
    <w:uiPriority w:val="0"/>
    <w:rPr>
      <w:sz w:val="18"/>
      <w:szCs w:val="18"/>
    </w:rPr>
  </w:style>
  <w:style w:type="paragraph" w:styleId="20">
    <w:name w:val="footer"/>
    <w:basedOn w:val="1"/>
    <w:link w:val="44"/>
    <w:unhideWhenUsed/>
    <w:qFormat/>
    <w:uiPriority w:val="99"/>
    <w:pPr>
      <w:tabs>
        <w:tab w:val="center" w:pos="4153"/>
        <w:tab w:val="right" w:pos="8306"/>
      </w:tabs>
      <w:snapToGrid w:val="0"/>
      <w:jc w:val="left"/>
    </w:pPr>
    <w:rPr>
      <w:sz w:val="18"/>
      <w:szCs w:val="18"/>
    </w:rPr>
  </w:style>
  <w:style w:type="paragraph" w:styleId="21">
    <w:name w:val="header"/>
    <w:basedOn w:val="1"/>
    <w:link w:val="43"/>
    <w:unhideWhenUsed/>
    <w:qFormat/>
    <w:uiPriority w:val="0"/>
    <w:pPr>
      <w:pBdr>
        <w:bottom w:val="single" w:color="auto" w:sz="6" w:space="1"/>
      </w:pBdr>
      <w:tabs>
        <w:tab w:val="center" w:pos="4153"/>
        <w:tab w:val="right" w:pos="8306"/>
      </w:tabs>
      <w:snapToGrid w:val="0"/>
      <w:jc w:val="center"/>
    </w:pPr>
    <w:rPr>
      <w:sz w:val="18"/>
      <w:szCs w:val="18"/>
    </w:rPr>
  </w:style>
  <w:style w:type="paragraph" w:styleId="22">
    <w:name w:val="toc 1"/>
    <w:basedOn w:val="1"/>
    <w:next w:val="1"/>
    <w:qFormat/>
    <w:uiPriority w:val="0"/>
  </w:style>
  <w:style w:type="paragraph" w:styleId="23">
    <w:name w:val="toc 4"/>
    <w:basedOn w:val="1"/>
    <w:next w:val="1"/>
    <w:qFormat/>
    <w:uiPriority w:val="0"/>
    <w:pPr>
      <w:ind w:left="1260" w:leftChars="600"/>
    </w:pPr>
  </w:style>
  <w:style w:type="paragraph" w:styleId="24">
    <w:name w:val="toc 6"/>
    <w:basedOn w:val="1"/>
    <w:next w:val="1"/>
    <w:qFormat/>
    <w:uiPriority w:val="0"/>
    <w:pPr>
      <w:ind w:left="2100" w:leftChars="1000"/>
    </w:pPr>
  </w:style>
  <w:style w:type="paragraph" w:styleId="25">
    <w:name w:val="Body Text Indent 3"/>
    <w:basedOn w:val="1"/>
    <w:link w:val="58"/>
    <w:qFormat/>
    <w:uiPriority w:val="0"/>
    <w:pPr>
      <w:ind w:left="178" w:leftChars="85" w:firstLine="560" w:firstLineChars="200"/>
    </w:pPr>
    <w:rPr>
      <w:rFonts w:ascii="仿宋_GB2312" w:hAnsi="Arial" w:eastAsia="仿宋_GB2312"/>
      <w:sz w:val="28"/>
      <w:szCs w:val="24"/>
    </w:rPr>
  </w:style>
  <w:style w:type="paragraph" w:styleId="26">
    <w:name w:val="toc 2"/>
    <w:basedOn w:val="1"/>
    <w:next w:val="1"/>
    <w:qFormat/>
    <w:uiPriority w:val="39"/>
    <w:pPr>
      <w:ind w:left="420" w:leftChars="200"/>
    </w:pPr>
  </w:style>
  <w:style w:type="paragraph" w:styleId="27">
    <w:name w:val="toc 9"/>
    <w:basedOn w:val="1"/>
    <w:next w:val="1"/>
    <w:qFormat/>
    <w:uiPriority w:val="0"/>
    <w:pPr>
      <w:ind w:left="3360" w:leftChars="1600"/>
    </w:pPr>
  </w:style>
  <w:style w:type="paragraph" w:styleId="28">
    <w:name w:val="Body Text 2"/>
    <w:basedOn w:val="1"/>
    <w:qFormat/>
    <w:uiPriority w:val="0"/>
    <w:rPr>
      <w:rFonts w:ascii="仿宋_GB2312" w:eastAsia="仿宋_GB2312"/>
      <w:b/>
      <w:sz w:val="24"/>
    </w:rPr>
  </w:style>
  <w:style w:type="paragraph" w:styleId="29">
    <w:name w:val="HTML Preformatted"/>
    <w:basedOn w:val="1"/>
    <w:unhideWhenUsed/>
    <w:qFormat/>
    <w:uiPriority w:val="99"/>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kern w:val="0"/>
      <w:sz w:val="24"/>
      <w:szCs w:val="24"/>
    </w:rPr>
  </w:style>
  <w:style w:type="paragraph" w:styleId="30">
    <w:name w:val="Normal (Web)"/>
    <w:basedOn w:val="1"/>
    <w:unhideWhenUsed/>
    <w:qFormat/>
    <w:uiPriority w:val="99"/>
    <w:pPr>
      <w:jc w:val="left"/>
    </w:pPr>
    <w:rPr>
      <w:kern w:val="0"/>
      <w:sz w:val="24"/>
    </w:rPr>
  </w:style>
  <w:style w:type="paragraph" w:styleId="31">
    <w:name w:val="index 1"/>
    <w:basedOn w:val="1"/>
    <w:next w:val="1"/>
    <w:semiHidden/>
    <w:qFormat/>
    <w:uiPriority w:val="0"/>
    <w:pPr>
      <w:jc w:val="center"/>
    </w:pPr>
    <w:rPr>
      <w:rFonts w:ascii="仿宋_GB2312" w:eastAsia="仿宋_GB2312"/>
      <w:b/>
      <w:bCs/>
      <w:sz w:val="28"/>
    </w:rPr>
  </w:style>
  <w:style w:type="paragraph" w:styleId="32">
    <w:name w:val="annotation subject"/>
    <w:basedOn w:val="8"/>
    <w:next w:val="8"/>
    <w:link w:val="67"/>
    <w:semiHidden/>
    <w:qFormat/>
    <w:uiPriority w:val="99"/>
    <w:rPr>
      <w:b/>
      <w:bCs/>
    </w:rPr>
  </w:style>
  <w:style w:type="paragraph" w:styleId="33">
    <w:name w:val="Body Text First Indent"/>
    <w:basedOn w:val="10"/>
    <w:unhideWhenUsed/>
    <w:qFormat/>
    <w:uiPriority w:val="99"/>
    <w:pPr>
      <w:spacing w:line="400" w:lineRule="atLeast"/>
      <w:ind w:firstLine="426"/>
    </w:pPr>
    <w:rPr>
      <w:sz w:val="24"/>
      <w:szCs w:val="20"/>
    </w:rPr>
  </w:style>
  <w:style w:type="table" w:styleId="35">
    <w:name w:val="Table Grid"/>
    <w:basedOn w:val="34"/>
    <w:qFormat/>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37">
    <w:name w:val="Strong"/>
    <w:qFormat/>
    <w:uiPriority w:val="0"/>
    <w:rPr>
      <w:b/>
    </w:rPr>
  </w:style>
  <w:style w:type="character" w:styleId="38">
    <w:name w:val="page number"/>
    <w:basedOn w:val="36"/>
    <w:qFormat/>
    <w:uiPriority w:val="0"/>
  </w:style>
  <w:style w:type="character" w:styleId="39">
    <w:name w:val="FollowedHyperlink"/>
    <w:basedOn w:val="36"/>
    <w:unhideWhenUsed/>
    <w:qFormat/>
    <w:uiPriority w:val="99"/>
    <w:rPr>
      <w:color w:val="954F72" w:themeColor="followedHyperlink"/>
      <w:u w:val="single"/>
      <w14:textFill>
        <w14:solidFill>
          <w14:schemeClr w14:val="folHlink"/>
        </w14:solidFill>
      </w14:textFill>
    </w:rPr>
  </w:style>
  <w:style w:type="character" w:styleId="40">
    <w:name w:val="Hyperlink"/>
    <w:basedOn w:val="36"/>
    <w:qFormat/>
    <w:uiPriority w:val="99"/>
    <w:rPr>
      <w:color w:val="333333"/>
      <w:u w:val="none"/>
    </w:rPr>
  </w:style>
  <w:style w:type="character" w:styleId="41">
    <w:name w:val="annotation reference"/>
    <w:semiHidden/>
    <w:qFormat/>
    <w:uiPriority w:val="99"/>
    <w:rPr>
      <w:sz w:val="21"/>
      <w:szCs w:val="21"/>
    </w:rPr>
  </w:style>
  <w:style w:type="paragraph" w:customStyle="1" w:styleId="42">
    <w:name w:val="Default"/>
    <w:qFormat/>
    <w:uiPriority w:val="0"/>
    <w:pPr>
      <w:widowControl w:val="0"/>
      <w:autoSpaceDE w:val="0"/>
      <w:autoSpaceDN w:val="0"/>
      <w:adjustRightInd w:val="0"/>
    </w:pPr>
    <w:rPr>
      <w:rFonts w:ascii="黑体" w:hAnsi="Times New Roman" w:eastAsia="黑体" w:cs="Times New Roman"/>
      <w:kern w:val="0"/>
      <w:sz w:val="20"/>
      <w:szCs w:val="20"/>
      <w:lang w:val="en-US" w:eastAsia="zh-CN" w:bidi="ar-SA"/>
    </w:rPr>
  </w:style>
  <w:style w:type="character" w:customStyle="1" w:styleId="43">
    <w:name w:val="页眉 Char"/>
    <w:basedOn w:val="36"/>
    <w:link w:val="21"/>
    <w:qFormat/>
    <w:uiPriority w:val="0"/>
    <w:rPr>
      <w:sz w:val="18"/>
      <w:szCs w:val="18"/>
    </w:rPr>
  </w:style>
  <w:style w:type="character" w:customStyle="1" w:styleId="44">
    <w:name w:val="页脚 Char"/>
    <w:basedOn w:val="36"/>
    <w:link w:val="20"/>
    <w:qFormat/>
    <w:uiPriority w:val="99"/>
    <w:rPr>
      <w:sz w:val="18"/>
      <w:szCs w:val="18"/>
    </w:rPr>
  </w:style>
  <w:style w:type="character" w:customStyle="1" w:styleId="45">
    <w:name w:val="标题 1 Char"/>
    <w:basedOn w:val="36"/>
    <w:link w:val="2"/>
    <w:qFormat/>
    <w:uiPriority w:val="0"/>
    <w:rPr>
      <w:rFonts w:ascii="Times New Roman" w:hAnsi="Times New Roman" w:eastAsia="宋体" w:cs="Times New Roman"/>
      <w:sz w:val="28"/>
      <w:szCs w:val="24"/>
    </w:rPr>
  </w:style>
  <w:style w:type="character" w:customStyle="1" w:styleId="46">
    <w:name w:val="标题 2 Char"/>
    <w:basedOn w:val="36"/>
    <w:qFormat/>
    <w:uiPriority w:val="0"/>
    <w:rPr>
      <w:rFonts w:ascii="Arial" w:hAnsi="Arial" w:eastAsia="黑体" w:cs="Times New Roman"/>
      <w:b/>
      <w:kern w:val="0"/>
      <w:sz w:val="32"/>
      <w:szCs w:val="20"/>
    </w:rPr>
  </w:style>
  <w:style w:type="character" w:customStyle="1" w:styleId="47">
    <w:name w:val="标题 3 Char"/>
    <w:basedOn w:val="36"/>
    <w:link w:val="4"/>
    <w:qFormat/>
    <w:uiPriority w:val="0"/>
    <w:rPr>
      <w:rFonts w:ascii="Times New Roman" w:hAnsi="Times New Roman" w:eastAsia="宋体" w:cs="Times New Roman"/>
      <w:b/>
      <w:bCs/>
      <w:sz w:val="32"/>
      <w:szCs w:val="32"/>
      <w:lang w:val="zh-CN" w:eastAsia="zh-CN"/>
    </w:rPr>
  </w:style>
  <w:style w:type="character" w:customStyle="1" w:styleId="48">
    <w:name w:val="标题 4 Char"/>
    <w:basedOn w:val="36"/>
    <w:link w:val="5"/>
    <w:qFormat/>
    <w:uiPriority w:val="0"/>
    <w:rPr>
      <w:rFonts w:ascii="Arial" w:hAnsi="Arial" w:eastAsia="黑体" w:cs="Times New Roman"/>
      <w:b/>
      <w:kern w:val="0"/>
      <w:sz w:val="28"/>
      <w:szCs w:val="20"/>
    </w:rPr>
  </w:style>
  <w:style w:type="character" w:customStyle="1" w:styleId="49">
    <w:name w:val="日期 Char"/>
    <w:basedOn w:val="36"/>
    <w:link w:val="17"/>
    <w:qFormat/>
    <w:uiPriority w:val="0"/>
    <w:rPr>
      <w:rFonts w:ascii="Arial" w:hAnsi="Arial" w:eastAsia="楷体_GB2312" w:cs="Times New Roman"/>
      <w:sz w:val="28"/>
      <w:szCs w:val="20"/>
    </w:rPr>
  </w:style>
  <w:style w:type="character" w:customStyle="1" w:styleId="50">
    <w:name w:val="正文文本缩进 Char"/>
    <w:basedOn w:val="36"/>
    <w:link w:val="11"/>
    <w:qFormat/>
    <w:uiPriority w:val="0"/>
    <w:rPr>
      <w:rFonts w:ascii="Times New Roman" w:hAnsi="Times New Roman" w:eastAsia="仿宋_GB2312" w:cs="Times New Roman"/>
      <w:sz w:val="28"/>
      <w:szCs w:val="20"/>
    </w:rPr>
  </w:style>
  <w:style w:type="paragraph" w:customStyle="1" w:styleId="51">
    <w:name w:val="_Style 2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52">
    <w:name w:val="正文文本缩进 2 Char"/>
    <w:basedOn w:val="36"/>
    <w:link w:val="18"/>
    <w:qFormat/>
    <w:uiPriority w:val="0"/>
    <w:rPr>
      <w:rFonts w:ascii="Times New Roman" w:hAnsi="Times New Roman" w:eastAsia="仿宋_GB2312" w:cs="Times New Roman"/>
      <w:sz w:val="28"/>
      <w:szCs w:val="20"/>
    </w:rPr>
  </w:style>
  <w:style w:type="paragraph" w:customStyle="1" w:styleId="53">
    <w:name w:val="样式1"/>
    <w:basedOn w:val="1"/>
    <w:qFormat/>
    <w:uiPriority w:val="0"/>
    <w:pPr>
      <w:numPr>
        <w:ilvl w:val="0"/>
        <w:numId w:val="1"/>
      </w:numPr>
      <w:adjustRightInd w:val="0"/>
      <w:textAlignment w:val="baseline"/>
    </w:pPr>
    <w:rPr>
      <w:rFonts w:ascii="宋体" w:hAnsi="宋体"/>
      <w:kern w:val="0"/>
    </w:rPr>
  </w:style>
  <w:style w:type="paragraph" w:customStyle="1" w:styleId="54">
    <w:name w:val="样式 宋体 五号 行距: 单倍行距"/>
    <w:basedOn w:val="1"/>
    <w:qFormat/>
    <w:uiPriority w:val="0"/>
    <w:pPr>
      <w:adjustRightInd w:val="0"/>
      <w:jc w:val="left"/>
      <w:textAlignment w:val="baseline"/>
    </w:pPr>
    <w:rPr>
      <w:rFonts w:ascii="宋体" w:hAnsi="宋体"/>
      <w:kern w:val="0"/>
    </w:rPr>
  </w:style>
  <w:style w:type="paragraph" w:customStyle="1" w:styleId="55">
    <w:name w:val="样式 标题 2 + 宋体 五号 行距: 单倍行距"/>
    <w:basedOn w:val="3"/>
    <w:qFormat/>
    <w:uiPriority w:val="0"/>
    <w:pPr>
      <w:spacing w:line="240" w:lineRule="auto"/>
    </w:pPr>
    <w:rPr>
      <w:rFonts w:ascii="宋体" w:hAnsi="宋体" w:eastAsia="宋体"/>
      <w:sz w:val="21"/>
    </w:rPr>
  </w:style>
  <w:style w:type="paragraph" w:customStyle="1" w:styleId="56">
    <w:name w:val="Char Char Char Char Char"/>
    <w:basedOn w:val="1"/>
    <w:qFormat/>
    <w:uiPriority w:val="0"/>
    <w:rPr>
      <w:rFonts w:ascii="Tahoma" w:hAnsi="Tahoma"/>
      <w:sz w:val="24"/>
    </w:rPr>
  </w:style>
  <w:style w:type="paragraph" w:customStyle="1" w:styleId="57">
    <w:name w:val="Char"/>
    <w:basedOn w:val="1"/>
    <w:qFormat/>
    <w:uiPriority w:val="0"/>
    <w:rPr>
      <w:rFonts w:ascii="Tahoma" w:hAnsi="Tahoma"/>
      <w:sz w:val="24"/>
    </w:rPr>
  </w:style>
  <w:style w:type="character" w:customStyle="1" w:styleId="58">
    <w:name w:val="正文文本缩进 3 Char"/>
    <w:basedOn w:val="36"/>
    <w:link w:val="25"/>
    <w:qFormat/>
    <w:uiPriority w:val="0"/>
    <w:rPr>
      <w:rFonts w:ascii="仿宋_GB2312" w:hAnsi="Arial" w:eastAsia="仿宋_GB2312" w:cs="Times New Roman"/>
      <w:sz w:val="28"/>
      <w:szCs w:val="24"/>
    </w:rPr>
  </w:style>
  <w:style w:type="paragraph" w:customStyle="1" w:styleId="59">
    <w:name w:val="Char1"/>
    <w:basedOn w:val="1"/>
    <w:qFormat/>
    <w:uiPriority w:val="0"/>
    <w:rPr>
      <w:rFonts w:ascii="Tahoma" w:hAnsi="Tahoma" w:eastAsia="仿宋_GB2312"/>
      <w:sz w:val="24"/>
    </w:rPr>
  </w:style>
  <w:style w:type="paragraph" w:customStyle="1" w:styleId="60">
    <w:name w:val="Char Char Char Char Char Char Char1 Char"/>
    <w:basedOn w:val="1"/>
    <w:qFormat/>
    <w:uiPriority w:val="0"/>
    <w:rPr>
      <w:rFonts w:ascii="Tahoma" w:hAnsi="Tahoma"/>
      <w:sz w:val="24"/>
    </w:rPr>
  </w:style>
  <w:style w:type="character" w:customStyle="1" w:styleId="61">
    <w:name w:val="正文文本 Char"/>
    <w:basedOn w:val="36"/>
    <w:link w:val="10"/>
    <w:qFormat/>
    <w:uiPriority w:val="0"/>
    <w:rPr>
      <w:rFonts w:ascii="Times New Roman" w:hAnsi="Times New Roman" w:eastAsia="宋体" w:cs="Times New Roman"/>
      <w:szCs w:val="24"/>
    </w:rPr>
  </w:style>
  <w:style w:type="paragraph" w:customStyle="1" w:styleId="62">
    <w:name w:val="Char Char Char Char"/>
    <w:basedOn w:val="1"/>
    <w:next w:val="1"/>
    <w:qFormat/>
    <w:uiPriority w:val="0"/>
    <w:pPr>
      <w:widowControl/>
      <w:spacing w:line="360" w:lineRule="auto"/>
      <w:jc w:val="left"/>
    </w:pPr>
  </w:style>
  <w:style w:type="character" w:customStyle="1" w:styleId="63">
    <w:name w:val="批注框文本 Char"/>
    <w:basedOn w:val="36"/>
    <w:link w:val="19"/>
    <w:qFormat/>
    <w:uiPriority w:val="0"/>
    <w:rPr>
      <w:rFonts w:ascii="Times New Roman" w:hAnsi="Times New Roman" w:eastAsia="宋体" w:cs="Times New Roman"/>
      <w:sz w:val="18"/>
      <w:szCs w:val="18"/>
    </w:rPr>
  </w:style>
  <w:style w:type="paragraph" w:customStyle="1" w:styleId="64">
    <w:name w:val="Char Char Char"/>
    <w:basedOn w:val="1"/>
    <w:qFormat/>
    <w:uiPriority w:val="0"/>
    <w:rPr>
      <w:rFonts w:ascii="Tahoma" w:hAnsi="Tahoma"/>
      <w:sz w:val="24"/>
    </w:rPr>
  </w:style>
  <w:style w:type="paragraph" w:customStyle="1" w:styleId="65">
    <w:name w:val="Char Char Char Char Char Char Char Char Char Char"/>
    <w:basedOn w:val="1"/>
    <w:qFormat/>
    <w:uiPriority w:val="0"/>
    <w:rPr>
      <w:rFonts w:ascii="Tahoma" w:hAnsi="Tahoma" w:cs="仿宋_GB2312"/>
      <w:sz w:val="24"/>
    </w:rPr>
  </w:style>
  <w:style w:type="character" w:customStyle="1" w:styleId="66">
    <w:name w:val="批注文字 Char"/>
    <w:basedOn w:val="36"/>
    <w:link w:val="8"/>
    <w:semiHidden/>
    <w:qFormat/>
    <w:uiPriority w:val="99"/>
    <w:rPr>
      <w:rFonts w:ascii="Times New Roman" w:hAnsi="Times New Roman" w:eastAsia="宋体" w:cs="Times New Roman"/>
      <w:szCs w:val="20"/>
    </w:rPr>
  </w:style>
  <w:style w:type="character" w:customStyle="1" w:styleId="67">
    <w:name w:val="批注主题 Char"/>
    <w:basedOn w:val="66"/>
    <w:link w:val="32"/>
    <w:semiHidden/>
    <w:qFormat/>
    <w:uiPriority w:val="99"/>
    <w:rPr>
      <w:rFonts w:ascii="Times New Roman" w:hAnsi="Times New Roman" w:eastAsia="宋体" w:cs="Times New Roman"/>
      <w:b/>
      <w:bCs/>
      <w:szCs w:val="20"/>
    </w:rPr>
  </w:style>
  <w:style w:type="paragraph" w:customStyle="1" w:styleId="68">
    <w:name w:val="Char Char Char Char Char Char"/>
    <w:basedOn w:val="1"/>
    <w:qFormat/>
    <w:uiPriority w:val="0"/>
  </w:style>
  <w:style w:type="character" w:customStyle="1" w:styleId="69">
    <w:name w:val="纯文本 Char"/>
    <w:link w:val="15"/>
    <w:qFormat/>
    <w:uiPriority w:val="0"/>
    <w:rPr>
      <w:rFonts w:ascii="宋体" w:hAnsi="Courier New" w:eastAsia="宋体"/>
    </w:rPr>
  </w:style>
  <w:style w:type="character" w:customStyle="1" w:styleId="70">
    <w:name w:val="纯文本 Char1"/>
    <w:basedOn w:val="36"/>
    <w:semiHidden/>
    <w:qFormat/>
    <w:uiPriority w:val="99"/>
    <w:rPr>
      <w:rFonts w:ascii="宋体" w:hAnsi="Courier New" w:eastAsia="宋体" w:cs="Courier New"/>
      <w:szCs w:val="21"/>
    </w:rPr>
  </w:style>
  <w:style w:type="paragraph" w:customStyle="1" w:styleId="71">
    <w:name w:val="Char12 Char Char Char"/>
    <w:basedOn w:val="1"/>
    <w:qFormat/>
    <w:uiPriority w:val="0"/>
  </w:style>
  <w:style w:type="character" w:customStyle="1" w:styleId="72">
    <w:name w:val="文档结构图 Char"/>
    <w:basedOn w:val="36"/>
    <w:link w:val="7"/>
    <w:qFormat/>
    <w:uiPriority w:val="0"/>
    <w:rPr>
      <w:rFonts w:ascii="Times New Roman" w:hAnsi="Times New Roman" w:eastAsia="宋体" w:cs="Times New Roman"/>
      <w:szCs w:val="20"/>
      <w:shd w:val="clear" w:color="auto" w:fill="000080"/>
    </w:rPr>
  </w:style>
  <w:style w:type="character" w:customStyle="1" w:styleId="73">
    <w:name w:val="style29"/>
    <w:qFormat/>
    <w:uiPriority w:val="0"/>
  </w:style>
  <w:style w:type="character" w:customStyle="1" w:styleId="74">
    <w:name w:val="正文1"/>
    <w:qFormat/>
    <w:uiPriority w:val="0"/>
  </w:style>
  <w:style w:type="character" w:customStyle="1" w:styleId="75">
    <w:name w:val="font11"/>
    <w:qFormat/>
    <w:uiPriority w:val="0"/>
    <w:rPr>
      <w:rFonts w:hint="default" w:ascii="Times New Roman" w:hAnsi="Times New Roman" w:cs="Times New Roman"/>
      <w:color w:val="3366FF"/>
      <w:sz w:val="24"/>
      <w:szCs w:val="24"/>
      <w:u w:val="none"/>
    </w:rPr>
  </w:style>
  <w:style w:type="character" w:customStyle="1" w:styleId="76">
    <w:name w:val="font21"/>
    <w:qFormat/>
    <w:uiPriority w:val="0"/>
    <w:rPr>
      <w:rFonts w:hint="eastAsia" w:ascii="宋体" w:hAnsi="宋体" w:eastAsia="宋体"/>
      <w:color w:val="3366FF"/>
      <w:sz w:val="24"/>
      <w:szCs w:val="24"/>
      <w:u w:val="none"/>
    </w:rPr>
  </w:style>
  <w:style w:type="paragraph" w:customStyle="1" w:styleId="77">
    <w:name w:val="Char Char15"/>
    <w:basedOn w:val="1"/>
    <w:qFormat/>
    <w:uiPriority w:val="0"/>
    <w:rPr>
      <w:rFonts w:ascii="Tahoma" w:hAnsi="Tahoma" w:eastAsia="仿宋_GB2312"/>
      <w:sz w:val="24"/>
    </w:rPr>
  </w:style>
  <w:style w:type="paragraph" w:customStyle="1" w:styleId="78">
    <w:name w:val="列出段落1"/>
    <w:basedOn w:val="1"/>
    <w:qFormat/>
    <w:uiPriority w:val="0"/>
    <w:pPr>
      <w:ind w:firstLine="420" w:firstLineChars="200"/>
    </w:pPr>
    <w:rPr>
      <w:rFonts w:ascii="Calibri" w:hAnsi="Calibri"/>
      <w:szCs w:val="22"/>
    </w:rPr>
  </w:style>
  <w:style w:type="paragraph" w:customStyle="1" w:styleId="79">
    <w:name w:val="Char2"/>
    <w:basedOn w:val="1"/>
    <w:qFormat/>
    <w:uiPriority w:val="0"/>
    <w:pPr>
      <w:tabs>
        <w:tab w:val="left" w:pos="360"/>
      </w:tabs>
    </w:pPr>
    <w:rPr>
      <w:sz w:val="24"/>
      <w:szCs w:val="24"/>
    </w:rPr>
  </w:style>
  <w:style w:type="paragraph" w:customStyle="1" w:styleId="80">
    <w:name w:val="Char16"/>
    <w:basedOn w:val="1"/>
    <w:qFormat/>
    <w:uiPriority w:val="0"/>
    <w:rPr>
      <w:rFonts w:ascii="Tahoma" w:hAnsi="Tahoma" w:eastAsia="仿宋_GB2312"/>
      <w:sz w:val="24"/>
    </w:rPr>
  </w:style>
  <w:style w:type="paragraph" w:customStyle="1" w:styleId="81">
    <w:name w:val="Char Char1"/>
    <w:basedOn w:val="1"/>
    <w:qFormat/>
    <w:uiPriority w:val="0"/>
    <w:rPr>
      <w:rFonts w:ascii="Tahoma" w:hAnsi="Tahoma"/>
      <w:sz w:val="24"/>
    </w:rPr>
  </w:style>
  <w:style w:type="paragraph" w:customStyle="1" w:styleId="82">
    <w:name w:val="Char Char Char Char Char Char Char"/>
    <w:basedOn w:val="1"/>
    <w:qFormat/>
    <w:uiPriority w:val="0"/>
    <w:rPr>
      <w:szCs w:val="24"/>
    </w:rPr>
  </w:style>
  <w:style w:type="paragraph" w:customStyle="1" w:styleId="83">
    <w:name w:val="Char Char"/>
    <w:basedOn w:val="1"/>
    <w:qFormat/>
    <w:uiPriority w:val="0"/>
    <w:rPr>
      <w:rFonts w:ascii="Tahoma" w:hAnsi="Tahoma" w:cs="仿宋_GB2312"/>
      <w:sz w:val="24"/>
    </w:rPr>
  </w:style>
  <w:style w:type="paragraph" w:customStyle="1" w:styleId="84">
    <w:name w:val="Char Char2"/>
    <w:basedOn w:val="1"/>
    <w:qFormat/>
    <w:uiPriority w:val="0"/>
    <w:rPr>
      <w:rFonts w:ascii="Tahoma" w:hAnsi="Tahoma" w:cs="仿宋_GB2312"/>
      <w:sz w:val="24"/>
    </w:rPr>
  </w:style>
  <w:style w:type="paragraph" w:customStyle="1" w:styleId="85">
    <w:name w:val="Char Char Char1"/>
    <w:basedOn w:val="1"/>
    <w:qFormat/>
    <w:uiPriority w:val="0"/>
    <w:rPr>
      <w:rFonts w:ascii="Tahoma" w:hAnsi="Tahoma"/>
      <w:sz w:val="24"/>
    </w:rPr>
  </w:style>
  <w:style w:type="paragraph" w:customStyle="1" w:styleId="86">
    <w:name w:val="D&amp;L"/>
    <w:basedOn w:val="21"/>
    <w:qFormat/>
    <w:uiPriority w:val="0"/>
    <w:pPr>
      <w:pBdr>
        <w:bottom w:val="thinThickSmallGap" w:color="auto" w:sz="18" w:space="1"/>
      </w:pBdr>
      <w:adjustRightInd w:val="0"/>
      <w:snapToGrid/>
      <w:spacing w:line="240" w:lineRule="atLeast"/>
      <w:textAlignment w:val="baseline"/>
    </w:pPr>
    <w:rPr>
      <w:kern w:val="0"/>
      <w:sz w:val="24"/>
      <w:szCs w:val="20"/>
      <w:lang w:val="zh-CN"/>
    </w:rPr>
  </w:style>
  <w:style w:type="character" w:customStyle="1" w:styleId="87">
    <w:name w:val="正文文本 3 Char"/>
    <w:basedOn w:val="36"/>
    <w:link w:val="9"/>
    <w:qFormat/>
    <w:uiPriority w:val="99"/>
    <w:rPr>
      <w:rFonts w:ascii="Calibri" w:hAnsi="Calibri" w:eastAsia="宋体" w:cs="Times New Roman"/>
      <w:sz w:val="16"/>
      <w:szCs w:val="16"/>
      <w:lang w:val="zh-CN" w:eastAsia="zh-CN"/>
    </w:rPr>
  </w:style>
  <w:style w:type="paragraph" w:customStyle="1" w:styleId="88">
    <w:name w:val="xl31"/>
    <w:basedOn w:val="1"/>
    <w:qFormat/>
    <w:uiPriority w:val="0"/>
    <w:pPr>
      <w:widowControl/>
      <w:spacing w:before="100" w:beforeAutospacing="1" w:after="100" w:afterAutospacing="1"/>
      <w:jc w:val="center"/>
    </w:pPr>
    <w:rPr>
      <w:rFonts w:ascii="宋体" w:hAnsi="宋体"/>
      <w:b/>
      <w:bCs/>
      <w:kern w:val="0"/>
      <w:sz w:val="28"/>
      <w:szCs w:val="28"/>
    </w:rPr>
  </w:style>
  <w:style w:type="paragraph" w:customStyle="1" w:styleId="89">
    <w:name w:val="正文_0"/>
    <w:qFormat/>
    <w:uiPriority w:val="0"/>
    <w:pPr>
      <w:widowControl w:val="0"/>
      <w:jc w:val="both"/>
    </w:pPr>
    <w:rPr>
      <w:rFonts w:ascii="Times New Roman" w:hAnsi="Times New Roman" w:eastAsia="宋体" w:cs="Times New Roman"/>
      <w:kern w:val="2"/>
      <w:sz w:val="21"/>
      <w:lang w:val="en-US" w:eastAsia="zh-CN" w:bidi="ar-SA"/>
    </w:rPr>
  </w:style>
  <w:style w:type="character" w:customStyle="1" w:styleId="90">
    <w:name w:val="style23"/>
    <w:qFormat/>
    <w:uiPriority w:val="0"/>
    <w:rPr>
      <w:rFonts w:ascii="Times New Roman" w:hAnsi="Times New Roman" w:eastAsia="宋体"/>
    </w:rPr>
  </w:style>
  <w:style w:type="paragraph" w:customStyle="1" w:styleId="91">
    <w:name w:val="p0"/>
    <w:basedOn w:val="1"/>
    <w:qFormat/>
    <w:uiPriority w:val="0"/>
    <w:pPr>
      <w:widowControl/>
      <w:jc w:val="left"/>
    </w:pPr>
    <w:rPr>
      <w:rFonts w:ascii="等线" w:hAnsi="等线" w:eastAsia="等线" w:cs="等线"/>
      <w:kern w:val="0"/>
      <w:sz w:val="20"/>
      <w:szCs w:val="22"/>
    </w:rPr>
  </w:style>
  <w:style w:type="paragraph" w:customStyle="1" w:styleId="92">
    <w:name w:val="列表段落1"/>
    <w:basedOn w:val="1"/>
    <w:qFormat/>
    <w:uiPriority w:val="34"/>
    <w:pPr>
      <w:ind w:firstLine="420" w:firstLineChars="200"/>
    </w:pPr>
    <w:rPr>
      <w:szCs w:val="24"/>
    </w:rPr>
  </w:style>
  <w:style w:type="paragraph" w:customStyle="1" w:styleId="93">
    <w:name w:val="y-正文"/>
    <w:basedOn w:val="1"/>
    <w:qFormat/>
    <w:uiPriority w:val="0"/>
    <w:pPr>
      <w:widowControl/>
      <w:adjustRightInd w:val="0"/>
      <w:snapToGrid w:val="0"/>
      <w:spacing w:after="80" w:line="360" w:lineRule="auto"/>
      <w:ind w:firstLine="480" w:firstLineChars="200"/>
      <w:jc w:val="left"/>
    </w:pPr>
    <w:rPr>
      <w:rFonts w:ascii="Tahoma" w:hAnsi="Tahoma" w:eastAsia="微软雅黑"/>
      <w:kern w:val="0"/>
      <w:sz w:val="24"/>
      <w:szCs w:val="28"/>
    </w:rPr>
  </w:style>
  <w:style w:type="paragraph" w:customStyle="1" w:styleId="94">
    <w:name w:val="Table Paragraph"/>
    <w:basedOn w:val="1"/>
    <w:qFormat/>
    <w:uiPriority w:val="1"/>
  </w:style>
  <w:style w:type="character" w:customStyle="1" w:styleId="95">
    <w:name w:val="标题 2 Char1"/>
    <w:link w:val="3"/>
    <w:qFormat/>
    <w:uiPriority w:val="0"/>
    <w:rPr>
      <w:rFonts w:ascii="Arial" w:hAnsi="Arial" w:eastAsia="黑体"/>
      <w:b/>
      <w:bCs/>
      <w:sz w:val="32"/>
      <w:szCs w:val="32"/>
    </w:rPr>
  </w:style>
  <w:style w:type="paragraph" w:styleId="96">
    <w:name w:val="List Paragraph"/>
    <w:basedOn w:val="1"/>
    <w:qFormat/>
    <w:uiPriority w:val="99"/>
    <w:pPr>
      <w:ind w:firstLine="420" w:firstLineChars="200"/>
    </w:pPr>
  </w:style>
  <w:style w:type="table" w:customStyle="1" w:styleId="97">
    <w:name w:val="Table Normal"/>
    <w:semiHidden/>
    <w:unhideWhenUsed/>
    <w:qFormat/>
    <w:uiPriority w:val="0"/>
    <w:rPr>
      <w:rFonts w:ascii="Arial" w:hAnsi="Arial" w:cs="Arial"/>
    </w:rPr>
    <w:tblPr>
      <w:tblCellMar>
        <w:top w:w="0" w:type="dxa"/>
        <w:left w:w="0" w:type="dxa"/>
        <w:bottom w:w="0" w:type="dxa"/>
        <w:right w:w="0" w:type="dxa"/>
      </w:tblCellMar>
    </w:tblPr>
  </w:style>
  <w:style w:type="paragraph" w:customStyle="1" w:styleId="98">
    <w:name w:val="WPSOffice手动目录 1"/>
    <w:qFormat/>
    <w:uiPriority w:val="0"/>
    <w:pPr>
      <w:ind w:leftChars="0"/>
    </w:pPr>
    <w:rPr>
      <w:rFonts w:ascii="Times New Roman" w:hAnsi="Times New Roman" w:eastAsia="宋体" w:cs="Times New Roman"/>
      <w:sz w:val="20"/>
      <w:szCs w:val="20"/>
    </w:rPr>
  </w:style>
  <w:style w:type="paragraph" w:customStyle="1" w:styleId="99">
    <w:name w:val="模板普通正文"/>
    <w:basedOn w:val="11"/>
    <w:autoRedefine/>
    <w:qFormat/>
    <w:uiPriority w:val="0"/>
    <w:pPr>
      <w:spacing w:beforeLines="50" w:after="10"/>
      <w:ind w:left="0" w:leftChars="0" w:firstLine="490" w:firstLineChars="175"/>
      <w:jc w:val="left"/>
    </w:pPr>
    <w:rPr>
      <w:sz w:val="20"/>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33</Pages>
  <Words>12833</Words>
  <Characters>13424</Characters>
  <Lines>177</Lines>
  <Paragraphs>49</Paragraphs>
  <TotalTime>44</TotalTime>
  <ScaleCrop>false</ScaleCrop>
  <LinksUpToDate>false</LinksUpToDate>
  <CharactersWithSpaces>14174</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2017-04-19T23:21:00Z</dcterms:created>
  <dc:creator>朱少尉</dc:creator>
  <cp:lastModifiedBy>徐学文</cp:lastModifiedBy>
  <cp:lastPrinted>2024-08-20T08:39:00Z</cp:lastPrinted>
  <dcterms:modified xsi:type="dcterms:W3CDTF">2024-08-20T09:22:37Z</dcterms:modified>
  <cp:revision>148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70845AFD6C13403C95161FF73BBADF78_13</vt:lpwstr>
  </property>
</Properties>
</file>