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highlight w:val="none"/>
          <w:lang w:val="en-US" w:eastAsia="zh-CN"/>
        </w:rPr>
      </w:pPr>
    </w:p>
    <w:p>
      <w:pPr>
        <w:pStyle w:val="17"/>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6"/>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7"/>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预拌砂浆运输罐车采购项目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DBSCG-2022-094</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霍山矿产新型建材有限公司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七月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pPr>
    </w:p>
    <w:p>
      <w:pPr>
        <w:pStyle w:val="17"/>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供应商对疑问提交时间、补遗时间、答疑时间等安排如有异议，或对投标截止时间及开标时间等安排如有异议，请以供应商须知前附表规定的时间内，以书面形式告知本公司并说明原因，如未提出异议的，视同默认招标文件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6"/>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6</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2</w:t>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4" w:name="_Toc4288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eastAsia="宋体" w:cs="宋体"/>
          <w:b/>
          <w:color w:val="auto"/>
          <w:kern w:val="0"/>
          <w:sz w:val="32"/>
          <w:szCs w:val="32"/>
          <w:highlight w:val="none"/>
          <w:lang w:val="en-US" w:eastAsia="zh-CN" w:bidi="ar-SA"/>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5" w:name="_Toc14824_WPSOffice_Level1"/>
      <w:r>
        <w:rPr>
          <w:rFonts w:hint="eastAsia" w:ascii="宋体" w:hAnsi="宋体" w:cs="宋体"/>
          <w:b/>
          <w:color w:val="auto"/>
          <w:kern w:val="0"/>
          <w:sz w:val="32"/>
          <w:szCs w:val="32"/>
          <w:highlight w:val="none"/>
          <w:lang w:val="en-US" w:eastAsia="zh-CN" w:bidi="ar-SA"/>
        </w:rPr>
        <w:t>预拌砂浆运输罐车采购项目</w:t>
      </w:r>
      <w:r>
        <w:rPr>
          <w:rFonts w:hint="eastAsia" w:ascii="宋体" w:hAnsi="宋体" w:eastAsia="宋体" w:cs="宋体"/>
          <w:b/>
          <w:color w:val="auto"/>
          <w:kern w:val="0"/>
          <w:sz w:val="32"/>
          <w:szCs w:val="32"/>
          <w:highlight w:val="none"/>
          <w:lang w:val="en-US" w:eastAsia="zh-CN" w:bidi="ar-SA"/>
        </w:rPr>
        <w:t>询价公告</w:t>
      </w:r>
      <w:bookmarkEnd w:id="5"/>
    </w:p>
    <w:p>
      <w:pPr>
        <w:pStyle w:val="17"/>
        <w:keepNext w:val="0"/>
        <w:keepLines w:val="0"/>
        <w:pageBreakBefore w:val="0"/>
        <w:widowControl w:val="0"/>
        <w:kinsoku/>
        <w:wordWrap/>
        <w:overflowPunct/>
        <w:topLinePunct w:val="0"/>
        <w:autoSpaceDE/>
        <w:autoSpaceDN/>
        <w:bidi w:val="0"/>
        <w:adjustRightInd/>
        <w:snapToGrid/>
        <w:spacing w:line="200" w:lineRule="exact"/>
        <w:ind w:firstLine="425"/>
        <w:textAlignment w:val="auto"/>
        <w:rPr>
          <w:rFonts w:hint="eastAsia"/>
          <w:lang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霍山矿产新型建材有限公司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预拌砂浆运输罐车采购项目</w:t>
      </w:r>
      <w:bookmarkStart w:id="89" w:name="_GoBack"/>
      <w:bookmarkEnd w:id="89"/>
      <w:r>
        <w:rPr>
          <w:rFonts w:hint="eastAsia" w:ascii="宋体" w:hAnsi="宋体" w:cs="宋体"/>
          <w:i w:val="0"/>
          <w:caps w:val="0"/>
          <w:color w:val="auto"/>
          <w:spacing w:val="0"/>
          <w:sz w:val="21"/>
          <w:szCs w:val="21"/>
          <w:highlight w:val="none"/>
          <w:shd w:val="clear" w:color="auto" w:fill="FFFFFF"/>
          <w:lang w:val="en-US" w:eastAsia="zh-CN"/>
        </w:rPr>
        <w:t>，根据《国有企业采购操作规范》和《安徽大别山国投集团招标采购制度》相关规定，经集团审批后本项目采用询价方式采购，欢迎符合条件的国内的供应商参加。</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预拌砂浆运输罐车采购项目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yellow"/>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DBSCG-2022-094</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val="en-US" w:eastAsia="zh-CN"/>
        </w:rPr>
        <w:t>430000元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7、项目最高限价：肆拾叁万元整（小写：￥430000.00元）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s="宋体"/>
          <w:i w:val="0"/>
          <w:caps w:val="0"/>
          <w:color w:val="auto"/>
          <w:spacing w:val="0"/>
          <w:sz w:val="21"/>
          <w:szCs w:val="21"/>
          <w:highlight w:val="none"/>
          <w:shd w:val="clear" w:color="auto" w:fill="FFFFFF"/>
          <w:lang w:val="en-US" w:eastAsia="zh-CN"/>
        </w:rPr>
        <w:t>15日历天</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both"/>
        <w:textAlignment w:val="auto"/>
        <w:outlineLvl w:val="9"/>
        <w:rPr>
          <w:rFonts w:hint="default" w:ascii="宋体" w:hAnsi="宋体"/>
          <w:color w:val="0000FF"/>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olor w:val="auto"/>
          <w:sz w:val="21"/>
          <w:szCs w:val="21"/>
          <w:highlight w:val="none"/>
          <w:lang w:val="en-US" w:eastAsia="zh-CN"/>
        </w:rPr>
        <w:t>预拌砂浆运输罐车采购项目，主要采购内容为30m³国六8X4干混砂浆整车一辆，用于散装成品料运输，详见采购需求，预算价格约430000元。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none"/>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2、供应商应具有独立法人资格，营业执照应具有汽车销售类等相关经营范围。</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本项目勿需报名，投标供应商于2022年</w:t>
      </w:r>
      <w:r>
        <w:rPr>
          <w:rFonts w:hint="eastAsia" w:ascii="宋体" w:hAnsi="宋体" w:cs="宋体"/>
          <w:i w:val="0"/>
          <w:caps w:val="0"/>
          <w:color w:val="auto"/>
          <w:spacing w:val="0"/>
          <w:sz w:val="21"/>
          <w:szCs w:val="21"/>
          <w:highlight w:val="none"/>
          <w:shd w:val="clear" w:color="auto" w:fill="FFFFFF"/>
          <w:lang w:val="en-US" w:eastAsia="zh-CN"/>
        </w:rPr>
        <w:t>7</w:t>
      </w:r>
      <w:r>
        <w:rPr>
          <w:rFonts w:hint="eastAsia" w:ascii="宋体" w:hAnsi="宋体" w:eastAsia="宋体" w:cs="宋体"/>
          <w:i w:val="0"/>
          <w:caps w:val="0"/>
          <w:color w:val="auto"/>
          <w:spacing w:val="0"/>
          <w:sz w:val="21"/>
          <w:szCs w:val="21"/>
          <w:highlight w:val="none"/>
          <w:shd w:val="clear" w:color="auto" w:fill="FFFFFF"/>
        </w:rPr>
        <w:t>月</w:t>
      </w:r>
      <w:r>
        <w:rPr>
          <w:rFonts w:hint="eastAsia" w:ascii="宋体" w:hAnsi="宋体" w:eastAsia="宋体" w:cs="宋体"/>
          <w:i w:val="0"/>
          <w:caps w:val="0"/>
          <w:color w:val="auto"/>
          <w:spacing w:val="0"/>
          <w:sz w:val="21"/>
          <w:szCs w:val="21"/>
          <w:highlight w:val="none"/>
          <w:shd w:val="clear" w:color="auto" w:fill="FFFFFF"/>
          <w:lang w:val="en-US" w:eastAsia="zh-CN"/>
        </w:rPr>
        <w:t>29</w:t>
      </w:r>
      <w:r>
        <w:rPr>
          <w:rFonts w:hint="eastAsia" w:ascii="宋体" w:hAnsi="宋体" w:eastAsia="宋体" w:cs="宋体"/>
          <w:i w:val="0"/>
          <w:caps w:val="0"/>
          <w:color w:val="auto"/>
          <w:spacing w:val="0"/>
          <w:sz w:val="21"/>
          <w:szCs w:val="21"/>
          <w:highlight w:val="none"/>
          <w:shd w:val="clear" w:color="auto" w:fill="FFFFFF"/>
        </w:rPr>
        <w:t>日起（北京时间，下同）起自行登录安徽大别山国有资产投资（控股）集团有限公司（http://ahdmig.cn/）“招标采购”栏目中下载招标文件等相关资料。请投标供应商关注安徽大别山国有资产投资（控股）集团有限公司（http://ahdmig.cn/）“招标采购” “补充公告”中关于本项目的补遗、答疑等内容。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lang w:val="en-US"/>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8月2</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9</w:t>
      </w:r>
      <w:r>
        <w:rPr>
          <w:rFonts w:hint="eastAsia" w:ascii="宋体" w:hAnsi="宋体" w:cs="宋体"/>
          <w:i w:val="0"/>
          <w:caps w:val="0"/>
          <w:color w:val="auto"/>
          <w:spacing w:val="0"/>
          <w:sz w:val="21"/>
          <w:szCs w:val="21"/>
          <w:highlight w:val="none"/>
          <w:u w:val="single"/>
          <w:shd w:val="clear" w:color="auto" w:fill="FFFFFF"/>
          <w:lang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00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422" w:firstLineChars="200"/>
        <w:textAlignment w:val="auto"/>
        <w:outlineLvl w:val="9"/>
        <w:rPr>
          <w:rFonts w:hint="eastAsia" w:ascii="宋体" w:hAnsi="宋体" w:cs="宋体"/>
          <w:i w:val="0"/>
          <w:caps w:val="0"/>
          <w:color w:val="auto"/>
          <w:spacing w:val="0"/>
          <w:sz w:val="21"/>
          <w:szCs w:val="21"/>
          <w:highlight w:val="none"/>
          <w:u w:val="singl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rPr>
        <w:t>六、</w:t>
      </w:r>
      <w:r>
        <w:rPr>
          <w:rFonts w:hint="eastAsia" w:ascii="宋体" w:hAnsi="宋体" w:eastAsia="宋体" w:cs="宋体"/>
          <w:b w:val="0"/>
          <w:bCs/>
          <w:i w:val="0"/>
          <w:caps w:val="0"/>
          <w:color w:val="auto"/>
          <w:spacing w:val="0"/>
          <w:sz w:val="21"/>
          <w:szCs w:val="21"/>
          <w:highlight w:val="none"/>
          <w:shd w:val="clear" w:color="auto" w:fill="FFFFFF"/>
        </w:rPr>
        <w:t>根据六安市新型疫情防控应急综合指挥部《六安市进一步加强当前疫情防控工作的通知》（2022第2号）、《关于开展健康码和新冠病毒疫苗接种记录双查验的通告》等文件要求，需对疫情防控事项部分内容进行调整，现将调整内容通知如下：</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r>
        <w:rPr>
          <w:rFonts w:hint="eastAsia" w:ascii="宋体" w:hAnsi="宋体" w:eastAsia="宋体" w:cs="宋体"/>
          <w:b w:val="0"/>
          <w:bCs/>
          <w:i w:val="0"/>
          <w:caps w:val="0"/>
          <w:color w:val="auto"/>
          <w:spacing w:val="0"/>
          <w:sz w:val="21"/>
          <w:szCs w:val="21"/>
          <w:highlight w:val="none"/>
          <w:shd w:val="clear" w:color="auto" w:fill="FFFFFF"/>
        </w:rPr>
        <w:t>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1、</w:t>
      </w:r>
      <w:r>
        <w:rPr>
          <w:rFonts w:hint="eastAsia" w:ascii="宋体" w:hAnsi="宋体" w:eastAsia="宋体" w:cs="宋体"/>
          <w:i w:val="0"/>
          <w:caps w:val="0"/>
          <w:color w:val="auto"/>
          <w:spacing w:val="0"/>
          <w:sz w:val="21"/>
          <w:szCs w:val="21"/>
          <w:highlight w:val="none"/>
          <w:shd w:val="clear" w:color="auto" w:fill="FFFFFF"/>
        </w:rPr>
        <w:t>项目单位：</w:t>
      </w: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安徽省六安市霍山县下符桥镇下符桥村骑龙组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曹先生</w:t>
      </w:r>
      <w:r>
        <w:rPr>
          <w:rFonts w:hint="eastAsia" w:ascii="宋体" w:hAnsi="宋体" w:eastAsia="宋体" w:cs="宋体"/>
          <w:i w:val="0"/>
          <w:caps w:val="0"/>
          <w:color w:val="auto"/>
          <w:spacing w:val="0"/>
          <w:sz w:val="21"/>
          <w:szCs w:val="21"/>
          <w:highlight w:val="none"/>
          <w:shd w:val="clear" w:color="auto" w:fill="FFFFFF"/>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jc w:val="both"/>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联系电话</w:t>
      </w:r>
      <w:r>
        <w:rPr>
          <w:rFonts w:hint="eastAsia" w:ascii="宋体" w:hAnsi="宋体" w:cs="宋体"/>
          <w:i w:val="0"/>
          <w:caps w:val="0"/>
          <w:color w:val="auto"/>
          <w:spacing w:val="0"/>
          <w:sz w:val="21"/>
          <w:szCs w:val="21"/>
          <w:highlight w:val="none"/>
          <w:shd w:val="clear" w:color="auto" w:fill="FFFFFF"/>
          <w:lang w:val="en-US" w:eastAsia="zh-CN"/>
        </w:rPr>
        <w:t>：13675516961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20033，15105648622</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420" w:firstLineChars="2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cs="宋体"/>
          <w:i w:val="0"/>
          <w:caps w:val="0"/>
          <w:color w:val="auto"/>
          <w:spacing w:val="0"/>
          <w:sz w:val="21"/>
          <w:szCs w:val="21"/>
          <w:highlight w:val="none"/>
          <w:shd w:val="clear" w:color="auto" w:fill="FFFFFF"/>
          <w:lang w:val="en-US" w:eastAsia="zh-CN"/>
        </w:rPr>
        <w:t>3、监督部门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kern w:val="2"/>
          <w:sz w:val="21"/>
          <w:szCs w:val="22"/>
          <w:highlight w:val="none"/>
          <w:lang w:val="en-US" w:eastAsia="zh-CN" w:bidi="ar-SA"/>
        </w:rPr>
        <w:t>安徽大别山国投集团纪检监察室</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电  话：0564-5020180</w:t>
      </w: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7月29日</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6" w:name="_Toc25245_WPSOffice_Level1"/>
      <w:r>
        <w:rPr>
          <w:rFonts w:hint="eastAsia" w:ascii="宋体" w:hAnsi="宋体" w:eastAsia="宋体" w:cs="宋体"/>
          <w:b/>
          <w:color w:val="auto"/>
          <w:kern w:val="0"/>
          <w:sz w:val="32"/>
          <w:szCs w:val="32"/>
          <w:highlight w:val="none"/>
          <w:lang w:val="en-US" w:eastAsia="zh-CN" w:bidi="ar-SA"/>
        </w:rPr>
        <w:t>二、报价响应须知</w:t>
      </w:r>
      <w:bookmarkEnd w:id="1"/>
      <w:bookmarkEnd w:id="2"/>
      <w:bookmarkEnd w:id="6"/>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7" w:name="_Toc28280"/>
      <w:r>
        <w:rPr>
          <w:rFonts w:hint="eastAsia" w:ascii="宋体" w:hAnsi="宋体" w:eastAsia="宋体" w:cs="宋体"/>
          <w:bCs/>
          <w:color w:val="auto"/>
          <w:sz w:val="28"/>
          <w:szCs w:val="28"/>
          <w:highlight w:val="none"/>
        </w:rPr>
        <w:t>（一）须知前附表</w:t>
      </w:r>
      <w:bookmarkEnd w:id="7"/>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霍山矿产新型建材有限公司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安徽省六安市霍山县下符桥镇下符桥村骑龙组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cs="宋体"/>
                <w:i w:val="0"/>
                <w:caps w:val="0"/>
                <w:color w:val="auto"/>
                <w:spacing w:val="0"/>
                <w:sz w:val="21"/>
                <w:szCs w:val="21"/>
                <w:highlight w:val="none"/>
                <w:shd w:val="clear" w:color="auto" w:fill="FFFFFF"/>
                <w:lang w:val="en-US" w:eastAsia="zh-CN"/>
              </w:rPr>
              <w:t>曹</w:t>
            </w:r>
            <w:r>
              <w:rPr>
                <w:rFonts w:hint="eastAsia" w:ascii="宋体" w:hAnsi="宋体" w:cs="宋体"/>
                <w:i w:val="0"/>
                <w:caps w:val="0"/>
                <w:color w:val="auto"/>
                <w:spacing w:val="0"/>
                <w:sz w:val="21"/>
                <w:szCs w:val="21"/>
                <w:highlight w:val="none"/>
                <w:shd w:val="clear" w:color="auto" w:fill="FFFFFF"/>
                <w:lang w:val="en-US" w:eastAsia="zh-CN"/>
              </w:rPr>
              <w:t>先生</w:t>
            </w:r>
            <w:r>
              <w:rPr>
                <w:rFonts w:hint="eastAsia" w:ascii="宋体" w:hAnsi="宋体" w:eastAsia="宋体" w:cs="宋体"/>
                <w:i w:val="0"/>
                <w:caps w:val="0"/>
                <w:color w:val="auto"/>
                <w:spacing w:val="0"/>
                <w:sz w:val="21"/>
                <w:szCs w:val="21"/>
                <w:highlight w:val="none"/>
                <w:shd w:val="clear" w:color="auto" w:fill="FFFFFF"/>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联系电话：</w:t>
            </w:r>
            <w:r>
              <w:rPr>
                <w:rFonts w:hint="eastAsia" w:ascii="宋体" w:hAnsi="宋体" w:cs="宋体"/>
                <w:i w:val="0"/>
                <w:caps w:val="0"/>
                <w:color w:val="auto"/>
                <w:spacing w:val="0"/>
                <w:sz w:val="21"/>
                <w:szCs w:val="21"/>
                <w:highlight w:val="none"/>
                <w:shd w:val="clear" w:color="auto" w:fill="FFFFFF"/>
                <w:lang w:val="en-US" w:eastAsia="zh-CN"/>
              </w:rPr>
              <w:t>13675516961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汪女士</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预拌砂浆运输罐车采购项目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val="0"/>
                <w:bCs w:val="0"/>
                <w:color w:val="auto"/>
                <w:kern w:val="2"/>
                <w:sz w:val="21"/>
                <w:szCs w:val="21"/>
                <w:highlight w:val="none"/>
                <w:u w:val="none"/>
                <w:lang w:val="en-US" w:eastAsia="zh-CN" w:bidi="ar-SA"/>
              </w:rPr>
              <w:t>DBSCG-2022-094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cs="宋体"/>
                <w:b w:val="0"/>
                <w:bCs w:val="0"/>
                <w:color w:val="auto"/>
                <w:kern w:val="2"/>
                <w:sz w:val="21"/>
                <w:szCs w:val="21"/>
                <w:highlight w:val="none"/>
                <w:u w:val="none"/>
                <w:lang w:val="en-US" w:eastAsia="zh-CN" w:bidi="ar-SA"/>
              </w:rPr>
            </w:pPr>
            <w:r>
              <w:rPr>
                <w:rFonts w:hint="eastAsia" w:cs="宋体"/>
                <w:i w:val="0"/>
                <w:caps w:val="0"/>
                <w:color w:val="auto"/>
                <w:spacing w:val="0"/>
                <w:sz w:val="21"/>
                <w:szCs w:val="21"/>
                <w:highlight w:val="none"/>
                <w:shd w:val="clear" w:color="auto" w:fill="FFFFFF"/>
                <w:lang w:val="en-US" w:eastAsia="zh-CN"/>
              </w:rPr>
              <w:t>肆拾叁万元整（小写：¥430000.00元）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cs="宋体"/>
                <w:b w:val="0"/>
                <w:bCs w:val="0"/>
                <w:color w:val="auto"/>
                <w:kern w:val="2"/>
                <w:sz w:val="21"/>
                <w:szCs w:val="21"/>
                <w:highlight w:val="none"/>
                <w:u w:val="none"/>
                <w:lang w:val="en-US" w:eastAsia="zh-CN" w:bidi="ar-SA"/>
              </w:rPr>
              <w:t>60</w:t>
            </w:r>
            <w:r>
              <w:rPr>
                <w:rFonts w:hint="eastAsia" w:ascii="宋体" w:hAnsi="宋体" w:eastAsia="宋体" w:cs="宋体"/>
                <w:b w:val="0"/>
                <w:bCs w:val="0"/>
                <w:color w:val="auto"/>
                <w:kern w:val="2"/>
                <w:sz w:val="21"/>
                <w:szCs w:val="21"/>
                <w:highlight w:val="none"/>
                <w:u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b/>
                <w:bCs/>
                <w:color w:val="auto"/>
                <w:kern w:val="2"/>
                <w:sz w:val="21"/>
                <w:szCs w:val="21"/>
                <w:highlight w:val="none"/>
                <w:u w:val="none"/>
                <w:lang w:val="en-US" w:eastAsia="zh-CN" w:bidi="ar-SA"/>
              </w:rPr>
              <w:t>货到验收合格后七日内一次性无息付清，结算时需提供13%的增值税专用发票。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供货</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15日历天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rPr>
            </w:pPr>
            <w:r>
              <w:rPr>
                <w:rFonts w:hint="eastAsia"/>
              </w:rPr>
              <w:t>询价方式：</w:t>
            </w:r>
            <w:r>
              <w:rPr>
                <w:rFonts w:hint="eastAsia"/>
                <w:lang w:eastAsia="zh-CN"/>
              </w:rPr>
              <w:t>现场</w:t>
            </w:r>
            <w:r>
              <w:rPr>
                <w:rFonts w:hint="eastAsia"/>
              </w:rPr>
              <w:t>询价</w:t>
            </w:r>
          </w:p>
          <w:p>
            <w:pPr>
              <w:adjustRightInd w:val="0"/>
              <w:snapToGrid w:val="0"/>
              <w:spacing w:line="320" w:lineRule="exact"/>
              <w:rPr>
                <w:rFonts w:hint="eastAsia"/>
              </w:rPr>
            </w:pPr>
            <w:r>
              <w:rPr>
                <w:rFonts w:hint="eastAsia"/>
              </w:rPr>
              <w:t>响应文件</w:t>
            </w:r>
            <w:r>
              <w:rPr>
                <w:rFonts w:hint="eastAsia"/>
                <w:lang w:eastAsia="zh-CN"/>
              </w:rPr>
              <w:t>递交</w:t>
            </w:r>
            <w:r>
              <w:rPr>
                <w:rFonts w:hint="eastAsia"/>
              </w:rPr>
              <w:t>截止时间及</w:t>
            </w:r>
            <w:r>
              <w:rPr>
                <w:rFonts w:hint="eastAsia"/>
                <w:lang w:val="en-US" w:eastAsia="zh-CN"/>
              </w:rPr>
              <w:t>询价</w:t>
            </w:r>
            <w:r>
              <w:rPr>
                <w:rFonts w:hint="eastAsia"/>
              </w:rPr>
              <w:t>时间：北京时间</w:t>
            </w:r>
            <w:r>
              <w:rPr>
                <w:rFonts w:hint="eastAsia"/>
                <w:lang w:eastAsia="zh-CN"/>
              </w:rPr>
              <w:t>2022年</w:t>
            </w:r>
            <w:r>
              <w:rPr>
                <w:rFonts w:hint="eastAsia"/>
                <w:lang w:val="en-US" w:eastAsia="zh-CN"/>
              </w:rPr>
              <w:t>8月2</w:t>
            </w:r>
            <w:r>
              <w:rPr>
                <w:rFonts w:hint="eastAsia"/>
                <w:lang w:eastAsia="zh-CN"/>
              </w:rPr>
              <w:t>日</w:t>
            </w:r>
            <w:r>
              <w:rPr>
                <w:rFonts w:hint="eastAsia"/>
                <w:lang w:val="en-US" w:eastAsia="zh-CN"/>
              </w:rPr>
              <w:t>9</w:t>
            </w:r>
            <w:r>
              <w:rPr>
                <w:rFonts w:hint="eastAsia"/>
                <w:lang w:eastAsia="zh-CN"/>
              </w:rPr>
              <w:t>时</w:t>
            </w:r>
            <w:r>
              <w:rPr>
                <w:rFonts w:hint="eastAsia"/>
                <w:lang w:val="en-US" w:eastAsia="zh-CN"/>
              </w:rPr>
              <w:t>00</w:t>
            </w:r>
            <w:r>
              <w:rPr>
                <w:rFonts w:hint="eastAsia"/>
                <w:lang w:eastAsia="zh-CN"/>
              </w:rPr>
              <w:t>分</w:t>
            </w:r>
            <w:r>
              <w:rPr>
                <w:rFonts w:hint="eastAsia"/>
              </w:rPr>
              <w:t>前</w:t>
            </w:r>
            <w:r>
              <w:rPr>
                <w:rFonts w:hint="eastAsia"/>
                <w:lang w:eastAsia="zh-CN"/>
              </w:rPr>
              <w:t>，</w:t>
            </w:r>
            <w:r>
              <w:rPr>
                <w:rFonts w:hint="eastAsia"/>
              </w:rPr>
              <w:t>逾期</w:t>
            </w:r>
            <w:r>
              <w:rPr>
                <w:rFonts w:hint="eastAsia"/>
                <w:lang w:eastAsia="zh-CN"/>
              </w:rPr>
              <w:t>递交</w:t>
            </w:r>
            <w:r>
              <w:rPr>
                <w:rFonts w:hint="eastAsia"/>
              </w:rPr>
              <w:t>，概不接受。同时在</w:t>
            </w:r>
            <w:r>
              <w:rPr>
                <w:rFonts w:hint="eastAsia"/>
                <w:lang w:eastAsia="zh-CN"/>
              </w:rPr>
              <w:t>响应文件递交截止时间</w:t>
            </w:r>
            <w:r>
              <w:rPr>
                <w:rFonts w:hint="eastAsia"/>
              </w:rPr>
              <w:t>前,供应商到</w:t>
            </w:r>
            <w:r>
              <w:rPr>
                <w:rFonts w:hint="eastAsia"/>
                <w:lang w:eastAsia="zh-CN"/>
              </w:rPr>
              <w:t>安徽大别山工程咨询有限公司</w:t>
            </w:r>
            <w:r>
              <w:rPr>
                <w:rFonts w:hint="eastAsia"/>
              </w:rPr>
              <w:t>开标厅参加投标。</w:t>
            </w:r>
          </w:p>
          <w:p>
            <w:pPr>
              <w:pStyle w:val="17"/>
              <w:ind w:left="0" w:leftChars="0" w:firstLine="0" w:firstLineChars="0"/>
              <w:rPr>
                <w:rFonts w:hint="eastAsia" w:eastAsia="宋体"/>
                <w:lang w:val="en-US" w:eastAsia="zh-CN"/>
              </w:rPr>
            </w:pPr>
            <w:r>
              <w:rPr>
                <w:rFonts w:hint="eastAsia" w:ascii="宋体" w:hAnsi="宋体" w:cs="宋体"/>
                <w:b/>
                <w:color w:val="auto"/>
                <w:sz w:val="21"/>
                <w:szCs w:val="21"/>
                <w:highlight w:val="none"/>
                <w:lang w:val="en-US" w:eastAsia="zh-CN"/>
              </w:rPr>
              <w:t>备注：供应商应派法定代表人或委托代理人参加。若法人代表本人参加开标会则需查验身份证原件、业绩证明材料原件（若有）、询价公告疫情防控要求相关原件；若代理人参加开标会则需查验法人授权委托书、代理人居民身份证原件、业绩证明材料原件（若有）、询价公告疫情防控要求相关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1453363455@qq.com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 xml:space="preserve">（十一）质疑规定，提出质疑。供应商在递交质疑函纸质版的同时，必须将与纸质版质疑函一致的电子版（为 </w:t>
            </w:r>
            <w:r>
              <w:rPr>
                <w:rFonts w:hint="eastAsia" w:ascii="宋体" w:hAnsi="宋体" w:eastAsia="宋体" w:cs="宋体"/>
                <w:color w:val="auto"/>
                <w:sz w:val="21"/>
                <w:szCs w:val="21"/>
                <w:highlight w:val="none"/>
                <w:u w:val="none"/>
                <w:lang w:val="en-US" w:eastAsia="zh-CN"/>
              </w:rPr>
              <w:fldChar w:fldCharType="begin"/>
            </w:r>
            <w:r>
              <w:rPr>
                <w:rFonts w:hint="eastAsia" w:ascii="宋体" w:hAnsi="宋体" w:eastAsia="宋体" w:cs="宋体"/>
                <w:color w:val="auto"/>
                <w:sz w:val="21"/>
                <w:szCs w:val="21"/>
                <w:highlight w:val="none"/>
                <w:u w:val="none"/>
                <w:lang w:val="en-US" w:eastAsia="zh-CN"/>
              </w:rPr>
              <w:instrText xml:space="preserve"> HYPERLINK "mailto:word或wps,可编辑模式）发送至1902993705@qq.com邮箱。质疑须在开标2天（2021年" </w:instrText>
            </w:r>
            <w:r>
              <w:rPr>
                <w:rFonts w:hint="eastAsia" w:ascii="宋体" w:hAnsi="宋体" w:eastAsia="宋体" w:cs="宋体"/>
                <w:color w:val="auto"/>
                <w:sz w:val="21"/>
                <w:szCs w:val="21"/>
                <w:highlight w:val="none"/>
                <w:u w:val="none"/>
                <w:lang w:val="en-US" w:eastAsia="zh-CN"/>
              </w:rPr>
              <w:fldChar w:fldCharType="separate"/>
            </w:r>
            <w:r>
              <w:rPr>
                <w:rStyle w:val="31"/>
                <w:rFonts w:hint="eastAsia" w:ascii="宋体" w:hAnsi="宋体" w:eastAsia="宋体" w:cs="宋体"/>
                <w:color w:val="auto"/>
                <w:sz w:val="21"/>
                <w:szCs w:val="21"/>
                <w:highlight w:val="none"/>
                <w:u w:val="none"/>
                <w:lang w:val="en-US" w:eastAsia="zh-CN"/>
              </w:rPr>
              <w:t>word或wps,可编辑模式）发送至</w:t>
            </w:r>
            <w:r>
              <w:rPr>
                <w:rStyle w:val="31"/>
                <w:rFonts w:hint="eastAsia" w:ascii="宋体" w:hAnsi="宋体" w:cs="宋体"/>
                <w:color w:val="auto"/>
                <w:sz w:val="21"/>
                <w:szCs w:val="21"/>
                <w:highlight w:val="none"/>
                <w:u w:val="none"/>
                <w:lang w:val="en-US" w:eastAsia="zh-CN"/>
              </w:rPr>
              <w:t>1453363455@qq.com</w:t>
            </w:r>
            <w:r>
              <w:rPr>
                <w:rStyle w:val="31"/>
                <w:rFonts w:hint="eastAsia" w:ascii="宋体" w:hAnsi="宋体" w:eastAsia="宋体" w:cs="宋体"/>
                <w:color w:val="auto"/>
                <w:sz w:val="21"/>
                <w:szCs w:val="21"/>
                <w:highlight w:val="none"/>
                <w:u w:val="none"/>
                <w:lang w:val="en-US" w:eastAsia="zh-CN"/>
              </w:rPr>
              <w:t>邮箱。质疑须在开标</w:t>
            </w:r>
            <w:r>
              <w:rPr>
                <w:rStyle w:val="31"/>
                <w:rFonts w:hint="eastAsia" w:ascii="宋体" w:hAnsi="宋体" w:cs="宋体"/>
                <w:color w:val="auto"/>
                <w:sz w:val="21"/>
                <w:szCs w:val="21"/>
                <w:highlight w:val="none"/>
                <w:u w:val="none"/>
                <w:lang w:val="en-US" w:eastAsia="zh-CN"/>
              </w:rPr>
              <w:t>2</w:t>
            </w:r>
            <w:r>
              <w:rPr>
                <w:rStyle w:val="31"/>
                <w:rFonts w:hint="eastAsia" w:ascii="宋体" w:hAnsi="宋体" w:eastAsia="宋体" w:cs="宋体"/>
                <w:color w:val="auto"/>
                <w:sz w:val="21"/>
                <w:szCs w:val="21"/>
                <w:highlight w:val="none"/>
                <w:u w:val="none"/>
                <w:lang w:val="en-US" w:eastAsia="zh-CN"/>
              </w:rPr>
              <w:t>天</w:t>
            </w:r>
            <w:r>
              <w:rPr>
                <w:rFonts w:hint="eastAsia" w:ascii="宋体" w:hAnsi="宋体" w:eastAsia="宋体" w:cs="宋体"/>
                <w:color w:val="auto"/>
                <w:sz w:val="21"/>
                <w:szCs w:val="21"/>
                <w:highlight w:val="none"/>
                <w:u w:val="none"/>
                <w:lang w:val="en-US" w:eastAsia="zh-CN"/>
              </w:rPr>
              <w:fldChar w:fldCharType="end"/>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备注</w:t>
            </w:r>
            <w:r>
              <w:rPr>
                <w:rFonts w:hint="eastAsia"/>
                <w:lang w:eastAsia="zh-CN"/>
              </w:rPr>
              <w:t>：</w:t>
            </w:r>
            <w:r>
              <w:rPr>
                <w:rFonts w:hint="eastAsia"/>
              </w:rPr>
              <w:t>1</w:t>
            </w:r>
            <w:r>
              <w:rPr>
                <w:rFonts w:hint="eastAsia"/>
                <w:lang w:eastAsia="zh-CN"/>
              </w:rPr>
              <w:t>、</w:t>
            </w:r>
            <w:r>
              <w:rPr>
                <w:rFonts w:hint="eastAsia"/>
                <w:lang w:val="en-US" w:eastAsia="zh-CN"/>
              </w:rPr>
              <w:t>采购代理服务费：</w:t>
            </w:r>
            <w:r>
              <w:rPr>
                <w:rFonts w:hint="eastAsia"/>
                <w:b/>
                <w:bCs/>
                <w:lang w:val="en-US" w:eastAsia="zh-CN"/>
              </w:rPr>
              <w:t>按照原发改委[2002]1980号文规定收取，由成交供应商支付。</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8" w:name="_Toc16823"/>
      <w:bookmarkStart w:id="9" w:name="_Toc438107743"/>
      <w:bookmarkStart w:id="10" w:name="_Toc363199267"/>
      <w:bookmarkStart w:id="11" w:name="_Toc216158627"/>
      <w:r>
        <w:rPr>
          <w:rFonts w:hint="eastAsia" w:ascii="宋体" w:hAnsi="宋体" w:eastAsia="宋体" w:cs="宋体"/>
          <w:bCs/>
          <w:color w:val="auto"/>
          <w:sz w:val="28"/>
          <w:szCs w:val="28"/>
          <w:highlight w:val="none"/>
        </w:rPr>
        <w:t>（二）供应商资格</w:t>
      </w:r>
      <w:bookmarkEnd w:id="8"/>
    </w:p>
    <w:bookmarkEnd w:id="9"/>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2" w:name="_Toc12806"/>
      <w:bookmarkStart w:id="13" w:name="_Toc216158625"/>
      <w:bookmarkStart w:id="14" w:name="_Toc438648662"/>
      <w:bookmarkStart w:id="15" w:name="_Toc363199266"/>
      <w:r>
        <w:rPr>
          <w:rFonts w:hint="eastAsia"/>
          <w:color w:val="auto"/>
          <w:sz w:val="24"/>
          <w:szCs w:val="24"/>
          <w:highlight w:val="none"/>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w:t>
      </w:r>
      <w:r>
        <w:rPr>
          <w:rFonts w:hint="eastAsia" w:ascii="Tahoma" w:hAnsi="Tahoma"/>
          <w:color w:val="auto"/>
          <w:sz w:val="21"/>
          <w:szCs w:val="21"/>
          <w:highlight w:val="none"/>
          <w:lang w:val="en-US" w:eastAsia="zh-CN"/>
        </w:rPr>
        <w:t>分项目报价表</w:t>
      </w:r>
      <w:r>
        <w:rPr>
          <w:rFonts w:hint="eastAsia" w:ascii="Tahoma" w:hAnsi="Tahom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供货、安装、售后服务承诺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6" w:name="_Toc3875"/>
      <w:r>
        <w:rPr>
          <w:rFonts w:hint="eastAsia" w:ascii="宋体" w:hAnsi="宋体" w:eastAsia="宋体" w:cs="宋体"/>
          <w:bCs/>
          <w:color w:val="auto"/>
          <w:sz w:val="28"/>
          <w:szCs w:val="28"/>
          <w:highlight w:val="none"/>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安徽大别山国投集团纪检监察室</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0"/>
    <w:bookmarkEnd w:id="11"/>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7" w:name="_Toc26915"/>
      <w:bookmarkStart w:id="18" w:name="_Toc216158630"/>
      <w:r>
        <w:rPr>
          <w:rFonts w:hint="eastAsia" w:ascii="宋体" w:hAnsi="宋体" w:eastAsia="宋体" w:cs="宋体"/>
          <w:bCs/>
          <w:color w:val="auto"/>
          <w:sz w:val="28"/>
          <w:szCs w:val="28"/>
          <w:highlight w:val="none"/>
        </w:rPr>
        <w:t>（五）</w:t>
      </w:r>
      <w:bookmarkStart w:id="19"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7"/>
    </w:p>
    <w:p>
      <w:pPr>
        <w:adjustRightInd w:val="0"/>
        <w:snapToGrid w:val="0"/>
        <w:spacing w:line="360" w:lineRule="exact"/>
        <w:ind w:firstLine="409" w:firstLineChars="195"/>
        <w:rPr>
          <w:rFonts w:hint="eastAsia" w:ascii="宋体" w:hAnsi="宋体" w:cs="宋体"/>
          <w:color w:val="auto"/>
          <w:highlight w:val="none"/>
        </w:rPr>
      </w:pPr>
      <w:bookmarkStart w:id="20"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文件的密封要求以及</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w:t>
      </w:r>
      <w:r>
        <w:rPr>
          <w:rFonts w:hint="eastAsia" w:ascii="宋体" w:hAnsi="宋体" w:cs="宋体"/>
          <w:b/>
          <w:color w:val="000000" w:themeColor="text1"/>
          <w:spacing w:val="-6"/>
          <w:kern w:val="0"/>
          <w:szCs w:val="21"/>
          <w:highlight w:val="none"/>
          <w:lang w:eastAsia="zh-CN"/>
          <w14:textFill>
            <w14:solidFill>
              <w14:schemeClr w14:val="tx1"/>
            </w14:solidFill>
          </w14:textFill>
        </w:rPr>
        <w:t>现场向</w:t>
      </w:r>
      <w:r>
        <w:rPr>
          <w:rFonts w:hint="eastAsia" w:ascii="宋体" w:hAnsi="宋体" w:cs="宋体"/>
          <w:b/>
          <w:color w:val="000000" w:themeColor="text1"/>
          <w:spacing w:val="-6"/>
          <w:kern w:val="0"/>
          <w:szCs w:val="21"/>
          <w:highlight w:val="none"/>
          <w:lang w:val="en-US" w:eastAsia="zh-CN"/>
          <w14:textFill>
            <w14:solidFill>
              <w14:schemeClr w14:val="tx1"/>
            </w14:solidFill>
          </w14:textFill>
        </w:rPr>
        <w:t>集团</w:t>
      </w:r>
      <w:r>
        <w:rPr>
          <w:rFonts w:hint="eastAsia" w:ascii="宋体" w:hAnsi="宋体" w:cs="宋体"/>
          <w:b/>
          <w:color w:val="000000" w:themeColor="text1"/>
          <w:spacing w:val="-6"/>
          <w:kern w:val="0"/>
          <w:szCs w:val="21"/>
          <w:highlight w:val="none"/>
          <w:lang w:eastAsia="zh-CN"/>
          <w14:textFill>
            <w14:solidFill>
              <w14:schemeClr w14:val="tx1"/>
            </w14:solidFill>
          </w14:textFill>
        </w:rPr>
        <w:t>申请转变采购方式</w:t>
      </w:r>
      <w:r>
        <w:rPr>
          <w:rFonts w:hint="eastAsia" w:ascii="宋体" w:hAnsi="宋体" w:cs="宋体"/>
          <w:b/>
          <w:color w:val="000000" w:themeColor="text1"/>
          <w:spacing w:val="-6"/>
          <w:kern w:val="0"/>
          <w:szCs w:val="21"/>
          <w:highlight w:val="none"/>
          <w14:textFill>
            <w14:solidFill>
              <w14:schemeClr w14:val="tx1"/>
            </w14:solidFill>
          </w14:textFill>
        </w:rPr>
        <w:t>。</w:t>
      </w:r>
      <w:r>
        <w:rPr>
          <w:rFonts w:hint="eastAsia" w:ascii="宋体" w:hAnsi="宋体" w:cs="宋体"/>
          <w:b/>
          <w:color w:val="auto"/>
          <w:kern w:val="0"/>
          <w:szCs w:val="21"/>
          <w:highlight w:val="none"/>
          <w:lang w:val="en-US" w:eastAsia="zh-CN"/>
        </w:rPr>
        <w:t>有三家及以上供应商投标的，正常开标；只有两家供应商投标的，现场转为竞争谈判；仅有一家供应商投标的，直接转为单源直接采购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1" w:name="_Toc31686"/>
      <w:bookmarkStart w:id="22" w:name="_Toc471299093"/>
      <w:r>
        <w:rPr>
          <w:rFonts w:hint="eastAsia" w:ascii="宋体" w:hAnsi="宋体" w:eastAsia="宋体" w:cs="宋体"/>
          <w:bCs/>
          <w:color w:val="auto"/>
          <w:sz w:val="28"/>
          <w:szCs w:val="28"/>
          <w:highlight w:val="none"/>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3" w:name="_Toc471299094"/>
      <w:bookmarkStart w:id="24" w:name="_Toc1065"/>
      <w:r>
        <w:rPr>
          <w:rFonts w:hint="eastAsia" w:ascii="宋体" w:hAnsi="宋体" w:eastAsia="宋体" w:cs="宋体"/>
          <w:bCs/>
          <w:color w:val="auto"/>
          <w:sz w:val="28"/>
          <w:szCs w:val="28"/>
          <w:highlight w:val="none"/>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5" w:name="_Toc382"/>
      <w:bookmarkStart w:id="26" w:name="_Toc471299095"/>
      <w:r>
        <w:rPr>
          <w:rFonts w:hint="eastAsia" w:ascii="宋体" w:hAnsi="宋体" w:eastAsia="宋体" w:cs="宋体"/>
          <w:bCs/>
          <w:color w:val="auto"/>
          <w:sz w:val="28"/>
          <w:szCs w:val="28"/>
          <w:highlight w:val="none"/>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7" w:name="_Toc23222"/>
      <w:bookmarkStart w:id="28" w:name="_Toc471299096"/>
      <w:r>
        <w:rPr>
          <w:rFonts w:hint="eastAsia" w:ascii="宋体" w:hAnsi="宋体" w:eastAsia="宋体" w:cs="宋体"/>
          <w:bCs/>
          <w:color w:val="auto"/>
          <w:sz w:val="28"/>
          <w:szCs w:val="28"/>
          <w:highlight w:val="none"/>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9" w:name="_Toc23894"/>
      <w:bookmarkStart w:id="30" w:name="_Toc471299097"/>
      <w:r>
        <w:rPr>
          <w:rFonts w:hint="eastAsia" w:ascii="宋体" w:hAnsi="宋体" w:eastAsia="宋体" w:cs="宋体"/>
          <w:bCs/>
          <w:color w:val="auto"/>
          <w:sz w:val="28"/>
          <w:szCs w:val="28"/>
          <w:highlight w:val="none"/>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hint="eastAsia" w:ascii="宋体" w:hAnsi="宋体" w:cs="Times New Roman"/>
          <w:bCs/>
          <w:color w:val="auto"/>
          <w:sz w:val="21"/>
          <w:szCs w:val="21"/>
          <w:highlight w:val="none"/>
        </w:rPr>
      </w:pPr>
      <w:r>
        <w:rPr>
          <w:rFonts w:hint="eastAsia" w:ascii="宋体" w:hAnsi="宋体" w:eastAsia="宋体" w:cs="宋体"/>
          <w:bCs/>
          <w:color w:val="auto"/>
          <w:sz w:val="21"/>
          <w:szCs w:val="21"/>
          <w:highlight w:val="none"/>
        </w:rPr>
        <w:t>质疑人对质疑答复</w:t>
      </w:r>
      <w:r>
        <w:rPr>
          <w:rFonts w:hint="eastAsia" w:ascii="宋体" w:hAnsi="宋体" w:cs="Times New Roman"/>
          <w:bCs/>
          <w:color w:val="auto"/>
          <w:sz w:val="21"/>
          <w:szCs w:val="21"/>
          <w:highlight w:val="none"/>
        </w:rPr>
        <w:t>不满意或采购人及</w:t>
      </w:r>
      <w:r>
        <w:rPr>
          <w:rFonts w:hint="eastAsia" w:ascii="宋体" w:hAnsi="宋体" w:cs="Times New Roman"/>
          <w:bCs/>
          <w:color w:val="auto"/>
          <w:sz w:val="21"/>
          <w:szCs w:val="21"/>
          <w:highlight w:val="none"/>
          <w:lang w:eastAsia="zh-CN"/>
        </w:rPr>
        <w:t>采购代理机构</w:t>
      </w:r>
      <w:r>
        <w:rPr>
          <w:rFonts w:hint="eastAsia" w:ascii="宋体" w:hAnsi="宋体" w:cs="Times New Roman"/>
          <w:bCs/>
          <w:color w:val="auto"/>
          <w:sz w:val="21"/>
          <w:szCs w:val="21"/>
          <w:highlight w:val="none"/>
        </w:rPr>
        <w:t>未在规定时间内做出答复的，可以在答复期满后15个工作日内向</w:t>
      </w:r>
      <w:r>
        <w:rPr>
          <w:rFonts w:hint="eastAsia" w:ascii="宋体" w:hAnsi="宋体" w:cs="Times New Roman"/>
          <w:bCs/>
          <w:color w:val="auto"/>
          <w:sz w:val="21"/>
          <w:szCs w:val="21"/>
          <w:highlight w:val="none"/>
          <w:lang w:eastAsia="zh-CN"/>
        </w:rPr>
        <w:t>霍山矿产新型建材有限公司</w:t>
      </w:r>
      <w:r>
        <w:rPr>
          <w:rFonts w:hint="eastAsia" w:ascii="宋体" w:hAnsi="宋体" w:cs="Times New Roman"/>
          <w:bCs/>
          <w:color w:val="auto"/>
          <w:sz w:val="21"/>
          <w:szCs w:val="21"/>
          <w:highlight w:val="none"/>
        </w:rPr>
        <w:t>投诉，同时将投诉书副本送</w:t>
      </w:r>
      <w:r>
        <w:rPr>
          <w:rFonts w:hint="eastAsia" w:ascii="宋体" w:hAnsi="宋体" w:cs="Times New Roman"/>
          <w:bCs/>
          <w:color w:val="auto"/>
          <w:sz w:val="21"/>
          <w:szCs w:val="21"/>
          <w:highlight w:val="none"/>
          <w:lang w:val="en-US" w:eastAsia="zh-CN"/>
        </w:rPr>
        <w:t>安徽大别山工程咨询有限公司</w:t>
      </w:r>
      <w:r>
        <w:rPr>
          <w:rFonts w:hint="eastAsia" w:ascii="宋体" w:hAnsi="宋体" w:cs="Times New Roman"/>
          <w:bCs/>
          <w:color w:val="auto"/>
          <w:sz w:val="21"/>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霍山矿产新型建材有限公司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p>
      <w:pPr>
        <w:rPr>
          <w:rFonts w:hint="eastAsia" w:ascii="宋体" w:hAnsi="宋体" w:eastAsia="宋体" w:cs="宋体"/>
          <w:b/>
          <w:color w:val="auto"/>
          <w:kern w:val="0"/>
          <w:sz w:val="30"/>
          <w:szCs w:val="30"/>
          <w:highlight w:val="none"/>
          <w:lang w:val="en-US" w:eastAsia="zh-CN" w:bidi="ar-SA"/>
        </w:rPr>
      </w:pPr>
      <w:bookmarkStart w:id="31" w:name="_Toc8300_WPSOffice_Level1"/>
      <w:bookmarkStart w:id="32" w:name="_Toc25805"/>
      <w:r>
        <w:rPr>
          <w:rFonts w:hint="eastAsia" w:ascii="宋体" w:hAnsi="宋体" w:eastAsia="宋体" w:cs="宋体"/>
          <w:b/>
          <w:color w:val="auto"/>
          <w:kern w:val="0"/>
          <w:sz w:val="30"/>
          <w:szCs w:val="30"/>
          <w:highlight w:val="none"/>
          <w:lang w:val="en-US" w:eastAsia="zh-CN" w:bidi="ar-SA"/>
        </w:rPr>
        <w:br w:type="page"/>
      </w:r>
    </w:p>
    <w:p>
      <w:pPr>
        <w:pStyle w:val="40"/>
        <w:keepNext/>
        <w:keepLines/>
        <w:pageBreakBefore w:val="0"/>
        <w:widowControl w:val="0"/>
        <w:tabs>
          <w:tab w:val="left" w:pos="1978"/>
          <w:tab w:val="center" w:pos="4482"/>
        </w:tabs>
        <w:kinsoku/>
        <w:wordWrap/>
        <w:overflowPunct/>
        <w:topLinePunct w:val="0"/>
        <w:autoSpaceDE/>
        <w:autoSpaceDN/>
        <w:bidi w:val="0"/>
        <w:adjustRightInd w:val="0"/>
        <w:snapToGrid/>
        <w:spacing w:line="460" w:lineRule="exact"/>
        <w:jc w:val="both"/>
        <w:textAlignment w:val="baseline"/>
        <w:outlineLvl w:val="0"/>
        <w:rPr>
          <w:rFonts w:hint="eastAsia" w:ascii="宋体" w:hAnsi="宋体" w:eastAsia="宋体" w:cs="宋体"/>
          <w:b/>
          <w:color w:val="auto"/>
          <w:kern w:val="0"/>
          <w:sz w:val="30"/>
          <w:szCs w:val="30"/>
          <w:highlight w:val="none"/>
          <w:lang w:val="en-US" w:eastAsia="zh-CN" w:bidi="ar-SA"/>
        </w:rPr>
      </w:pPr>
    </w:p>
    <w:p>
      <w:pPr>
        <w:pageBreakBefore w:val="0"/>
        <w:widowControl w:val="0"/>
        <w:numPr>
          <w:ilvl w:val="0"/>
          <w:numId w:val="0"/>
        </w:numPr>
        <w:kinsoku/>
        <w:wordWrap/>
        <w:overflowPunct/>
        <w:topLinePunct w:val="0"/>
        <w:autoSpaceDE/>
        <w:autoSpaceDN/>
        <w:bidi w:val="0"/>
        <w:snapToGrid/>
        <w:spacing w:line="460" w:lineRule="exact"/>
        <w:jc w:val="center"/>
        <w:outlineLvl w:val="0"/>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三、</w:t>
      </w:r>
      <w:bookmarkEnd w:id="18"/>
      <w:bookmarkEnd w:id="31"/>
      <w:bookmarkEnd w:id="32"/>
      <w:bookmarkStart w:id="33" w:name="_Toc12757"/>
      <w:bookmarkStart w:id="34" w:name="_Toc16484_WPSOffice_Level1"/>
      <w:bookmarkStart w:id="35" w:name="_Toc363199273"/>
      <w:r>
        <w:rPr>
          <w:rFonts w:hint="eastAsia" w:ascii="宋体" w:hAnsi="宋体" w:eastAsia="宋体" w:cs="宋体"/>
          <w:b/>
          <w:color w:val="auto"/>
          <w:kern w:val="0"/>
          <w:sz w:val="32"/>
          <w:szCs w:val="32"/>
          <w:highlight w:val="none"/>
          <w:lang w:val="en-US" w:eastAsia="zh-CN" w:bidi="ar-SA"/>
        </w:rPr>
        <w:t>采购合同（甲乙双方可自行拟定，但不得有背离采购文件实质性精神的条款）</w:t>
      </w:r>
    </w:p>
    <w:bookmarkEnd w:id="33"/>
    <w:bookmarkEnd w:id="34"/>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pStyle w:val="2"/>
        <w:rPr>
          <w:rFonts w:hint="eastAsia"/>
          <w:lang w:val="en-US" w:eastAsia="zh-CN"/>
        </w:rPr>
      </w:pPr>
    </w:p>
    <w:p>
      <w:pPr>
        <w:rPr>
          <w:rFonts w:hint="eastAsia" w:ascii="宋体" w:hAnsi="宋体" w:eastAsia="宋体" w:cs="宋体"/>
          <w:b/>
          <w:color w:val="auto"/>
          <w:kern w:val="0"/>
          <w:sz w:val="32"/>
          <w:szCs w:val="32"/>
          <w:highlight w:val="none"/>
          <w:lang w:val="en-US" w:eastAsia="zh-CN" w:bidi="ar-SA"/>
        </w:rPr>
      </w:pPr>
    </w:p>
    <w:p>
      <w:pPr>
        <w:rPr>
          <w:rFonts w:hint="eastAsia" w:ascii="宋体" w:hAnsi="宋体" w:eastAsia="宋体" w:cs="宋体"/>
          <w:b/>
          <w:color w:val="auto"/>
          <w:kern w:val="0"/>
          <w:sz w:val="32"/>
          <w:szCs w:val="32"/>
          <w:highlight w:val="none"/>
          <w:lang w:val="en-US" w:eastAsia="zh-CN" w:bidi="ar-SA"/>
        </w:rPr>
      </w:pPr>
    </w:p>
    <w:p>
      <w:pPr>
        <w:jc w:val="cente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t>四、采购需求</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b/>
          <w:bCs/>
          <w:sz w:val="36"/>
          <w:szCs w:val="36"/>
          <w:lang w:val="en-US" w:eastAsia="zh-CN"/>
        </w:rPr>
      </w:pPr>
      <w:bookmarkStart w:id="36" w:name="_Toc11297"/>
      <w:bookmarkStart w:id="37" w:name="_Toc4288_WPSOffice_Level1"/>
    </w:p>
    <w:p>
      <w:pPr>
        <w:pStyle w:val="2"/>
        <w:rPr>
          <w:rFonts w:ascii="仿宋" w:hAnsi="仿宋" w:eastAsia="仿宋" w:cs="仿宋"/>
        </w:rPr>
      </w:pPr>
      <w:r>
        <w:rPr>
          <w:rFonts w:hint="eastAsia" w:ascii="仿宋" w:hAnsi="仿宋" w:eastAsia="仿宋" w:cs="仿宋"/>
        </w:rPr>
        <w:t>1、采购货物清单及控制价</w:t>
      </w:r>
    </w:p>
    <w:tbl>
      <w:tblPr>
        <w:tblStyle w:val="19"/>
        <w:tblW w:w="8769" w:type="dxa"/>
        <w:tblInd w:w="-138" w:type="dxa"/>
        <w:tblLayout w:type="fixed"/>
        <w:tblCellMar>
          <w:top w:w="0" w:type="dxa"/>
          <w:left w:w="108" w:type="dxa"/>
          <w:bottom w:w="0" w:type="dxa"/>
          <w:right w:w="108" w:type="dxa"/>
        </w:tblCellMar>
      </w:tblPr>
      <w:tblGrid>
        <w:gridCol w:w="1461"/>
        <w:gridCol w:w="3044"/>
        <w:gridCol w:w="1449"/>
        <w:gridCol w:w="1283"/>
        <w:gridCol w:w="1532"/>
      </w:tblGrid>
      <w:tr>
        <w:tblPrEx>
          <w:tblCellMar>
            <w:top w:w="0" w:type="dxa"/>
            <w:left w:w="108" w:type="dxa"/>
            <w:bottom w:w="0" w:type="dxa"/>
            <w:right w:w="108" w:type="dxa"/>
          </w:tblCellMar>
        </w:tblPrEx>
        <w:trPr>
          <w:trHeight w:val="396"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序号</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货物名称</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数量</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单位</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仿宋" w:hAnsi="仿宋" w:eastAsia="仿宋" w:cs="仿宋"/>
                <w:color w:val="000000"/>
                <w:sz w:val="24"/>
              </w:rPr>
            </w:pPr>
            <w:r>
              <w:rPr>
                <w:rFonts w:hint="eastAsia" w:ascii="仿宋" w:hAnsi="仿宋" w:eastAsia="仿宋" w:cs="仿宋"/>
                <w:color w:val="000000"/>
                <w:kern w:val="0"/>
                <w:sz w:val="24"/>
              </w:rPr>
              <w:t>备注</w:t>
            </w:r>
          </w:p>
        </w:tc>
      </w:tr>
      <w:tr>
        <w:tblPrEx>
          <w:tblCellMar>
            <w:top w:w="0" w:type="dxa"/>
            <w:left w:w="108" w:type="dxa"/>
            <w:bottom w:w="0" w:type="dxa"/>
            <w:right w:w="108" w:type="dxa"/>
          </w:tblCellMar>
        </w:tblPrEx>
        <w:trPr>
          <w:trHeight w:val="409"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kern w:val="0"/>
                <w:sz w:val="24"/>
                <w:lang w:val="en-US" w:eastAsia="zh-CN"/>
              </w:rPr>
              <w:t>干混砂浆整车</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1</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kern w:val="0"/>
                <w:sz w:val="24"/>
              </w:rPr>
              <w:t>辆</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仿宋" w:hAnsi="仿宋" w:eastAsia="仿宋" w:cs="仿宋"/>
                <w:color w:val="000000"/>
                <w:sz w:val="24"/>
              </w:rPr>
            </w:pPr>
          </w:p>
        </w:tc>
      </w:tr>
    </w:tbl>
    <w:p>
      <w:pPr>
        <w:pStyle w:val="2"/>
        <w:numPr>
          <w:ilvl w:val="0"/>
          <w:numId w:val="0"/>
        </w:numPr>
        <w:rPr>
          <w:rFonts w:ascii="仿宋" w:hAnsi="仿宋" w:eastAsia="仿宋" w:cs="仿宋"/>
        </w:rPr>
      </w:pPr>
      <w:r>
        <w:rPr>
          <w:rFonts w:hint="eastAsia" w:ascii="仿宋" w:hAnsi="仿宋" w:eastAsia="仿宋" w:cs="仿宋"/>
          <w:lang w:val="en-US" w:eastAsia="zh-CN"/>
        </w:rPr>
        <w:t>2、</w:t>
      </w:r>
      <w:r>
        <w:rPr>
          <w:rFonts w:hint="eastAsia" w:ascii="仿宋" w:hAnsi="仿宋" w:eastAsia="仿宋" w:cs="仿宋"/>
        </w:rPr>
        <w:t>技术参数</w:t>
      </w:r>
    </w:p>
    <w:p>
      <w:pPr>
        <w:spacing w:line="360" w:lineRule="auto"/>
        <w:jc w:val="center"/>
        <w:rPr>
          <w:rFonts w:ascii="仿宋" w:hAnsi="仿宋" w:eastAsia="仿宋" w:cs="仿宋"/>
          <w:sz w:val="24"/>
        </w:rPr>
      </w:pPr>
      <w:r>
        <w:rPr>
          <w:rFonts w:hint="eastAsia" w:ascii="仿宋" w:hAnsi="仿宋" w:eastAsia="仿宋" w:cs="仿宋"/>
          <w:color w:val="000000"/>
          <w:kern w:val="0"/>
          <w:sz w:val="24"/>
          <w:lang w:val="en-US" w:eastAsia="zh-CN"/>
        </w:rPr>
        <w:t>干混砂浆整车</w:t>
      </w:r>
      <w:r>
        <w:rPr>
          <w:rFonts w:hint="eastAsia" w:ascii="仿宋" w:hAnsi="仿宋" w:eastAsia="仿宋" w:cs="仿宋"/>
          <w:sz w:val="24"/>
        </w:rPr>
        <w:t>参数</w:t>
      </w:r>
    </w:p>
    <w:tbl>
      <w:tblPr>
        <w:tblStyle w:val="19"/>
        <w:tblW w:w="883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632"/>
        <w:gridCol w:w="520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zh-CN"/>
              </w:rPr>
              <w:t>整车整备质量</w:t>
            </w:r>
            <w:r>
              <w:rPr>
                <w:rFonts w:hint="eastAsia" w:ascii="仿宋" w:hAnsi="仿宋" w:eastAsia="仿宋" w:cs="仿宋"/>
                <w:sz w:val="24"/>
                <w:lang w:val="en-US" w:eastAsia="zh-CN"/>
              </w:rPr>
              <w:t>(</w:t>
            </w:r>
            <w:r>
              <w:rPr>
                <w:rFonts w:hint="eastAsia" w:ascii="仿宋" w:hAnsi="仿宋" w:eastAsia="仿宋" w:cs="仿宋"/>
                <w:sz w:val="24"/>
                <w:lang w:val="zh-CN"/>
              </w:rPr>
              <w:t>kg</w:t>
            </w:r>
            <w:r>
              <w:rPr>
                <w:rFonts w:hint="eastAsia" w:ascii="仿宋" w:hAnsi="仿宋" w:eastAsia="仿宋" w:cs="仿宋"/>
                <w:sz w:val="24"/>
                <w:lang w:val="en-US" w:eastAsia="zh-CN"/>
              </w:rPr>
              <w:t>)</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≥14500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ascii="仿宋" w:hAnsi="仿宋" w:eastAsia="仿宋" w:cs="仿宋"/>
                <w:sz w:val="24"/>
                <w:lang w:val="zh-CN"/>
              </w:rPr>
            </w:pPr>
            <w:r>
              <w:rPr>
                <w:rFonts w:hint="eastAsia" w:ascii="仿宋" w:hAnsi="仿宋" w:eastAsia="仿宋" w:cs="仿宋"/>
                <w:sz w:val="24"/>
                <w:lang w:val="zh-CN"/>
              </w:rPr>
              <w:t>总质量</w:t>
            </w:r>
            <w:r>
              <w:rPr>
                <w:rFonts w:hint="eastAsia" w:ascii="仿宋" w:hAnsi="仿宋" w:eastAsia="仿宋" w:cs="仿宋"/>
                <w:sz w:val="24"/>
                <w:lang w:val="en-US" w:eastAsia="zh-CN"/>
              </w:rPr>
              <w:t>(</w:t>
            </w:r>
            <w:r>
              <w:rPr>
                <w:rFonts w:hint="eastAsia" w:ascii="仿宋" w:hAnsi="仿宋" w:eastAsia="仿宋" w:cs="仿宋"/>
                <w:sz w:val="24"/>
                <w:lang w:val="zh-CN"/>
              </w:rPr>
              <w:t>kg</w:t>
            </w:r>
            <w:r>
              <w:rPr>
                <w:rFonts w:hint="eastAsia" w:ascii="仿宋" w:hAnsi="仿宋" w:eastAsia="仿宋" w:cs="仿宋"/>
                <w:sz w:val="24"/>
                <w:lang w:val="en-US" w:eastAsia="zh-CN"/>
              </w:rPr>
              <w:t>)</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31000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ascii="仿宋" w:hAnsi="仿宋" w:eastAsia="仿宋" w:cs="仿宋"/>
                <w:sz w:val="24"/>
                <w:lang w:val="zh-CN"/>
              </w:rPr>
            </w:pPr>
            <w:r>
              <w:rPr>
                <w:rFonts w:hint="eastAsia" w:ascii="仿宋" w:hAnsi="仿宋" w:eastAsia="仿宋" w:cs="仿宋"/>
                <w:sz w:val="24"/>
                <w:lang w:val="zh-CN"/>
              </w:rPr>
              <w:t>额定载质量</w:t>
            </w:r>
            <w:r>
              <w:rPr>
                <w:rFonts w:hint="eastAsia" w:ascii="仿宋" w:hAnsi="仿宋" w:eastAsia="仿宋" w:cs="仿宋"/>
                <w:sz w:val="24"/>
                <w:lang w:val="en-US" w:eastAsia="zh-CN"/>
              </w:rPr>
              <w:t>(</w:t>
            </w:r>
            <w:r>
              <w:rPr>
                <w:rFonts w:hint="eastAsia" w:ascii="仿宋" w:hAnsi="仿宋" w:eastAsia="仿宋" w:cs="仿宋"/>
                <w:sz w:val="24"/>
                <w:lang w:val="zh-CN"/>
              </w:rPr>
              <w:t>kg</w:t>
            </w:r>
            <w:r>
              <w:rPr>
                <w:rFonts w:hint="eastAsia" w:ascii="仿宋" w:hAnsi="仿宋" w:eastAsia="仿宋" w:cs="仿宋"/>
                <w:sz w:val="24"/>
                <w:lang w:val="en-US" w:eastAsia="zh-CN"/>
              </w:rPr>
              <w:t>)</w:t>
            </w:r>
          </w:p>
        </w:tc>
        <w:tc>
          <w:tcPr>
            <w:tcW w:w="5204" w:type="dxa"/>
            <w:shd w:val="clear" w:color="auto" w:fill="auto"/>
            <w:tcMar>
              <w:top w:w="0" w:type="dxa"/>
              <w:left w:w="28" w:type="dxa"/>
              <w:bottom w:w="28" w:type="dxa"/>
              <w:right w:w="28" w:type="dxa"/>
            </w:tcMar>
            <w:vAlign w:val="center"/>
          </w:tcPr>
          <w:p>
            <w:pPr>
              <w:spacing w:line="360" w:lineRule="auto"/>
              <w:rPr>
                <w:rFonts w:ascii="仿宋" w:hAnsi="仿宋" w:eastAsia="仿宋" w:cs="仿宋"/>
                <w:sz w:val="24"/>
                <w:lang w:val="zh-CN"/>
              </w:rPr>
            </w:pPr>
            <w:r>
              <w:rPr>
                <w:rFonts w:hint="eastAsia" w:ascii="仿宋" w:hAnsi="仿宋" w:eastAsia="仿宋" w:cs="仿宋"/>
                <w:sz w:val="24"/>
                <w:lang w:val="en-US" w:eastAsia="zh-CN"/>
              </w:rP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top"/>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变速箱</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手动   9档及以上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前桥(T)</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top"/>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驱动桥(T)</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≥13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驱动形式</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8*4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发动机（马力）</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rPr>
            </w:pPr>
            <w:r>
              <w:rPr>
                <w:rFonts w:hint="eastAsia" w:ascii="仿宋" w:hAnsi="仿宋" w:eastAsia="仿宋" w:cs="仿宋"/>
                <w:sz w:val="24"/>
                <w:lang w:val="en-US" w:eastAsia="zh-CN"/>
              </w:rPr>
              <w:t>≥360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5" w:hRule="exact"/>
          <w:jc w:val="center"/>
        </w:trPr>
        <w:tc>
          <w:tcPr>
            <w:tcW w:w="3632" w:type="dxa"/>
            <w:shd w:val="clear" w:color="auto" w:fill="auto"/>
            <w:tcMar>
              <w:top w:w="0" w:type="dxa"/>
              <w:left w:w="28" w:type="dxa"/>
              <w:bottom w:w="28" w:type="dxa"/>
              <w:right w:w="28" w:type="dxa"/>
            </w:tcMar>
            <w:vAlign w:val="top"/>
          </w:tcPr>
          <w:p>
            <w:pPr>
              <w:spacing w:line="360" w:lineRule="auto"/>
              <w:rPr>
                <w:rFonts w:hint="eastAsia" w:ascii="仿宋" w:hAnsi="仿宋" w:eastAsia="仿宋" w:cs="仿宋"/>
                <w:kern w:val="2"/>
                <w:sz w:val="24"/>
                <w:szCs w:val="24"/>
                <w:lang w:val="zh-CN" w:eastAsia="zh-CN" w:bidi="ar-SA"/>
              </w:rPr>
            </w:pPr>
            <w:r>
              <w:rPr>
                <w:rFonts w:hint="default" w:ascii="仿宋" w:hAnsi="仿宋" w:eastAsia="仿宋" w:cs="仿宋"/>
                <w:sz w:val="24"/>
                <w:lang w:val="zh-CN"/>
              </w:rPr>
              <w:t>排放标准</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国六</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top"/>
          </w:tcPr>
          <w:p>
            <w:pPr>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sz w:val="24"/>
                <w:lang w:val="en-US" w:eastAsia="zh-CN"/>
              </w:rPr>
              <w:t>罐体公告容积(</w:t>
            </w:r>
            <w:r>
              <w:rPr>
                <w:rFonts w:hint="eastAsia" w:ascii="仿宋" w:hAnsi="仿宋" w:eastAsia="仿宋" w:cs="仿宋"/>
                <w:sz w:val="24"/>
                <w:lang w:val="zh-CN"/>
              </w:rPr>
              <w:t>m³</w:t>
            </w:r>
            <w:r>
              <w:rPr>
                <w:rFonts w:hint="eastAsia" w:ascii="仿宋" w:hAnsi="仿宋" w:eastAsia="仿宋" w:cs="仿宋"/>
                <w:sz w:val="24"/>
                <w:lang w:val="en-US" w:eastAsia="zh-CN"/>
              </w:rPr>
              <w:t>)</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kern w:val="2"/>
                <w:sz w:val="24"/>
                <w:szCs w:val="24"/>
                <w:lang w:val="en-US" w:eastAsia="zh-CN" w:bidi="ar-SA"/>
              </w:rPr>
            </w:pPr>
            <w:r>
              <w:rPr>
                <w:rFonts w:hint="eastAsia" w:ascii="仿宋" w:hAnsi="仿宋" w:eastAsia="仿宋" w:cs="仿宋"/>
                <w:sz w:val="24"/>
                <w:lang w:val="en-US" w:eastAsia="zh-CN"/>
              </w:rPr>
              <w:t>≥30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卸料速度</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≥1.4t/min</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余料率</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＜0.3%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ABS、ESC</w:t>
            </w:r>
          </w:p>
        </w:tc>
        <w:tc>
          <w:tcPr>
            <w:tcW w:w="5204" w:type="dxa"/>
            <w:shd w:val="clear" w:color="auto" w:fill="auto"/>
            <w:tcMar>
              <w:top w:w="0" w:type="dxa"/>
              <w:left w:w="28" w:type="dxa"/>
              <w:bottom w:w="28" w:type="dxa"/>
              <w:right w:w="28" w:type="dxa"/>
            </w:tcMar>
            <w:vAlign w:val="center"/>
          </w:tcPr>
          <w:p>
            <w:pPr>
              <w:spacing w:line="360" w:lineRule="auto"/>
              <w:rPr>
                <w:rFonts w:hint="eastAsia" w:ascii="仿宋" w:hAnsi="仿宋" w:eastAsia="仿宋" w:cs="仿宋"/>
                <w:sz w:val="24"/>
                <w:lang w:val="en-US" w:eastAsia="zh-CN"/>
              </w:rPr>
            </w:pPr>
            <w:r>
              <w:rPr>
                <w:rFonts w:hint="eastAsia" w:ascii="仿宋" w:hAnsi="仿宋" w:eastAsia="仿宋" w:cs="仿宋"/>
                <w:sz w:val="24"/>
                <w:lang w:val="en-US" w:eastAsia="zh-CN"/>
              </w:rPr>
              <w:t>标配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01" w:hRule="exact"/>
          <w:jc w:val="center"/>
        </w:trPr>
        <w:tc>
          <w:tcPr>
            <w:tcW w:w="3632"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燃油类型</w:t>
            </w:r>
          </w:p>
        </w:tc>
        <w:tc>
          <w:tcPr>
            <w:tcW w:w="5204" w:type="dxa"/>
            <w:shd w:val="clear" w:color="auto" w:fill="auto"/>
            <w:tcMar>
              <w:top w:w="0" w:type="dxa"/>
              <w:left w:w="28" w:type="dxa"/>
              <w:bottom w:w="28" w:type="dxa"/>
              <w:right w:w="28" w:type="dxa"/>
            </w:tcMar>
            <w:vAlign w:val="center"/>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柴油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14" w:hRule="exact"/>
          <w:jc w:val="center"/>
        </w:trPr>
        <w:tc>
          <w:tcPr>
            <w:tcW w:w="8836" w:type="dxa"/>
            <w:gridSpan w:val="2"/>
            <w:shd w:val="clear" w:color="auto" w:fill="auto"/>
            <w:tcMar>
              <w:top w:w="0" w:type="dxa"/>
              <w:left w:w="28" w:type="dxa"/>
              <w:bottom w:w="28" w:type="dxa"/>
              <w:right w:w="28" w:type="dxa"/>
            </w:tcMar>
            <w:vAlign w:val="top"/>
          </w:tcPr>
          <w:p>
            <w:pPr>
              <w:spacing w:line="360" w:lineRule="auto"/>
              <w:rPr>
                <w:rFonts w:hint="default" w:ascii="仿宋" w:hAnsi="仿宋" w:eastAsia="仿宋" w:cs="仿宋"/>
                <w:sz w:val="24"/>
                <w:lang w:val="en-US" w:eastAsia="zh-CN"/>
              </w:rPr>
            </w:pPr>
            <w:r>
              <w:rPr>
                <w:rFonts w:hint="eastAsia" w:ascii="仿宋" w:hAnsi="仿宋" w:eastAsia="仿宋" w:cs="仿宋"/>
                <w:sz w:val="24"/>
                <w:lang w:val="en-US" w:eastAsia="zh-CN"/>
              </w:rPr>
              <w:t>主车配置：驾驶室四气囊悬浮，中控锁，电动车窗，气囊座椅，多功能方向盘，液晶仪表，轻量化板簧，轻量化钢圈，驱动桥带差速锁，前后鼓式制动器，铝合金储气筒，福达空压机，其他标配。</w:t>
            </w:r>
          </w:p>
        </w:tc>
      </w:tr>
    </w:tbl>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8" w:name="_Toc5486"/>
      <w:bookmarkStart w:id="39" w:name="_Toc22507"/>
      <w:bookmarkStart w:id="40" w:name="_Toc3470"/>
      <w:bookmarkStart w:id="41" w:name="_Toc2011"/>
      <w:bookmarkStart w:id="42" w:name="_Toc11313"/>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8"/>
      <w:bookmarkEnd w:id="39"/>
      <w:bookmarkEnd w:id="40"/>
      <w:bookmarkEnd w:id="41"/>
      <w:bookmarkEnd w:id="42"/>
    </w:p>
    <w:p>
      <w:pPr>
        <w:numPr>
          <w:ilvl w:val="0"/>
          <w:numId w:val="0"/>
        </w:numPr>
        <w:ind w:firstLine="422" w:firstLineChars="200"/>
        <w:jc w:val="both"/>
        <w:outlineLvl w:val="0"/>
        <w:rPr>
          <w:rFonts w:hint="default" w:asciiTheme="majorEastAsia" w:hAnsiTheme="majorEastAsia" w:eastAsiaTheme="majorEastAsia" w:cstheme="majorEastAsia"/>
          <w:b/>
          <w:bCs/>
          <w:color w:val="auto"/>
          <w:sz w:val="21"/>
          <w:szCs w:val="21"/>
          <w:lang w:val="en-US" w:eastAsia="zh-CN"/>
        </w:rPr>
      </w:pPr>
      <w:r>
        <w:rPr>
          <w:rFonts w:hint="eastAsia" w:asciiTheme="majorEastAsia" w:hAnsiTheme="majorEastAsia" w:eastAsiaTheme="majorEastAsia" w:cstheme="majorEastAsia"/>
          <w:b/>
          <w:bCs/>
          <w:color w:val="auto"/>
          <w:sz w:val="21"/>
          <w:szCs w:val="21"/>
          <w:lang w:val="en-US" w:eastAsia="zh-CN"/>
        </w:rPr>
        <w:t>3、以上参数为车辆基本参数，必须完全满足或者优于（优于需提供相关证明材料），否则视为无效投标处理。</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4</w:t>
      </w:r>
      <w:r>
        <w:rPr>
          <w:rFonts w:hint="eastAsia" w:asciiTheme="majorEastAsia" w:hAnsiTheme="majorEastAsia" w:eastAsiaTheme="majorEastAsia" w:cstheme="majorEastAsia"/>
          <w:b/>
          <w:bCs/>
          <w:color w:val="auto"/>
          <w:sz w:val="21"/>
          <w:szCs w:val="21"/>
        </w:rPr>
        <w:t>、为保证车辆质量以及售后服务，需提供投标车辆制造商针对本项目的售后服务承诺，并加盖章制造商公章，否则视为无效投标处理。</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lang w:val="en-US" w:eastAsia="zh-CN"/>
        </w:rPr>
        <w:t>5</w:t>
      </w:r>
      <w:r>
        <w:rPr>
          <w:rFonts w:hint="eastAsia" w:asciiTheme="majorEastAsia" w:hAnsiTheme="majorEastAsia" w:eastAsiaTheme="majorEastAsia" w:cstheme="majorEastAsia"/>
          <w:b/>
          <w:bCs/>
          <w:color w:val="auto"/>
          <w:sz w:val="21"/>
          <w:szCs w:val="21"/>
        </w:rPr>
        <w:t>、</w:t>
      </w:r>
      <w:r>
        <w:rPr>
          <w:rFonts w:hint="eastAsia" w:asciiTheme="majorEastAsia" w:hAnsiTheme="majorEastAsia" w:eastAsiaTheme="majorEastAsia" w:cstheme="majorEastAsia"/>
          <w:b/>
          <w:bCs/>
          <w:color w:val="auto"/>
          <w:sz w:val="21"/>
          <w:szCs w:val="21"/>
          <w:lang w:eastAsia="zh-CN"/>
        </w:rPr>
        <w:t>供应商</w:t>
      </w:r>
      <w:r>
        <w:rPr>
          <w:rFonts w:hint="eastAsia" w:asciiTheme="majorEastAsia" w:hAnsiTheme="majorEastAsia" w:eastAsiaTheme="majorEastAsia" w:cstheme="majorEastAsia"/>
          <w:b/>
          <w:bCs/>
          <w:color w:val="auto"/>
          <w:sz w:val="21"/>
          <w:szCs w:val="21"/>
        </w:rPr>
        <w:t>应提供车辆证明资料(如产品公告、彩页或相片、相关国家权威部门出具的证明材料等)，并加盖制造商公章，否则视为负偏离或不满足</w:t>
      </w:r>
      <w:r>
        <w:rPr>
          <w:rFonts w:hint="eastAsia" w:asciiTheme="majorEastAsia" w:hAnsiTheme="majorEastAsia" w:eastAsiaTheme="majorEastAsia" w:cstheme="majorEastAsia"/>
          <w:b/>
          <w:bCs/>
          <w:color w:val="auto"/>
          <w:sz w:val="21"/>
          <w:szCs w:val="21"/>
          <w:lang w:eastAsia="zh-CN"/>
        </w:rPr>
        <w:t>询价</w:t>
      </w:r>
      <w:r>
        <w:rPr>
          <w:rFonts w:hint="eastAsia" w:asciiTheme="majorEastAsia" w:hAnsiTheme="majorEastAsia" w:eastAsiaTheme="majorEastAsia" w:cstheme="majorEastAsia"/>
          <w:b/>
          <w:bCs/>
          <w:color w:val="auto"/>
          <w:sz w:val="21"/>
          <w:szCs w:val="21"/>
        </w:rPr>
        <w:t>文件技术要求。</w:t>
      </w:r>
    </w:p>
    <w:p>
      <w:pPr>
        <w:rPr>
          <w:rFonts w:hint="eastAsia"/>
          <w:highlight w:val="none"/>
          <w:lang w:val="en-US" w:eastAsia="zh-CN"/>
        </w:rPr>
      </w:pPr>
      <w:r>
        <w:rPr>
          <w:rFonts w:hint="eastAsia" w:ascii="宋体" w:hAnsi="宋体" w:eastAsia="宋体" w:cs="宋体"/>
          <w:b/>
          <w:color w:val="auto"/>
          <w:kern w:val="0"/>
          <w:sz w:val="32"/>
          <w:szCs w:val="32"/>
          <w:highlight w:val="none"/>
          <w:lang w:val="en-US" w:eastAsia="zh-CN" w:bidi="ar-SA"/>
        </w:rPr>
        <w:br w:type="page"/>
      </w:r>
    </w:p>
    <w:p>
      <w:pPr>
        <w:pStyle w:val="6"/>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6"/>
      <w:bookmarkEnd w:id="37"/>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43"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43"/>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44" w:name="_Toc12631_WPSOffice_Level1"/>
      <w:r>
        <w:rPr>
          <w:rFonts w:hint="eastAsia" w:ascii="宋体" w:hAnsi="宋体" w:eastAsia="宋体" w:cs="宋体"/>
          <w:b/>
          <w:color w:val="auto"/>
          <w:sz w:val="44"/>
          <w:szCs w:val="44"/>
          <w:highlight w:val="none"/>
        </w:rPr>
        <w:t>响</w:t>
      </w:r>
      <w:bookmarkEnd w:id="44"/>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5" w:name="_Toc13194_WPSOffice_Level1"/>
      <w:r>
        <w:rPr>
          <w:rFonts w:hint="eastAsia" w:ascii="宋体" w:hAnsi="宋体" w:eastAsia="宋体" w:cs="宋体"/>
          <w:b/>
          <w:color w:val="auto"/>
          <w:sz w:val="44"/>
          <w:szCs w:val="44"/>
          <w:highlight w:val="none"/>
        </w:rPr>
        <w:t>应</w:t>
      </w:r>
      <w:bookmarkEnd w:id="45"/>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6" w:name="_Toc28638_WPSOffice_Level1"/>
      <w:r>
        <w:rPr>
          <w:rFonts w:hint="eastAsia" w:ascii="宋体" w:hAnsi="宋体" w:eastAsia="宋体" w:cs="宋体"/>
          <w:b/>
          <w:color w:val="auto"/>
          <w:sz w:val="44"/>
          <w:szCs w:val="44"/>
          <w:highlight w:val="none"/>
        </w:rPr>
        <w:t>文</w:t>
      </w:r>
      <w:bookmarkEnd w:id="46"/>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7" w:name="_Toc21450_WPSOffice_Level1"/>
      <w:r>
        <w:rPr>
          <w:rFonts w:hint="eastAsia" w:ascii="宋体" w:hAnsi="宋体" w:eastAsia="宋体" w:cs="宋体"/>
          <w:b/>
          <w:color w:val="auto"/>
          <w:sz w:val="44"/>
          <w:szCs w:val="44"/>
          <w:highlight w:val="none"/>
        </w:rPr>
        <w:t>件</w:t>
      </w:r>
      <w:bookmarkEnd w:id="47"/>
    </w:p>
    <w:p>
      <w:pPr>
        <w:pStyle w:val="2"/>
        <w:jc w:val="center"/>
        <w:rPr>
          <w:rFonts w:ascii="黑体"/>
          <w:color w:val="auto"/>
          <w:sz w:val="44"/>
          <w:highlight w:val="none"/>
          <w:u w:val="single"/>
        </w:rPr>
      </w:pPr>
      <w:bookmarkStart w:id="48" w:name="_Toc30778_WPSOffice_Level1"/>
      <w:r>
        <w:rPr>
          <w:rFonts w:hint="eastAsia" w:ascii="黑体" w:hAnsi="Times New Roman" w:eastAsia="黑体"/>
          <w:color w:val="auto"/>
          <w:kern w:val="2"/>
          <w:sz w:val="32"/>
          <w:szCs w:val="22"/>
          <w:highlight w:val="none"/>
          <w:u w:val="single"/>
        </w:rPr>
        <w:t>正本（副本）</w:t>
      </w:r>
      <w:bookmarkEnd w:id="48"/>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9"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9"/>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50"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51"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51"/>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52"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52"/>
    </w:p>
    <w:p>
      <w:pPr>
        <w:jc w:val="center"/>
        <w:rPr>
          <w:rFonts w:hint="eastAsia"/>
          <w:b/>
          <w:bCs/>
          <w:color w:val="auto"/>
          <w:sz w:val="28"/>
          <w:szCs w:val="28"/>
          <w:highlight w:val="none"/>
        </w:rPr>
      </w:pPr>
      <w:bookmarkStart w:id="53"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53"/>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both"/>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5"/>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4" w:name="_Toc471299103"/>
      <w:bookmarkStart w:id="55" w:name="_Toc5932"/>
      <w:r>
        <w:rPr>
          <w:rFonts w:hint="eastAsia" w:ascii="宋体" w:hAnsi="宋体" w:eastAsia="宋体" w:cs="宋体"/>
          <w:color w:val="auto"/>
          <w:sz w:val="21"/>
          <w:szCs w:val="21"/>
          <w:highlight w:val="none"/>
        </w:rPr>
        <w:t>附件</w:t>
      </w:r>
      <w:bookmarkEnd w:id="54"/>
      <w:bookmarkEnd w:id="55"/>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6" w:name="_Toc10142_WPSOffice_Level1"/>
      <w:r>
        <w:rPr>
          <w:rFonts w:hint="eastAsia"/>
          <w:b/>
          <w:bCs/>
          <w:color w:val="auto"/>
          <w:sz w:val="28"/>
          <w:szCs w:val="28"/>
          <w:highlight w:val="none"/>
        </w:rPr>
        <w:t>供应商基本信息</w:t>
      </w:r>
      <w:bookmarkEnd w:id="56"/>
    </w:p>
    <w:p>
      <w:pPr>
        <w:pStyle w:val="17"/>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ascii="宋体" w:hAnsi="宋体" w:eastAsia="宋体" w:cs="宋体"/>
          <w:i w:val="0"/>
          <w:caps w:val="0"/>
          <w:color w:val="auto"/>
          <w:spacing w:val="0"/>
          <w:kern w:val="2"/>
          <w:sz w:val="21"/>
          <w:szCs w:val="21"/>
          <w:highlight w:val="none"/>
          <w:shd w:val="clear" w:color="auto" w:fill="FFFFFF"/>
          <w:lang w:val="en-US" w:eastAsia="zh-CN" w:bidi="ar-SA"/>
        </w:rPr>
      </w:pPr>
      <w:bookmarkStart w:id="57" w:name="_Toc5936_WPSOffice_Level1"/>
      <w:r>
        <w:rPr>
          <w:rFonts w:hint="eastAsia" w:ascii="宋体" w:hAnsi="宋体" w:eastAsia="宋体" w:cs="宋体"/>
          <w:i w:val="0"/>
          <w:caps w:val="0"/>
          <w:color w:val="auto"/>
          <w:spacing w:val="0"/>
          <w:kern w:val="2"/>
          <w:sz w:val="21"/>
          <w:szCs w:val="21"/>
          <w:highlight w:val="none"/>
          <w:shd w:val="clear" w:color="auto" w:fill="FFFFFF"/>
          <w:lang w:val="en-US" w:eastAsia="zh-CN" w:bidi="ar-SA"/>
        </w:rPr>
        <w:t>（格式自拟）</w:t>
      </w:r>
      <w:bookmarkEnd w:id="57"/>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58" w:name="_Toc471299104"/>
      <w:bookmarkStart w:id="59" w:name="_Toc31656"/>
      <w:r>
        <w:rPr>
          <w:rFonts w:hint="eastAsia" w:ascii="宋体" w:hAnsi="宋体" w:eastAsia="宋体" w:cs="宋体"/>
          <w:color w:val="auto"/>
          <w:sz w:val="21"/>
          <w:szCs w:val="21"/>
          <w:highlight w:val="none"/>
        </w:rPr>
        <w:t>附件</w:t>
      </w:r>
      <w:bookmarkEnd w:id="58"/>
      <w:bookmarkEnd w:id="59"/>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60" w:name="_Toc8862_WPSOffice_Level1"/>
      <w:bookmarkStart w:id="61"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2" w:name="_Toc26907"/>
      <w:r>
        <w:rPr>
          <w:rFonts w:hint="eastAsia" w:ascii="宋体" w:hAnsi="宋体" w:eastAsia="宋体" w:cs="宋体"/>
          <w:color w:val="auto"/>
          <w:sz w:val="21"/>
          <w:szCs w:val="21"/>
          <w:highlight w:val="none"/>
        </w:rPr>
        <w:t>附件</w:t>
      </w:r>
      <w:bookmarkEnd w:id="61"/>
      <w:bookmarkEnd w:id="62"/>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63" w:name="_Toc148501698"/>
      <w:bookmarkStart w:id="64" w:name="_Toc3858_WPSOffice_Level1"/>
      <w:bookmarkStart w:id="65" w:name="_Toc516969098"/>
      <w:r>
        <w:rPr>
          <w:rFonts w:hint="eastAsia"/>
          <w:b/>
          <w:bCs/>
          <w:color w:val="auto"/>
          <w:sz w:val="28"/>
          <w:szCs w:val="28"/>
          <w:highlight w:val="none"/>
        </w:rPr>
        <w:t>响应函</w:t>
      </w:r>
      <w:bookmarkEnd w:id="63"/>
      <w:bookmarkEnd w:id="64"/>
      <w:bookmarkEnd w:id="65"/>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7"/>
        <w:adjustRightInd w:val="0"/>
        <w:snapToGrid w:val="0"/>
        <w:spacing w:before="0" w:after="0" w:line="360" w:lineRule="exact"/>
        <w:rPr>
          <w:rFonts w:hint="eastAsia" w:ascii="宋体" w:hAnsi="宋体" w:eastAsia="宋体" w:cs="宋体"/>
          <w:color w:val="auto"/>
          <w:sz w:val="21"/>
          <w:szCs w:val="21"/>
          <w:highlight w:val="none"/>
          <w:lang w:eastAsia="zh-CN"/>
        </w:rPr>
      </w:pPr>
      <w:bookmarkStart w:id="66" w:name="_Toc417045478"/>
      <w:bookmarkStart w:id="67" w:name="_Toc30711"/>
      <w:bookmarkStart w:id="68" w:name="_Toc471299106"/>
      <w:r>
        <w:rPr>
          <w:rFonts w:hint="eastAsia" w:ascii="宋体" w:hAnsi="宋体" w:eastAsia="宋体" w:cs="宋体"/>
          <w:color w:val="auto"/>
          <w:sz w:val="21"/>
          <w:szCs w:val="21"/>
          <w:highlight w:val="none"/>
        </w:rPr>
        <w:t>附件</w:t>
      </w:r>
      <w:bookmarkEnd w:id="66"/>
      <w:bookmarkEnd w:id="67"/>
      <w:bookmarkEnd w:id="68"/>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9" w:name="_Toc1513_WPSOffice_Level1"/>
      <w:r>
        <w:rPr>
          <w:rFonts w:hint="eastAsia"/>
          <w:b/>
          <w:bCs/>
          <w:color w:val="auto"/>
          <w:sz w:val="28"/>
          <w:szCs w:val="28"/>
          <w:highlight w:val="none"/>
          <w:lang w:val="zh-CN"/>
        </w:rPr>
        <w:t>无重大违法记录声明函</w:t>
      </w:r>
      <w:bookmarkEnd w:id="6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70" w:name="_Toc29566_WPSOffice_Level1"/>
      <w:r>
        <w:rPr>
          <w:rFonts w:hint="eastAsia"/>
          <w:b/>
          <w:bCs/>
          <w:color w:val="auto"/>
          <w:sz w:val="28"/>
          <w:szCs w:val="28"/>
          <w:highlight w:val="none"/>
          <w:lang w:val="zh-CN"/>
        </w:rPr>
        <w:t>无不良信用记录承诺函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71"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72" w:name="_Toc471299107"/>
      <w:r>
        <w:rPr>
          <w:rFonts w:hint="eastAsia"/>
          <w:color w:val="auto"/>
          <w:sz w:val="24"/>
          <w:szCs w:val="24"/>
          <w:highlight w:val="none"/>
        </w:rPr>
        <w:br w:type="page"/>
      </w:r>
      <w:bookmarkStart w:id="73" w:name="_Toc3574"/>
      <w:r>
        <w:rPr>
          <w:rFonts w:hint="eastAsia" w:ascii="宋体" w:hAnsi="宋体" w:eastAsia="宋体" w:cs="宋体"/>
          <w:color w:val="auto"/>
          <w:sz w:val="21"/>
          <w:szCs w:val="21"/>
          <w:highlight w:val="none"/>
        </w:rPr>
        <w:t>附件</w:t>
      </w:r>
      <w:bookmarkEnd w:id="71"/>
      <w:bookmarkEnd w:id="72"/>
      <w:bookmarkEnd w:id="73"/>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74" w:name="_Toc24671_WPSOffice_Level1"/>
      <w:r>
        <w:rPr>
          <w:rFonts w:hint="eastAsia"/>
          <w:b/>
          <w:bCs/>
          <w:color w:val="auto"/>
          <w:sz w:val="28"/>
          <w:szCs w:val="28"/>
          <w:highlight w:val="none"/>
          <w:lang w:val="zh-CN"/>
        </w:rPr>
        <w:t>询价响应表</w:t>
      </w:r>
      <w:bookmarkEnd w:id="74"/>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注：1、供应商必须逐项对应描述</w:t>
      </w:r>
      <w:r>
        <w:rPr>
          <w:rFonts w:hint="eastAsia" w:ascii="宋体" w:hAnsi="宋体"/>
          <w:b/>
          <w:bCs/>
          <w:color w:val="auto"/>
          <w:sz w:val="21"/>
          <w:szCs w:val="21"/>
          <w:highlight w:val="none"/>
          <w:lang w:val="en-US" w:eastAsia="zh-CN"/>
        </w:rPr>
        <w:t>货物</w:t>
      </w:r>
      <w:r>
        <w:rPr>
          <w:rFonts w:hint="eastAsia" w:ascii="宋体" w:hAnsi="宋体"/>
          <w:b/>
          <w:bCs/>
          <w:color w:val="auto"/>
          <w:sz w:val="21"/>
          <w:szCs w:val="21"/>
          <w:highlight w:val="none"/>
        </w:rPr>
        <w:t>主要参数、材质、配置及服务要求，如不进行描述，仅在响应栏填“响应”或未填写或复制（包括全部复制或主要参数及配置的复制）询价文件技术参数的，均可能导致响应无效；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highlight w:val="none"/>
        </w:rPr>
      </w:pPr>
      <w:r>
        <w:rPr>
          <w:rFonts w:hint="eastAsia" w:ascii="宋体" w:hAnsi="宋体"/>
          <w:b/>
          <w:bCs/>
          <w:color w:val="auto"/>
          <w:sz w:val="21"/>
          <w:szCs w:val="21"/>
          <w:highlight w:val="none"/>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hint="eastAsia" w:ascii="宋体" w:hAnsi="宋体"/>
          <w:b/>
          <w:bCs/>
          <w:color w:val="auto"/>
          <w:sz w:val="21"/>
          <w:szCs w:val="21"/>
          <w:highlight w:val="none"/>
        </w:rPr>
      </w:pPr>
      <w:r>
        <w:rPr>
          <w:rFonts w:hint="eastAsia" w:ascii="宋体" w:hAnsi="宋体"/>
          <w:b/>
          <w:bCs/>
          <w:color w:val="auto"/>
          <w:sz w:val="21"/>
          <w:szCs w:val="21"/>
          <w:highlight w:val="none"/>
        </w:rPr>
        <w:t>3、响应部分可后附详细说明及技术资料。</w:t>
      </w:r>
    </w:p>
    <w:p>
      <w:pPr>
        <w:pStyle w:val="18"/>
        <w:rPr>
          <w:rFonts w:hint="eastAsia" w:eastAsia="宋体"/>
          <w:lang w:val="en-US" w:eastAsia="zh-CN"/>
        </w:rPr>
      </w:pPr>
      <w:r>
        <w:rPr>
          <w:rFonts w:hint="eastAsia" w:ascii="宋体" w:hAnsi="宋体"/>
          <w:b/>
          <w:bCs/>
          <w:color w:val="auto"/>
          <w:sz w:val="21"/>
          <w:szCs w:val="21"/>
          <w:highlight w:val="none"/>
          <w:lang w:val="en-US" w:eastAsia="zh-CN"/>
        </w:rPr>
        <w:t>4、询价响应表可自行拟定。</w:t>
      </w:r>
    </w:p>
    <w:p>
      <w:pPr>
        <w:rPr>
          <w:rFonts w:hint="eastAsia"/>
          <w:highlight w:val="none"/>
        </w:rPr>
      </w:pPr>
      <w:bookmarkStart w:id="75" w:name="_Toc471299110"/>
      <w:bookmarkStart w:id="76" w:name="_Toc27567"/>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rPr>
          <w:rFonts w:hint="eastAsia"/>
          <w:highlight w:val="none"/>
        </w:rPr>
      </w:pPr>
    </w:p>
    <w:p>
      <w:pPr>
        <w:pStyle w:val="17"/>
        <w:ind w:left="0" w:leftChars="0" w:firstLine="0" w:firstLineChars="0"/>
        <w:rPr>
          <w:rFonts w:hint="eastAsia"/>
          <w:highlight w:val="none"/>
        </w:rPr>
      </w:pP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75"/>
      <w:bookmarkEnd w:id="76"/>
      <w:r>
        <w:rPr>
          <w:rFonts w:hint="eastAsia" w:ascii="宋体" w:hAnsi="宋体" w:eastAsia="宋体" w:cs="宋体"/>
          <w:b/>
          <w:bCs/>
          <w:color w:val="auto"/>
          <w:kern w:val="2"/>
          <w:sz w:val="21"/>
          <w:szCs w:val="21"/>
          <w:highlight w:val="none"/>
          <w:lang w:val="en-US" w:eastAsia="zh-CN" w:bidi="ar-SA"/>
        </w:rPr>
        <w:t>六</w:t>
      </w:r>
      <w:bookmarkStart w:id="77"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rPr>
            </w:pPr>
            <w:r>
              <w:rPr>
                <w:rFonts w:hint="eastAsia"/>
                <w:lang w:eastAsia="zh-CN"/>
              </w:rPr>
              <w:t>响应</w:t>
            </w:r>
            <w:r>
              <w:rPr>
                <w:rFonts w:hint="eastAsia"/>
              </w:rPr>
              <w:t>报价（人民币）</w:t>
            </w:r>
          </w:p>
          <w:p>
            <w:pPr>
              <w:spacing w:line="440" w:lineRule="exact"/>
              <w:jc w:val="center"/>
              <w:rPr>
                <w:rFonts w:hint="eastAsia" w:eastAsia="宋体"/>
                <w:lang w:eastAsia="zh-CN"/>
              </w:rPr>
            </w:pPr>
          </w:p>
        </w:tc>
        <w:tc>
          <w:tcPr>
            <w:tcW w:w="6825" w:type="dxa"/>
            <w:tcBorders>
              <w:top w:val="single" w:color="auto" w:sz="4" w:space="0"/>
              <w:left w:val="single" w:color="auto" w:sz="4" w:space="0"/>
              <w:bottom w:val="single" w:color="auto" w:sz="4" w:space="0"/>
              <w:right w:val="single" w:color="auto" w:sz="4" w:space="0"/>
            </w:tcBorders>
            <w:vAlign w:val="center"/>
          </w:tcPr>
          <w:p>
            <w:pPr>
              <w:pStyle w:val="17"/>
              <w:ind w:left="0" w:leftChars="0" w:firstLine="0" w:firstLineChars="0"/>
              <w:rPr>
                <w:rFonts w:hint="default"/>
                <w:highlight w:val="none"/>
                <w:lang w:val="en-US" w:eastAsia="zh-CN"/>
              </w:rPr>
            </w:pPr>
            <w:r>
              <w:rPr>
                <w:rFonts w:hint="eastAsia"/>
                <w:highlight w:val="none"/>
                <w:lang w:eastAsia="zh-CN"/>
              </w:rPr>
              <w:t>小写：</w:t>
            </w:r>
            <w:r>
              <w:rPr>
                <w:rFonts w:hint="eastAsia"/>
                <w:highlight w:val="none"/>
                <w:lang w:val="en-US" w:eastAsia="zh-CN"/>
              </w:rPr>
              <w:t xml:space="preserve">                      元</w:t>
            </w:r>
          </w:p>
          <w:p>
            <w:pPr>
              <w:pStyle w:val="17"/>
              <w:ind w:left="0" w:leftChars="0" w:firstLine="0" w:firstLineChars="0"/>
              <w:rPr>
                <w:rFonts w:hint="eastAsia"/>
                <w:highlight w:val="none"/>
                <w:lang w:val="en-US" w:eastAsia="zh-CN"/>
              </w:rPr>
            </w:pPr>
            <w:r>
              <w:rPr>
                <w:rFonts w:hint="eastAsia"/>
                <w:highlight w:val="none"/>
                <w:lang w:val="en-US" w:eastAsia="zh-CN"/>
              </w:rPr>
              <w:t>大写：                      元</w:t>
            </w:r>
          </w:p>
          <w:p>
            <w:pPr>
              <w:pStyle w:val="17"/>
              <w:ind w:left="0" w:leftChars="0" w:firstLine="0" w:firstLineChars="0"/>
              <w:rPr>
                <w:rFonts w:hint="default"/>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eastAsia="宋体" w:cs="宋体"/>
                <w:b/>
                <w:color w:val="auto"/>
                <w:kern w:val="2"/>
                <w:sz w:val="21"/>
                <w:szCs w:val="21"/>
                <w:highlight w:val="none"/>
                <w:lang w:val="en-US" w:eastAsia="zh-CN" w:bidi="ar-SA"/>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0" w:type="auto"/>
            <w:vAlign w:val="center"/>
          </w:tcPr>
          <w:p>
            <w:pPr>
              <w:spacing w:line="440" w:lineRule="exact"/>
              <w:jc w:val="center"/>
              <w:rPr>
                <w:rFonts w:hint="eastAsia" w:ascii="宋体" w:hAnsi="宋体" w:eastAsia="宋体" w:cs="宋体"/>
                <w:color w:val="auto"/>
                <w:kern w:val="2"/>
                <w:sz w:val="21"/>
                <w:szCs w:val="21"/>
                <w:highlight w:val="none"/>
                <w:lang w:val="en-US" w:eastAsia="zh-CN" w:bidi="ar-SA"/>
              </w:rPr>
            </w:pPr>
          </w:p>
        </w:tc>
        <w:tc>
          <w:tcPr>
            <w:tcW w:w="0" w:type="auto"/>
            <w:vAlign w:val="center"/>
          </w:tcPr>
          <w:p>
            <w:pPr>
              <w:widowControl/>
              <w:spacing w:line="440" w:lineRule="exact"/>
              <w:jc w:val="left"/>
              <w:rPr>
                <w:rFonts w:hint="eastAsia" w:ascii="宋体" w:hAnsi="宋体" w:eastAsia="宋体" w:cs="宋体"/>
                <w:b/>
                <w:color w:val="auto"/>
                <w:kern w:val="2"/>
                <w:sz w:val="21"/>
                <w:szCs w:val="21"/>
                <w:highlight w:val="none"/>
                <w:lang w:val="en-US" w:eastAsia="zh-CN" w:bidi="ar-SA"/>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numPr>
          <w:ilvl w:val="0"/>
          <w:numId w:val="0"/>
        </w:numPr>
        <w:adjustRightInd w:val="0"/>
        <w:snapToGrid w:val="0"/>
        <w:spacing w:line="320" w:lineRule="auto"/>
        <w:ind w:leftChars="0" w:firstLine="420" w:firstLineChars="200"/>
        <w:jc w:val="left"/>
        <w:rPr>
          <w:rFonts w:hint="default" w:ascii="宋体" w:hAnsi="宋体" w:eastAsia="宋体" w:cs="宋体"/>
          <w:bCs/>
          <w:color w:val="auto"/>
          <w:kern w:val="2"/>
          <w:sz w:val="21"/>
          <w:szCs w:val="21"/>
          <w:highlight w:val="none"/>
          <w:lang w:val="en-US" w:eastAsia="zh-CN" w:bidi="ar-SA"/>
        </w:rPr>
      </w:pP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pStyle w:val="17"/>
        <w:numPr>
          <w:ilvl w:val="0"/>
          <w:numId w:val="0"/>
        </w:numPr>
        <w:ind w:leftChars="0"/>
        <w:rPr>
          <w:rFonts w:hint="default"/>
          <w:lang w:val="en-US" w:eastAsia="zh-CN"/>
        </w:rPr>
      </w:pP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highlight w:val="none"/>
        </w:rPr>
      </w:pPr>
      <w:r>
        <w:rPr>
          <w:rFonts w:hint="eastAsia" w:ascii="宋体" w:hAnsi="宋体" w:cs="宋体"/>
          <w:color w:val="auto"/>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28"/>
          <w:szCs w:val="28"/>
          <w:highlight w:val="none"/>
          <w:lang w:val="en-US" w:eastAsia="zh-CN"/>
          <w14:textFill>
            <w14:solidFill>
              <w14:schemeClr w14:val="tx1"/>
            </w14:solidFill>
          </w14:textFill>
        </w:rPr>
      </w:pPr>
      <w:r>
        <w:rPr>
          <w:rFonts w:hint="eastAsia" w:ascii="宋体" w:hAnsi="宋体" w:cs="宋体"/>
          <w:b/>
          <w:color w:val="000000" w:themeColor="text1"/>
          <w:sz w:val="28"/>
          <w:szCs w:val="28"/>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3"/>
        <w:gridCol w:w="1395"/>
        <w:gridCol w:w="1395"/>
        <w:gridCol w:w="1410"/>
        <w:gridCol w:w="1125"/>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0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型号</w:t>
            </w:r>
          </w:p>
        </w:tc>
        <w:tc>
          <w:tcPr>
            <w:tcW w:w="139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单位</w:t>
            </w:r>
          </w:p>
        </w:tc>
        <w:tc>
          <w:tcPr>
            <w:tcW w:w="141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12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单价（元）</w:t>
            </w:r>
          </w:p>
        </w:tc>
        <w:tc>
          <w:tcPr>
            <w:tcW w:w="149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lang w:eastAsia="zh-CN"/>
                <w14:textFill>
                  <w14:solidFill>
                    <w14:schemeClr w14:val="tx1"/>
                  </w14:solidFill>
                </w14:textFill>
              </w:rPr>
            </w:pPr>
            <w:r>
              <w:rPr>
                <w:rFonts w:hint="eastAsia" w:ascii="宋体" w:hAnsi="宋体" w:cs="宋体"/>
                <w:color w:val="000000" w:themeColor="text1"/>
                <w:sz w:val="21"/>
                <w:szCs w:val="21"/>
                <w:highlight w:val="none"/>
                <w:lang w:eastAsia="zh-CN"/>
                <w14:textFill>
                  <w14:solidFill>
                    <w14:schemeClr w14:val="tx1"/>
                  </w14:solidFill>
                </w14:textFill>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07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jc w:val="both"/>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07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lang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default" w:ascii="宋体" w:hAnsi="宋体" w:eastAsia="宋体" w:cs="宋体"/>
                <w:color w:val="000000" w:themeColor="text1"/>
                <w:sz w:val="21"/>
                <w:szCs w:val="21"/>
                <w:highlight w:val="none"/>
                <w:lang w:val="en-US" w:eastAsia="zh-CN"/>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07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2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499"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合计</w:t>
            </w:r>
            <w:r>
              <w:rPr>
                <w:rFonts w:hint="eastAsia" w:ascii="Times New Roman" w:hAnsi="Times New Roman" w:eastAsia="宋体" w:cs="Times New Roman"/>
                <w:kern w:val="2"/>
                <w:sz w:val="21"/>
                <w:szCs w:val="20"/>
                <w:lang w:val="en-US" w:eastAsia="zh-CN" w:bidi="ar-SA"/>
              </w:rPr>
              <w:t>报价：       元</w:t>
            </w:r>
          </w:p>
          <w:p>
            <w:pPr>
              <w:rPr>
                <w:rFonts w:hint="default"/>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6"/>
            <w:tcBorders>
              <w:top w:val="single" w:color="auto" w:sz="4" w:space="0"/>
              <w:left w:val="single" w:color="auto" w:sz="4" w:space="0"/>
              <w:bottom w:val="single" w:color="auto" w:sz="4" w:space="0"/>
              <w:right w:val="single" w:color="auto" w:sz="4" w:space="0"/>
            </w:tcBorders>
            <w:vAlign w:val="center"/>
          </w:tcPr>
          <w:p>
            <w:pPr>
              <w:ind w:firstLine="420" w:firstLineChars="200"/>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备注：请供应商按以上格式认真填写，不得随意更改</w:t>
      </w:r>
      <w:r>
        <w:rPr>
          <w:rFonts w:hint="eastAsia" w:ascii="宋体" w:hAnsi="宋体" w:cs="宋体"/>
          <w:color w:val="000000" w:themeColor="text1"/>
          <w:sz w:val="21"/>
          <w:szCs w:val="21"/>
          <w:highlight w:val="none"/>
          <w:lang w:eastAsia="zh-CN"/>
          <w14:textFill>
            <w14:solidFill>
              <w14:schemeClr w14:val="tx1"/>
            </w14:solidFill>
          </w14:textFill>
        </w:rPr>
        <w:t>采购需求</w:t>
      </w:r>
      <w:r>
        <w:rPr>
          <w:rFonts w:hint="eastAsia" w:ascii="宋体" w:hAnsi="宋体" w:eastAsia="宋体" w:cs="宋体"/>
          <w:color w:val="000000" w:themeColor="text1"/>
          <w:sz w:val="21"/>
          <w:szCs w:val="21"/>
          <w:highlight w:val="none"/>
          <w14:textFill>
            <w14:solidFill>
              <w14:schemeClr w14:val="tx1"/>
            </w14:solidFill>
          </w14:textFill>
        </w:rPr>
        <w:t>，如填写错误以</w:t>
      </w:r>
      <w:r>
        <w:rPr>
          <w:rFonts w:hint="eastAsia" w:ascii="宋体" w:hAnsi="宋体" w:cs="宋体"/>
          <w:color w:val="000000" w:themeColor="text1"/>
          <w:sz w:val="21"/>
          <w:szCs w:val="21"/>
          <w:highlight w:val="none"/>
          <w:lang w:eastAsia="zh-CN"/>
          <w14:textFill>
            <w14:solidFill>
              <w14:schemeClr w14:val="tx1"/>
            </w14:solidFill>
          </w14:textFill>
        </w:rPr>
        <w:t>询价</w:t>
      </w:r>
      <w:r>
        <w:rPr>
          <w:rFonts w:hint="eastAsia" w:ascii="宋体" w:hAnsi="宋体" w:eastAsia="宋体" w:cs="宋体"/>
          <w:color w:val="000000" w:themeColor="text1"/>
          <w:sz w:val="21"/>
          <w:szCs w:val="21"/>
          <w:highlight w:val="none"/>
          <w14:textFill>
            <w14:solidFill>
              <w14:schemeClr w14:val="tx1"/>
            </w14:solidFill>
          </w14:textFill>
        </w:rPr>
        <w:t>文件要求为准。</w:t>
      </w:r>
      <w:r>
        <w:rPr>
          <w:rFonts w:hint="eastAsia" w:ascii="宋体" w:hAnsi="宋体" w:eastAsia="宋体" w:cs="宋体"/>
          <w:color w:val="000000" w:themeColor="text1"/>
          <w:sz w:val="21"/>
          <w:szCs w:val="21"/>
          <w:highlight w:val="none"/>
          <w:lang w:eastAsia="zh-CN"/>
          <w14:textFill>
            <w14:solidFill>
              <w14:schemeClr w14:val="tx1"/>
            </w14:solidFill>
          </w14:textFill>
        </w:rPr>
        <w:t>供应商参考工程量清单项目特征描述按照采购需求</w:t>
      </w:r>
      <w:r>
        <w:rPr>
          <w:rFonts w:hint="eastAsia" w:ascii="宋体" w:hAnsi="宋体" w:cs="宋体"/>
          <w:color w:val="000000" w:themeColor="text1"/>
          <w:sz w:val="21"/>
          <w:szCs w:val="21"/>
          <w:highlight w:val="none"/>
          <w:lang w:eastAsia="zh-CN"/>
          <w14:textFill>
            <w14:solidFill>
              <w14:schemeClr w14:val="tx1"/>
            </w14:solidFill>
          </w14:textFill>
        </w:rPr>
        <w:t>及采购清单分项报价并</w:t>
      </w:r>
      <w:r>
        <w:rPr>
          <w:rFonts w:hint="eastAsia" w:ascii="宋体" w:hAnsi="宋体" w:eastAsia="宋体" w:cs="宋体"/>
          <w:color w:val="000000" w:themeColor="text1"/>
          <w:sz w:val="21"/>
          <w:szCs w:val="21"/>
          <w:highlight w:val="none"/>
          <w:lang w:eastAsia="zh-CN"/>
          <w14:textFill>
            <w14:solidFill>
              <w14:schemeClr w14:val="tx1"/>
            </w14:solidFill>
          </w14:textFill>
        </w:rPr>
        <w:t>汇总</w:t>
      </w:r>
      <w:r>
        <w:rPr>
          <w:rFonts w:hint="eastAsia" w:ascii="宋体" w:hAnsi="宋体" w:cs="宋体"/>
          <w:color w:val="auto"/>
          <w:sz w:val="24"/>
          <w:szCs w:val="24"/>
          <w:highlight w:val="none"/>
          <w:lang w:eastAsia="zh-CN"/>
        </w:rPr>
        <w:t>。</w:t>
      </w:r>
    </w:p>
    <w:p>
      <w:pPr>
        <w:pStyle w:val="17"/>
        <w:rPr>
          <w:rFonts w:hint="eastAsia"/>
          <w:highlight w:val="none"/>
          <w:lang w:eastAsia="zh-CN"/>
        </w:rPr>
      </w:pPr>
    </w:p>
    <w:p>
      <w:pPr>
        <w:pStyle w:val="17"/>
        <w:ind w:left="0" w:leftChars="0" w:firstLine="0" w:firstLineChars="0"/>
        <w:rPr>
          <w:rFonts w:hint="eastAsia"/>
          <w:highlight w:val="none"/>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7"/>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8"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hint="eastAsia" w:ascii="宋体" w:hAnsi="宋体" w:eastAsia="宋体" w:cs="宋体"/>
          <w:color w:val="auto"/>
          <w:sz w:val="21"/>
          <w:szCs w:val="21"/>
          <w:highlight w:val="none"/>
        </w:rPr>
      </w:pPr>
      <w:r>
        <w:rPr>
          <w:rFonts w:hint="eastAsia" w:ascii="宋体" w:hAnsi="宋体"/>
          <w:b/>
          <w:color w:val="auto"/>
          <w:sz w:val="21"/>
          <w:szCs w:val="21"/>
          <w:highlight w:val="none"/>
        </w:rPr>
        <w:t>（格式自定）</w:t>
      </w:r>
      <w:bookmarkStart w:id="79" w:name="_Toc27705"/>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pStyle w:val="17"/>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79"/>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80" w:name="_Toc1950_WPSOffice_Level1"/>
      <w:r>
        <w:rPr>
          <w:rFonts w:hint="eastAsia"/>
          <w:b/>
          <w:bCs/>
          <w:color w:val="auto"/>
          <w:sz w:val="28"/>
          <w:szCs w:val="28"/>
          <w:highlight w:val="none"/>
          <w:lang w:val="zh-CN"/>
        </w:rPr>
        <w:t>询价文件要求和供应商认为需要提供的其它说明和资料</w:t>
      </w:r>
      <w:bookmarkEnd w:id="80"/>
    </w:p>
    <w:p>
      <w:pPr>
        <w:tabs>
          <w:tab w:val="left" w:pos="4620"/>
        </w:tabs>
        <w:spacing w:line="560" w:lineRule="exact"/>
        <w:jc w:val="center"/>
        <w:rPr>
          <w:rStyle w:val="42"/>
          <w:rFonts w:hint="default"/>
          <w:color w:val="auto"/>
          <w:sz w:val="28"/>
          <w:szCs w:val="28"/>
          <w:highlight w:val="none"/>
          <w:lang w:val="en-US" w:eastAsia="zh-CN"/>
        </w:rPr>
      </w:pPr>
      <w:bookmarkStart w:id="81" w:name="_Toc3085"/>
      <w:bookmarkStart w:id="82" w:name="_Toc19844_WPSOffice_Level1"/>
      <w:r>
        <w:rPr>
          <w:rStyle w:val="42"/>
          <w:rFonts w:hint="eastAsia"/>
          <w:color w:val="auto"/>
          <w:sz w:val="28"/>
          <w:szCs w:val="28"/>
          <w:highlight w:val="none"/>
          <w:lang w:val="en-US" w:eastAsia="zh-CN"/>
        </w:rPr>
        <w:t>（如投标人业绩等）</w:t>
      </w:r>
    </w:p>
    <w:p>
      <w:pPr>
        <w:tabs>
          <w:tab w:val="left" w:pos="4620"/>
        </w:tabs>
        <w:spacing w:line="560" w:lineRule="exact"/>
        <w:jc w:val="left"/>
        <w:rPr>
          <w:rStyle w:val="42"/>
          <w:rFonts w:hint="eastAsia"/>
          <w:color w:val="auto"/>
          <w:sz w:val="21"/>
          <w:szCs w:val="21"/>
          <w:highlight w:val="none"/>
          <w:lang w:val="en-US" w:eastAsia="zh-CN"/>
        </w:rPr>
      </w:pPr>
    </w:p>
    <w:bookmarkEnd w:id="81"/>
    <w:bookmarkEnd w:id="82"/>
    <w:p>
      <w:pPr>
        <w:spacing w:line="440" w:lineRule="exact"/>
        <w:rPr>
          <w:rFonts w:hint="eastAsia" w:ascii="宋体" w:hAnsi="宋体" w:cs="宋体"/>
          <w:b/>
          <w:bCs/>
          <w:color w:val="auto"/>
          <w:sz w:val="24"/>
          <w:szCs w:val="24"/>
          <w:highlight w:val="none"/>
        </w:rPr>
      </w:pPr>
      <w:bookmarkStart w:id="83" w:name="_Toc16902_WPSOffice_Level1"/>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附件</w:t>
      </w:r>
      <w:bookmarkEnd w:id="83"/>
      <w:r>
        <w:rPr>
          <w:rFonts w:hint="eastAsia" w:ascii="宋体" w:hAnsi="宋体" w:eastAsia="宋体" w:cs="宋体"/>
          <w:color w:val="auto"/>
          <w:sz w:val="21"/>
          <w:szCs w:val="21"/>
          <w:highlight w:val="none"/>
          <w:lang w:eastAsia="zh-CN"/>
        </w:rPr>
        <w:t>九</w:t>
      </w:r>
    </w:p>
    <w:p>
      <w:pPr>
        <w:spacing w:line="400" w:lineRule="exact"/>
        <w:jc w:val="center"/>
        <w:rPr>
          <w:rFonts w:hint="default" w:ascii="宋体" w:hAnsi="宋体" w:eastAsia="宋体" w:cs="宋体"/>
          <w:b/>
          <w:color w:val="auto"/>
          <w:sz w:val="28"/>
          <w:szCs w:val="28"/>
          <w:highlight w:val="none"/>
          <w:shd w:val="clear" w:color="auto" w:fill="FFFFFF"/>
          <w:lang w:val="en-US" w:eastAsia="zh-CN"/>
        </w:rPr>
      </w:pPr>
      <w:bookmarkStart w:id="84"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w:t>
      </w:r>
      <w:bookmarkEnd w:id="84"/>
      <w:r>
        <w:rPr>
          <w:rFonts w:hint="eastAsia" w:ascii="宋体" w:hAnsi="宋体" w:cs="宋体"/>
          <w:b/>
          <w:color w:val="auto"/>
          <w:sz w:val="28"/>
          <w:szCs w:val="28"/>
          <w:highlight w:val="none"/>
          <w:shd w:val="clear" w:color="auto" w:fill="FFFFFF"/>
          <w:lang w:val="en-US" w:eastAsia="zh-CN"/>
        </w:rPr>
        <w:t>公示</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5" w:name="_Toc3059_WPSOffice_Level1"/>
      <w:r>
        <w:rPr>
          <w:rFonts w:hint="eastAsia" w:ascii="宋体" w:hAnsi="宋体" w:cs="宋体"/>
          <w:bCs/>
          <w:color w:val="auto"/>
          <w:highlight w:val="none"/>
          <w:shd w:val="clear" w:color="auto" w:fill="FFFFFF"/>
        </w:rPr>
        <w:t>一、项目相关情况</w:t>
      </w:r>
      <w:bookmarkEnd w:id="85"/>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期限：      年     月      日至      年     月     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安徽大别山国投集团纪检监察室</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6" w:name="_Toc21327_WPSOffice_Level1"/>
      <w:r>
        <w:rPr>
          <w:rFonts w:hint="eastAsia" w:ascii="宋体" w:hAnsi="宋体" w:cs="宋体"/>
          <w:bCs/>
          <w:color w:val="auto"/>
          <w:highlight w:val="none"/>
          <w:shd w:val="clear" w:color="auto" w:fill="FFFFFF"/>
        </w:rPr>
        <w:t>二、质疑提起的条件及不予受理的情形</w:t>
      </w:r>
      <w:bookmarkEnd w:id="86"/>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7" w:name="_Toc17685_WPSOffice_Level1"/>
      <w:r>
        <w:rPr>
          <w:rFonts w:hint="eastAsia" w:ascii="宋体" w:hAnsi="宋体" w:cs="宋体"/>
          <w:bCs/>
          <w:color w:val="auto"/>
          <w:highlight w:val="none"/>
          <w:shd w:val="clear" w:color="auto" w:fill="FFFFFF"/>
        </w:rPr>
        <w:t>三、其他</w:t>
      </w:r>
      <w:bookmarkEnd w:id="87"/>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w:t>
      </w:r>
      <w:r>
        <w:rPr>
          <w:rFonts w:hint="eastAsia" w:ascii="宋体" w:hAnsi="宋体" w:cs="宋体"/>
          <w:bCs/>
          <w:color w:val="auto"/>
          <w:highlight w:val="none"/>
          <w:shd w:val="clear" w:color="auto" w:fill="FFFFFF"/>
          <w:lang w:val="en-US" w:eastAsia="zh-CN"/>
        </w:rPr>
        <w:t>示</w:t>
      </w:r>
      <w:r>
        <w:rPr>
          <w:rFonts w:hint="eastAsia" w:ascii="宋体" w:hAnsi="宋体" w:cs="宋体"/>
          <w:bCs/>
          <w:color w:val="auto"/>
          <w:highlight w:val="none"/>
          <w:shd w:val="clear" w:color="auto" w:fill="FFFFFF"/>
        </w:rPr>
        <w:t>。</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8"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附件十</w:t>
      </w:r>
      <w:bookmarkEnd w:id="88"/>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3"/>
        <w:rPr>
          <w:rFonts w:hint="eastAsia"/>
          <w:lang w:val="en-US" w:eastAsia="zh-CN"/>
        </w:rPr>
      </w:pPr>
    </w:p>
    <w:sectPr>
      <w:footerReference r:id="rId5"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2F1C57A5"/>
    <w:rsid w:val="0003708B"/>
    <w:rsid w:val="00255FB5"/>
    <w:rsid w:val="00292389"/>
    <w:rsid w:val="00847D88"/>
    <w:rsid w:val="00B03C56"/>
    <w:rsid w:val="00B17BC8"/>
    <w:rsid w:val="00EB626F"/>
    <w:rsid w:val="00FB35BB"/>
    <w:rsid w:val="01256BF4"/>
    <w:rsid w:val="01362665"/>
    <w:rsid w:val="01454703"/>
    <w:rsid w:val="020F0B04"/>
    <w:rsid w:val="021B0238"/>
    <w:rsid w:val="02302F18"/>
    <w:rsid w:val="02433DDB"/>
    <w:rsid w:val="025D2311"/>
    <w:rsid w:val="02A369FE"/>
    <w:rsid w:val="02A8574F"/>
    <w:rsid w:val="02AA1EE6"/>
    <w:rsid w:val="02AF769C"/>
    <w:rsid w:val="02C764A5"/>
    <w:rsid w:val="02CE2947"/>
    <w:rsid w:val="02E515F7"/>
    <w:rsid w:val="02F712E8"/>
    <w:rsid w:val="0311413E"/>
    <w:rsid w:val="03150F8F"/>
    <w:rsid w:val="03276947"/>
    <w:rsid w:val="033864A3"/>
    <w:rsid w:val="034743F7"/>
    <w:rsid w:val="038111D3"/>
    <w:rsid w:val="039474F8"/>
    <w:rsid w:val="039759F3"/>
    <w:rsid w:val="03D20CD2"/>
    <w:rsid w:val="0409688B"/>
    <w:rsid w:val="04715B28"/>
    <w:rsid w:val="049E2DCE"/>
    <w:rsid w:val="04A711DB"/>
    <w:rsid w:val="04A855AB"/>
    <w:rsid w:val="04C358F1"/>
    <w:rsid w:val="04C6213A"/>
    <w:rsid w:val="04D66BFE"/>
    <w:rsid w:val="05033D45"/>
    <w:rsid w:val="05355A4A"/>
    <w:rsid w:val="059C0CBD"/>
    <w:rsid w:val="05DA6AE0"/>
    <w:rsid w:val="061F1F65"/>
    <w:rsid w:val="0644344B"/>
    <w:rsid w:val="065734CB"/>
    <w:rsid w:val="066160FD"/>
    <w:rsid w:val="06803458"/>
    <w:rsid w:val="06BE48F4"/>
    <w:rsid w:val="06F41F43"/>
    <w:rsid w:val="07002AD7"/>
    <w:rsid w:val="071C02A2"/>
    <w:rsid w:val="07472F16"/>
    <w:rsid w:val="07500CD8"/>
    <w:rsid w:val="07640C17"/>
    <w:rsid w:val="076B107D"/>
    <w:rsid w:val="077D0881"/>
    <w:rsid w:val="079B0714"/>
    <w:rsid w:val="07D1735E"/>
    <w:rsid w:val="07D74BAD"/>
    <w:rsid w:val="07FC120D"/>
    <w:rsid w:val="08067398"/>
    <w:rsid w:val="08626E29"/>
    <w:rsid w:val="08791A00"/>
    <w:rsid w:val="088902E8"/>
    <w:rsid w:val="08A270C9"/>
    <w:rsid w:val="08B63F10"/>
    <w:rsid w:val="08D02756"/>
    <w:rsid w:val="08FF0187"/>
    <w:rsid w:val="092B641B"/>
    <w:rsid w:val="09310546"/>
    <w:rsid w:val="093B68B5"/>
    <w:rsid w:val="095C368B"/>
    <w:rsid w:val="09F429FB"/>
    <w:rsid w:val="0A1332DE"/>
    <w:rsid w:val="0A337DC1"/>
    <w:rsid w:val="0A3D5525"/>
    <w:rsid w:val="0A563B9E"/>
    <w:rsid w:val="0A967446"/>
    <w:rsid w:val="0AD92462"/>
    <w:rsid w:val="0ADA7309"/>
    <w:rsid w:val="0AF952A0"/>
    <w:rsid w:val="0B0C64E8"/>
    <w:rsid w:val="0B241117"/>
    <w:rsid w:val="0BBF6800"/>
    <w:rsid w:val="0BCF23F7"/>
    <w:rsid w:val="0BF7193F"/>
    <w:rsid w:val="0C013EAE"/>
    <w:rsid w:val="0C1C1BA2"/>
    <w:rsid w:val="0C3831B2"/>
    <w:rsid w:val="0C516258"/>
    <w:rsid w:val="0C5D10F3"/>
    <w:rsid w:val="0C8B3F0F"/>
    <w:rsid w:val="0C974471"/>
    <w:rsid w:val="0CB13FF3"/>
    <w:rsid w:val="0CB1489A"/>
    <w:rsid w:val="0CBE1F8E"/>
    <w:rsid w:val="0CCB2D8A"/>
    <w:rsid w:val="0CE51BA4"/>
    <w:rsid w:val="0D4A538B"/>
    <w:rsid w:val="0D5C0F8B"/>
    <w:rsid w:val="0DA718AA"/>
    <w:rsid w:val="0DDC5214"/>
    <w:rsid w:val="0E7B6D74"/>
    <w:rsid w:val="0EB23F58"/>
    <w:rsid w:val="0EBC729E"/>
    <w:rsid w:val="0EC811A0"/>
    <w:rsid w:val="0ECB3223"/>
    <w:rsid w:val="0ECB46E0"/>
    <w:rsid w:val="0EFD1C75"/>
    <w:rsid w:val="0F2B7E44"/>
    <w:rsid w:val="0F5A2EA7"/>
    <w:rsid w:val="0F8661C9"/>
    <w:rsid w:val="0FFF2314"/>
    <w:rsid w:val="10630F5B"/>
    <w:rsid w:val="10665F88"/>
    <w:rsid w:val="10B4685A"/>
    <w:rsid w:val="10B47EDD"/>
    <w:rsid w:val="11013491"/>
    <w:rsid w:val="11470880"/>
    <w:rsid w:val="1152104B"/>
    <w:rsid w:val="115A5F8B"/>
    <w:rsid w:val="11C96427"/>
    <w:rsid w:val="12256160"/>
    <w:rsid w:val="12323E29"/>
    <w:rsid w:val="124C51BC"/>
    <w:rsid w:val="124E58FE"/>
    <w:rsid w:val="126536EF"/>
    <w:rsid w:val="12AC536E"/>
    <w:rsid w:val="12C04EAF"/>
    <w:rsid w:val="12CB3379"/>
    <w:rsid w:val="12EE2750"/>
    <w:rsid w:val="12F368B1"/>
    <w:rsid w:val="13215B42"/>
    <w:rsid w:val="13592465"/>
    <w:rsid w:val="1364532D"/>
    <w:rsid w:val="13A85112"/>
    <w:rsid w:val="13DF6F4F"/>
    <w:rsid w:val="14051CA6"/>
    <w:rsid w:val="1414601F"/>
    <w:rsid w:val="14255A7F"/>
    <w:rsid w:val="147737A7"/>
    <w:rsid w:val="14827BCA"/>
    <w:rsid w:val="148D56A6"/>
    <w:rsid w:val="14A55891"/>
    <w:rsid w:val="14CD5969"/>
    <w:rsid w:val="15055C7F"/>
    <w:rsid w:val="15081ED3"/>
    <w:rsid w:val="15773C44"/>
    <w:rsid w:val="159267B6"/>
    <w:rsid w:val="159C3FF8"/>
    <w:rsid w:val="15EF0346"/>
    <w:rsid w:val="15FF31D8"/>
    <w:rsid w:val="16141DB7"/>
    <w:rsid w:val="161D1882"/>
    <w:rsid w:val="16832F64"/>
    <w:rsid w:val="168C1381"/>
    <w:rsid w:val="16921440"/>
    <w:rsid w:val="16C41FE1"/>
    <w:rsid w:val="16D8450A"/>
    <w:rsid w:val="16E90795"/>
    <w:rsid w:val="174E2B31"/>
    <w:rsid w:val="174F1F7C"/>
    <w:rsid w:val="1803013C"/>
    <w:rsid w:val="18096263"/>
    <w:rsid w:val="18483FB1"/>
    <w:rsid w:val="184D663F"/>
    <w:rsid w:val="18B06CB8"/>
    <w:rsid w:val="18BB4963"/>
    <w:rsid w:val="18C74C4E"/>
    <w:rsid w:val="18FB5F6E"/>
    <w:rsid w:val="1902112B"/>
    <w:rsid w:val="191D49AE"/>
    <w:rsid w:val="19A110E6"/>
    <w:rsid w:val="19BD767D"/>
    <w:rsid w:val="19E22D40"/>
    <w:rsid w:val="1A017B00"/>
    <w:rsid w:val="1A1D00D5"/>
    <w:rsid w:val="1A2C3E5B"/>
    <w:rsid w:val="1A322377"/>
    <w:rsid w:val="1A331B52"/>
    <w:rsid w:val="1A423C53"/>
    <w:rsid w:val="1A495C86"/>
    <w:rsid w:val="1A530AF8"/>
    <w:rsid w:val="1A7B7184"/>
    <w:rsid w:val="1A966D2E"/>
    <w:rsid w:val="1AC96F92"/>
    <w:rsid w:val="1AF96F59"/>
    <w:rsid w:val="1B1A2101"/>
    <w:rsid w:val="1B2C7140"/>
    <w:rsid w:val="1B8850A8"/>
    <w:rsid w:val="1B9F2CD7"/>
    <w:rsid w:val="1BD82076"/>
    <w:rsid w:val="1BE82701"/>
    <w:rsid w:val="1BF95358"/>
    <w:rsid w:val="1BFD7962"/>
    <w:rsid w:val="1C230B2D"/>
    <w:rsid w:val="1C321E98"/>
    <w:rsid w:val="1C3A2A9E"/>
    <w:rsid w:val="1C452BAA"/>
    <w:rsid w:val="1C7A583D"/>
    <w:rsid w:val="1C7E28A8"/>
    <w:rsid w:val="1C996F6B"/>
    <w:rsid w:val="1CEF5655"/>
    <w:rsid w:val="1D16290A"/>
    <w:rsid w:val="1D217AE8"/>
    <w:rsid w:val="1D452350"/>
    <w:rsid w:val="1D4A399E"/>
    <w:rsid w:val="1D7F1AF1"/>
    <w:rsid w:val="1D85340C"/>
    <w:rsid w:val="1DB56372"/>
    <w:rsid w:val="1DC0444F"/>
    <w:rsid w:val="1DE42D56"/>
    <w:rsid w:val="1E54325B"/>
    <w:rsid w:val="1E755173"/>
    <w:rsid w:val="1EB61656"/>
    <w:rsid w:val="1EBA5E2B"/>
    <w:rsid w:val="1EE37ED0"/>
    <w:rsid w:val="1F305B4D"/>
    <w:rsid w:val="1FE443E7"/>
    <w:rsid w:val="20047356"/>
    <w:rsid w:val="203F7955"/>
    <w:rsid w:val="207B1AB3"/>
    <w:rsid w:val="20C31AC7"/>
    <w:rsid w:val="213E721E"/>
    <w:rsid w:val="215167E4"/>
    <w:rsid w:val="216A6125"/>
    <w:rsid w:val="21B843D9"/>
    <w:rsid w:val="21EA62EB"/>
    <w:rsid w:val="22083E51"/>
    <w:rsid w:val="221377C9"/>
    <w:rsid w:val="221A7232"/>
    <w:rsid w:val="221B322D"/>
    <w:rsid w:val="22316A8B"/>
    <w:rsid w:val="224042CD"/>
    <w:rsid w:val="224A368B"/>
    <w:rsid w:val="228355CA"/>
    <w:rsid w:val="22BE48E0"/>
    <w:rsid w:val="22E763E7"/>
    <w:rsid w:val="2302564C"/>
    <w:rsid w:val="23146CA5"/>
    <w:rsid w:val="234A74A5"/>
    <w:rsid w:val="23681488"/>
    <w:rsid w:val="236C589C"/>
    <w:rsid w:val="23791DFB"/>
    <w:rsid w:val="239337B6"/>
    <w:rsid w:val="23A9417A"/>
    <w:rsid w:val="23B7280F"/>
    <w:rsid w:val="23F9346F"/>
    <w:rsid w:val="242A13D4"/>
    <w:rsid w:val="249C4D10"/>
    <w:rsid w:val="24DC6041"/>
    <w:rsid w:val="24EE2270"/>
    <w:rsid w:val="24F02BC1"/>
    <w:rsid w:val="24FF6042"/>
    <w:rsid w:val="2511704C"/>
    <w:rsid w:val="252F4101"/>
    <w:rsid w:val="252F4627"/>
    <w:rsid w:val="252F6154"/>
    <w:rsid w:val="25656A25"/>
    <w:rsid w:val="2567784B"/>
    <w:rsid w:val="257E6E58"/>
    <w:rsid w:val="25816870"/>
    <w:rsid w:val="258D7931"/>
    <w:rsid w:val="25991012"/>
    <w:rsid w:val="25A355D1"/>
    <w:rsid w:val="25DF344B"/>
    <w:rsid w:val="260D2BCC"/>
    <w:rsid w:val="269272BA"/>
    <w:rsid w:val="269B7E31"/>
    <w:rsid w:val="26B64AC7"/>
    <w:rsid w:val="26E26F1B"/>
    <w:rsid w:val="26FF3DC4"/>
    <w:rsid w:val="27051EFA"/>
    <w:rsid w:val="2756117E"/>
    <w:rsid w:val="282C5FBE"/>
    <w:rsid w:val="282F3B79"/>
    <w:rsid w:val="283956A8"/>
    <w:rsid w:val="283B7736"/>
    <w:rsid w:val="28552F45"/>
    <w:rsid w:val="28721659"/>
    <w:rsid w:val="28925148"/>
    <w:rsid w:val="28B95567"/>
    <w:rsid w:val="29101C48"/>
    <w:rsid w:val="297D3AB0"/>
    <w:rsid w:val="29A04C57"/>
    <w:rsid w:val="29A95C2E"/>
    <w:rsid w:val="29D81534"/>
    <w:rsid w:val="2A4B2692"/>
    <w:rsid w:val="2A5D4158"/>
    <w:rsid w:val="2A7C099F"/>
    <w:rsid w:val="2A987BB9"/>
    <w:rsid w:val="2AA60C6A"/>
    <w:rsid w:val="2AAD5454"/>
    <w:rsid w:val="2AE476F0"/>
    <w:rsid w:val="2AFB27A6"/>
    <w:rsid w:val="2B1C14C3"/>
    <w:rsid w:val="2B28612B"/>
    <w:rsid w:val="2B2B5A34"/>
    <w:rsid w:val="2B393F0C"/>
    <w:rsid w:val="2B520E96"/>
    <w:rsid w:val="2B73385E"/>
    <w:rsid w:val="2B761914"/>
    <w:rsid w:val="2BA25F45"/>
    <w:rsid w:val="2BAB3BDA"/>
    <w:rsid w:val="2BB052E5"/>
    <w:rsid w:val="2BFA20F2"/>
    <w:rsid w:val="2C131622"/>
    <w:rsid w:val="2C147130"/>
    <w:rsid w:val="2C683917"/>
    <w:rsid w:val="2CE52FBD"/>
    <w:rsid w:val="2D254D25"/>
    <w:rsid w:val="2D8557DD"/>
    <w:rsid w:val="2DA03CE2"/>
    <w:rsid w:val="2DD01CB0"/>
    <w:rsid w:val="2DD57ECD"/>
    <w:rsid w:val="2E054178"/>
    <w:rsid w:val="2E485C02"/>
    <w:rsid w:val="2E603E9A"/>
    <w:rsid w:val="2E7442AA"/>
    <w:rsid w:val="2E812FF3"/>
    <w:rsid w:val="2EA15DC8"/>
    <w:rsid w:val="2EB87831"/>
    <w:rsid w:val="2ED51A6E"/>
    <w:rsid w:val="2EE44F12"/>
    <w:rsid w:val="2F1C57A5"/>
    <w:rsid w:val="2FA7707A"/>
    <w:rsid w:val="30091271"/>
    <w:rsid w:val="300E7853"/>
    <w:rsid w:val="30365FB7"/>
    <w:rsid w:val="3047517C"/>
    <w:rsid w:val="304F440F"/>
    <w:rsid w:val="308F5B79"/>
    <w:rsid w:val="30C308AC"/>
    <w:rsid w:val="30DB4096"/>
    <w:rsid w:val="30E913A6"/>
    <w:rsid w:val="31127973"/>
    <w:rsid w:val="311F0538"/>
    <w:rsid w:val="31306CB2"/>
    <w:rsid w:val="319B067F"/>
    <w:rsid w:val="31AB79A4"/>
    <w:rsid w:val="31C418C9"/>
    <w:rsid w:val="31F37003"/>
    <w:rsid w:val="31F70B57"/>
    <w:rsid w:val="31F9233C"/>
    <w:rsid w:val="324F0800"/>
    <w:rsid w:val="32554E2E"/>
    <w:rsid w:val="3262580A"/>
    <w:rsid w:val="32661595"/>
    <w:rsid w:val="32784055"/>
    <w:rsid w:val="327F2242"/>
    <w:rsid w:val="328C72C2"/>
    <w:rsid w:val="3305611D"/>
    <w:rsid w:val="33122EA7"/>
    <w:rsid w:val="33882EA3"/>
    <w:rsid w:val="33B14FB2"/>
    <w:rsid w:val="340E6C58"/>
    <w:rsid w:val="341C2F63"/>
    <w:rsid w:val="34382116"/>
    <w:rsid w:val="34506F6B"/>
    <w:rsid w:val="34545DD8"/>
    <w:rsid w:val="34681E37"/>
    <w:rsid w:val="349B21BE"/>
    <w:rsid w:val="34B83670"/>
    <w:rsid w:val="34D536C4"/>
    <w:rsid w:val="34DC531C"/>
    <w:rsid w:val="35614940"/>
    <w:rsid w:val="35680E1A"/>
    <w:rsid w:val="35854C2E"/>
    <w:rsid w:val="35984BA7"/>
    <w:rsid w:val="35DC3C62"/>
    <w:rsid w:val="35EE6CA1"/>
    <w:rsid w:val="35F542BD"/>
    <w:rsid w:val="36355848"/>
    <w:rsid w:val="363F4FAA"/>
    <w:rsid w:val="36955D99"/>
    <w:rsid w:val="36CE5C1C"/>
    <w:rsid w:val="36EC6B02"/>
    <w:rsid w:val="37500C05"/>
    <w:rsid w:val="376406C6"/>
    <w:rsid w:val="37681B83"/>
    <w:rsid w:val="378E5E01"/>
    <w:rsid w:val="37E01B24"/>
    <w:rsid w:val="38210BA8"/>
    <w:rsid w:val="38312E6C"/>
    <w:rsid w:val="38B45EFC"/>
    <w:rsid w:val="38D036A4"/>
    <w:rsid w:val="38FA3EAE"/>
    <w:rsid w:val="38FC1F15"/>
    <w:rsid w:val="39792C93"/>
    <w:rsid w:val="398D0AC5"/>
    <w:rsid w:val="399D3133"/>
    <w:rsid w:val="39AF31BE"/>
    <w:rsid w:val="39CB06F7"/>
    <w:rsid w:val="39E723D3"/>
    <w:rsid w:val="3A776491"/>
    <w:rsid w:val="3A8E3775"/>
    <w:rsid w:val="3A9369B8"/>
    <w:rsid w:val="3ABA2B52"/>
    <w:rsid w:val="3ADD407B"/>
    <w:rsid w:val="3AE97D6B"/>
    <w:rsid w:val="3B187EF4"/>
    <w:rsid w:val="3B264B22"/>
    <w:rsid w:val="3B2D31FB"/>
    <w:rsid w:val="3B2E26A9"/>
    <w:rsid w:val="3B8E3C6C"/>
    <w:rsid w:val="3B9C4230"/>
    <w:rsid w:val="3C1C5FDB"/>
    <w:rsid w:val="3C422011"/>
    <w:rsid w:val="3C4E4BA9"/>
    <w:rsid w:val="3C795128"/>
    <w:rsid w:val="3C7D3CB0"/>
    <w:rsid w:val="3C945444"/>
    <w:rsid w:val="3C967255"/>
    <w:rsid w:val="3CEF665D"/>
    <w:rsid w:val="3CF70FDA"/>
    <w:rsid w:val="3D336A2D"/>
    <w:rsid w:val="3D457CC8"/>
    <w:rsid w:val="3D531014"/>
    <w:rsid w:val="3D5C50E1"/>
    <w:rsid w:val="3D64203D"/>
    <w:rsid w:val="3DC61E40"/>
    <w:rsid w:val="3E046DF3"/>
    <w:rsid w:val="3E714ACE"/>
    <w:rsid w:val="3E765A8E"/>
    <w:rsid w:val="3E8D145E"/>
    <w:rsid w:val="3E9720C5"/>
    <w:rsid w:val="3E9D780F"/>
    <w:rsid w:val="3EBB4A08"/>
    <w:rsid w:val="3F3275E2"/>
    <w:rsid w:val="3F3D2AEC"/>
    <w:rsid w:val="3FE111C3"/>
    <w:rsid w:val="40223343"/>
    <w:rsid w:val="403E06F0"/>
    <w:rsid w:val="405E2328"/>
    <w:rsid w:val="40B4502A"/>
    <w:rsid w:val="40B85AAA"/>
    <w:rsid w:val="40BE6619"/>
    <w:rsid w:val="40D413F9"/>
    <w:rsid w:val="40FE59B1"/>
    <w:rsid w:val="413F63EF"/>
    <w:rsid w:val="415B5DA1"/>
    <w:rsid w:val="41666DD5"/>
    <w:rsid w:val="416E350A"/>
    <w:rsid w:val="418055AE"/>
    <w:rsid w:val="419903CA"/>
    <w:rsid w:val="41B64A78"/>
    <w:rsid w:val="41B8516B"/>
    <w:rsid w:val="41DD49C0"/>
    <w:rsid w:val="41FC0550"/>
    <w:rsid w:val="42265CA1"/>
    <w:rsid w:val="42B2150D"/>
    <w:rsid w:val="42B7677D"/>
    <w:rsid w:val="42BC355E"/>
    <w:rsid w:val="42BD701F"/>
    <w:rsid w:val="431D644D"/>
    <w:rsid w:val="43592917"/>
    <w:rsid w:val="437A0AD7"/>
    <w:rsid w:val="43CC1B19"/>
    <w:rsid w:val="43DD6A08"/>
    <w:rsid w:val="43F75005"/>
    <w:rsid w:val="44147686"/>
    <w:rsid w:val="442A0FF7"/>
    <w:rsid w:val="44595EFE"/>
    <w:rsid w:val="44A83992"/>
    <w:rsid w:val="44F41C1A"/>
    <w:rsid w:val="455D6192"/>
    <w:rsid w:val="457573C4"/>
    <w:rsid w:val="45FC1F89"/>
    <w:rsid w:val="46447AD0"/>
    <w:rsid w:val="4667667C"/>
    <w:rsid w:val="46AA52FF"/>
    <w:rsid w:val="46B9747D"/>
    <w:rsid w:val="46F751BF"/>
    <w:rsid w:val="46FE1966"/>
    <w:rsid w:val="474D3E16"/>
    <w:rsid w:val="47A0155D"/>
    <w:rsid w:val="47AD1197"/>
    <w:rsid w:val="47D0027D"/>
    <w:rsid w:val="47E710FB"/>
    <w:rsid w:val="47ED349E"/>
    <w:rsid w:val="484A6384"/>
    <w:rsid w:val="48A736AC"/>
    <w:rsid w:val="48AA6358"/>
    <w:rsid w:val="48C10F7C"/>
    <w:rsid w:val="48D30C8F"/>
    <w:rsid w:val="48F93679"/>
    <w:rsid w:val="49064491"/>
    <w:rsid w:val="49151A34"/>
    <w:rsid w:val="493E0515"/>
    <w:rsid w:val="49665DCB"/>
    <w:rsid w:val="49755BE2"/>
    <w:rsid w:val="499317B2"/>
    <w:rsid w:val="49974E74"/>
    <w:rsid w:val="4A405D23"/>
    <w:rsid w:val="4A4D2829"/>
    <w:rsid w:val="4AF10804"/>
    <w:rsid w:val="4B8E56C3"/>
    <w:rsid w:val="4BC26AB1"/>
    <w:rsid w:val="4BC60A62"/>
    <w:rsid w:val="4BF054CF"/>
    <w:rsid w:val="4C256976"/>
    <w:rsid w:val="4C4D6998"/>
    <w:rsid w:val="4CAE2606"/>
    <w:rsid w:val="4CE63047"/>
    <w:rsid w:val="4D18297E"/>
    <w:rsid w:val="4D1C536A"/>
    <w:rsid w:val="4D634E6D"/>
    <w:rsid w:val="4D757618"/>
    <w:rsid w:val="4DB4225E"/>
    <w:rsid w:val="4DCB06A1"/>
    <w:rsid w:val="4DD8672F"/>
    <w:rsid w:val="4DEC6549"/>
    <w:rsid w:val="4DED2F93"/>
    <w:rsid w:val="4E066D6F"/>
    <w:rsid w:val="4E0F558F"/>
    <w:rsid w:val="4E126F73"/>
    <w:rsid w:val="4E4F40EB"/>
    <w:rsid w:val="4EA40C4E"/>
    <w:rsid w:val="4F1C43FC"/>
    <w:rsid w:val="4F490783"/>
    <w:rsid w:val="4F6D0B44"/>
    <w:rsid w:val="4F833E54"/>
    <w:rsid w:val="4F9010E9"/>
    <w:rsid w:val="4FB10EBA"/>
    <w:rsid w:val="50345C2D"/>
    <w:rsid w:val="505E2BEF"/>
    <w:rsid w:val="50692AA8"/>
    <w:rsid w:val="50780873"/>
    <w:rsid w:val="50A81AB3"/>
    <w:rsid w:val="50B46B12"/>
    <w:rsid w:val="50B60C68"/>
    <w:rsid w:val="50D12CB7"/>
    <w:rsid w:val="51373F3D"/>
    <w:rsid w:val="5146779C"/>
    <w:rsid w:val="519B18BA"/>
    <w:rsid w:val="51A572CF"/>
    <w:rsid w:val="52251CDC"/>
    <w:rsid w:val="52AD691E"/>
    <w:rsid w:val="53303C26"/>
    <w:rsid w:val="53371E29"/>
    <w:rsid w:val="533B4B7B"/>
    <w:rsid w:val="53402AB0"/>
    <w:rsid w:val="53A51F4E"/>
    <w:rsid w:val="54156484"/>
    <w:rsid w:val="54A309A3"/>
    <w:rsid w:val="54B56A54"/>
    <w:rsid w:val="54D53CF9"/>
    <w:rsid w:val="54F04A8C"/>
    <w:rsid w:val="55122095"/>
    <w:rsid w:val="552175DB"/>
    <w:rsid w:val="553923F2"/>
    <w:rsid w:val="553A0B70"/>
    <w:rsid w:val="55581881"/>
    <w:rsid w:val="555B511B"/>
    <w:rsid w:val="558001AF"/>
    <w:rsid w:val="55820C74"/>
    <w:rsid w:val="55881C3C"/>
    <w:rsid w:val="559C563E"/>
    <w:rsid w:val="55AF28BB"/>
    <w:rsid w:val="55AF453B"/>
    <w:rsid w:val="55DB79C3"/>
    <w:rsid w:val="55E15654"/>
    <w:rsid w:val="55FB7588"/>
    <w:rsid w:val="55FD58E3"/>
    <w:rsid w:val="564101F4"/>
    <w:rsid w:val="56485B07"/>
    <w:rsid w:val="572F1107"/>
    <w:rsid w:val="57351C2A"/>
    <w:rsid w:val="573804ED"/>
    <w:rsid w:val="57562B24"/>
    <w:rsid w:val="575E648A"/>
    <w:rsid w:val="57F80AD4"/>
    <w:rsid w:val="580C06C3"/>
    <w:rsid w:val="581B40F7"/>
    <w:rsid w:val="58212024"/>
    <w:rsid w:val="58565344"/>
    <w:rsid w:val="58695F8B"/>
    <w:rsid w:val="589543F5"/>
    <w:rsid w:val="589B2E3D"/>
    <w:rsid w:val="58FF419C"/>
    <w:rsid w:val="59E473B7"/>
    <w:rsid w:val="5A4C1882"/>
    <w:rsid w:val="5A9B3313"/>
    <w:rsid w:val="5AC75529"/>
    <w:rsid w:val="5AF22F7E"/>
    <w:rsid w:val="5AFB32E9"/>
    <w:rsid w:val="5B163AB7"/>
    <w:rsid w:val="5BA07BB6"/>
    <w:rsid w:val="5BBE35F6"/>
    <w:rsid w:val="5BC3182F"/>
    <w:rsid w:val="5BF46E77"/>
    <w:rsid w:val="5C0B1CE7"/>
    <w:rsid w:val="5C3D28FB"/>
    <w:rsid w:val="5C3E5A4E"/>
    <w:rsid w:val="5C5A7D01"/>
    <w:rsid w:val="5C6504C2"/>
    <w:rsid w:val="5CA4442A"/>
    <w:rsid w:val="5CC81B5D"/>
    <w:rsid w:val="5CFA0810"/>
    <w:rsid w:val="5D04395F"/>
    <w:rsid w:val="5D273630"/>
    <w:rsid w:val="5D603CFB"/>
    <w:rsid w:val="5DCE7713"/>
    <w:rsid w:val="5DF16C05"/>
    <w:rsid w:val="5EB3743D"/>
    <w:rsid w:val="5EF2010E"/>
    <w:rsid w:val="5EFB6C0F"/>
    <w:rsid w:val="5F2B66BC"/>
    <w:rsid w:val="5F7C69AE"/>
    <w:rsid w:val="5FE5038D"/>
    <w:rsid w:val="5FFA05F2"/>
    <w:rsid w:val="60746409"/>
    <w:rsid w:val="6083129C"/>
    <w:rsid w:val="610604C2"/>
    <w:rsid w:val="613578D2"/>
    <w:rsid w:val="616F4630"/>
    <w:rsid w:val="61755069"/>
    <w:rsid w:val="618D0E1A"/>
    <w:rsid w:val="619726CA"/>
    <w:rsid w:val="619C1CA6"/>
    <w:rsid w:val="62087795"/>
    <w:rsid w:val="62127CF0"/>
    <w:rsid w:val="62990BC5"/>
    <w:rsid w:val="629D1B22"/>
    <w:rsid w:val="62B76201"/>
    <w:rsid w:val="630E6F66"/>
    <w:rsid w:val="63377DE5"/>
    <w:rsid w:val="63637DD7"/>
    <w:rsid w:val="636A4CC5"/>
    <w:rsid w:val="639C65AB"/>
    <w:rsid w:val="63A50FB0"/>
    <w:rsid w:val="63B36BB8"/>
    <w:rsid w:val="63CE30A4"/>
    <w:rsid w:val="6407165B"/>
    <w:rsid w:val="640B7184"/>
    <w:rsid w:val="6422350D"/>
    <w:rsid w:val="64655912"/>
    <w:rsid w:val="646B39F5"/>
    <w:rsid w:val="64925F66"/>
    <w:rsid w:val="64A34846"/>
    <w:rsid w:val="64CF131C"/>
    <w:rsid w:val="64EB3E8B"/>
    <w:rsid w:val="651971E4"/>
    <w:rsid w:val="65395C11"/>
    <w:rsid w:val="65502555"/>
    <w:rsid w:val="656C3ACF"/>
    <w:rsid w:val="65771F5A"/>
    <w:rsid w:val="657F4878"/>
    <w:rsid w:val="659623AE"/>
    <w:rsid w:val="65D76095"/>
    <w:rsid w:val="66357CC3"/>
    <w:rsid w:val="66567ECF"/>
    <w:rsid w:val="66F918C9"/>
    <w:rsid w:val="67510120"/>
    <w:rsid w:val="675D5DDD"/>
    <w:rsid w:val="676F2D16"/>
    <w:rsid w:val="678154B0"/>
    <w:rsid w:val="679270B1"/>
    <w:rsid w:val="67C938D3"/>
    <w:rsid w:val="67FB2AC4"/>
    <w:rsid w:val="681A3FD0"/>
    <w:rsid w:val="68560087"/>
    <w:rsid w:val="68706A96"/>
    <w:rsid w:val="68A736CF"/>
    <w:rsid w:val="68BA3798"/>
    <w:rsid w:val="690D0368"/>
    <w:rsid w:val="692F6410"/>
    <w:rsid w:val="696206A1"/>
    <w:rsid w:val="699F11FC"/>
    <w:rsid w:val="69AE7355"/>
    <w:rsid w:val="69B073A7"/>
    <w:rsid w:val="69FF7CBD"/>
    <w:rsid w:val="6A1F2DBC"/>
    <w:rsid w:val="6A1F7487"/>
    <w:rsid w:val="6A47529D"/>
    <w:rsid w:val="6A5A6DA2"/>
    <w:rsid w:val="6AB102D8"/>
    <w:rsid w:val="6AB67BD1"/>
    <w:rsid w:val="6AF61310"/>
    <w:rsid w:val="6B185E57"/>
    <w:rsid w:val="6B1F0F58"/>
    <w:rsid w:val="6B225547"/>
    <w:rsid w:val="6B413A50"/>
    <w:rsid w:val="6B4E468F"/>
    <w:rsid w:val="6B7364E7"/>
    <w:rsid w:val="6B9F4B52"/>
    <w:rsid w:val="6BBE1FFB"/>
    <w:rsid w:val="6BC270A7"/>
    <w:rsid w:val="6BD94BEF"/>
    <w:rsid w:val="6BEE750B"/>
    <w:rsid w:val="6C0040EC"/>
    <w:rsid w:val="6C106630"/>
    <w:rsid w:val="6C44161C"/>
    <w:rsid w:val="6C555DCE"/>
    <w:rsid w:val="6C640C01"/>
    <w:rsid w:val="6C6727E7"/>
    <w:rsid w:val="6CC25408"/>
    <w:rsid w:val="6CD771B7"/>
    <w:rsid w:val="6DA52666"/>
    <w:rsid w:val="6DB0368A"/>
    <w:rsid w:val="6E0E48E8"/>
    <w:rsid w:val="6E5957F8"/>
    <w:rsid w:val="6E5B6713"/>
    <w:rsid w:val="6E745C87"/>
    <w:rsid w:val="6E91041D"/>
    <w:rsid w:val="6EA37E0E"/>
    <w:rsid w:val="6F082A05"/>
    <w:rsid w:val="6F24244B"/>
    <w:rsid w:val="6F5632F9"/>
    <w:rsid w:val="6F6D34BB"/>
    <w:rsid w:val="6FAD572A"/>
    <w:rsid w:val="6FB45A58"/>
    <w:rsid w:val="6FDC2C2E"/>
    <w:rsid w:val="6FF91E82"/>
    <w:rsid w:val="705333AE"/>
    <w:rsid w:val="70707FBB"/>
    <w:rsid w:val="70AD37B3"/>
    <w:rsid w:val="70C06C6D"/>
    <w:rsid w:val="70DA6CC6"/>
    <w:rsid w:val="7114337A"/>
    <w:rsid w:val="712E0A5D"/>
    <w:rsid w:val="7174769D"/>
    <w:rsid w:val="7233340C"/>
    <w:rsid w:val="732B5D85"/>
    <w:rsid w:val="732F6BCB"/>
    <w:rsid w:val="73426175"/>
    <w:rsid w:val="73551588"/>
    <w:rsid w:val="73683760"/>
    <w:rsid w:val="73882121"/>
    <w:rsid w:val="73D81B5D"/>
    <w:rsid w:val="73E31C2F"/>
    <w:rsid w:val="741719F8"/>
    <w:rsid w:val="74832F2C"/>
    <w:rsid w:val="7557332E"/>
    <w:rsid w:val="7594440B"/>
    <w:rsid w:val="7597473F"/>
    <w:rsid w:val="76A1003E"/>
    <w:rsid w:val="76A65BE9"/>
    <w:rsid w:val="76E250EE"/>
    <w:rsid w:val="76EE7804"/>
    <w:rsid w:val="76F76032"/>
    <w:rsid w:val="773D2732"/>
    <w:rsid w:val="775C7F94"/>
    <w:rsid w:val="77B32B86"/>
    <w:rsid w:val="77BE293A"/>
    <w:rsid w:val="77DD305B"/>
    <w:rsid w:val="78397A44"/>
    <w:rsid w:val="78601282"/>
    <w:rsid w:val="789C2226"/>
    <w:rsid w:val="78EA0FC2"/>
    <w:rsid w:val="78F92F7D"/>
    <w:rsid w:val="7916292F"/>
    <w:rsid w:val="791647E8"/>
    <w:rsid w:val="795B2256"/>
    <w:rsid w:val="79F628A4"/>
    <w:rsid w:val="7A1A522E"/>
    <w:rsid w:val="7A650A81"/>
    <w:rsid w:val="7A686D7F"/>
    <w:rsid w:val="7A7D7D68"/>
    <w:rsid w:val="7AA81F8D"/>
    <w:rsid w:val="7B53443D"/>
    <w:rsid w:val="7B5B16CF"/>
    <w:rsid w:val="7BB17143"/>
    <w:rsid w:val="7C1203A8"/>
    <w:rsid w:val="7C3F2CC5"/>
    <w:rsid w:val="7C531E48"/>
    <w:rsid w:val="7C9114C5"/>
    <w:rsid w:val="7C9D280E"/>
    <w:rsid w:val="7CFD7685"/>
    <w:rsid w:val="7D0C3BC9"/>
    <w:rsid w:val="7D196BB9"/>
    <w:rsid w:val="7D6A6C42"/>
    <w:rsid w:val="7D7C004F"/>
    <w:rsid w:val="7D8F0802"/>
    <w:rsid w:val="7D9267F6"/>
    <w:rsid w:val="7E1629E2"/>
    <w:rsid w:val="7E283795"/>
    <w:rsid w:val="7E456548"/>
    <w:rsid w:val="7E597058"/>
    <w:rsid w:val="7E867872"/>
    <w:rsid w:val="7EA14EF3"/>
    <w:rsid w:val="7ECD4F81"/>
    <w:rsid w:val="7EF1633B"/>
    <w:rsid w:val="7F3313DA"/>
    <w:rsid w:val="7F60327F"/>
    <w:rsid w:val="7F9B51B5"/>
    <w:rsid w:val="7FAB1D9B"/>
    <w:rsid w:val="7FBA11AD"/>
    <w:rsid w:val="7FC5019C"/>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next w:val="4"/>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4">
    <w:name w:val="表格文字"/>
    <w:basedOn w:val="1"/>
    <w:qFormat/>
    <w:uiPriority w:val="0"/>
    <w:pPr>
      <w:spacing w:line="360" w:lineRule="exact"/>
      <w:jc w:val="center"/>
    </w:pPr>
    <w:rPr>
      <w:szCs w:val="20"/>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2"/>
    <w:qFormat/>
    <w:uiPriority w:val="0"/>
    <w:pPr>
      <w:spacing w:line="400" w:lineRule="atLeast"/>
      <w:ind w:firstLine="426"/>
    </w:pPr>
    <w:rPr>
      <w:rFonts w:ascii="Times New Roman" w:hAnsi="Times New Roman"/>
      <w:sz w:val="24"/>
      <w:szCs w:val="20"/>
    </w:rPr>
  </w:style>
  <w:style w:type="paragraph" w:styleId="18">
    <w:name w:val="Body Text First Indent 2"/>
    <w:basedOn w:val="9"/>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6"/>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7"/>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 w:type="character" w:customStyle="1" w:styleId="54">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11326</Words>
  <Characters>11925</Characters>
  <Lines>0</Lines>
  <Paragraphs>0</Paragraphs>
  <TotalTime>11</TotalTime>
  <ScaleCrop>false</ScaleCrop>
  <LinksUpToDate>false</LinksUpToDate>
  <CharactersWithSpaces>12915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@dandelion</cp:lastModifiedBy>
  <cp:lastPrinted>2022-05-26T06:53:00Z</cp:lastPrinted>
  <dcterms:modified xsi:type="dcterms:W3CDTF">2022-07-29T09:08:32Z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F5AE6A974859445E91EC8616D4A89F0B</vt:lpwstr>
  </property>
  <property fmtid="{D5CDD505-2E9C-101B-9397-08002B2CF9AE}" pid="4" name="commondata">
    <vt:lpwstr>eyJoZGlkIjoiOTNiYmRmNDdhZjY0ZjMyZjEyODNmNDgzNjAxNjAyYzYifQ==</vt:lpwstr>
  </property>
</Properties>
</file>