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highlight w:val="none"/>
          <w:lang w:val="en-US" w:eastAsia="zh-CN"/>
        </w:rPr>
      </w:pPr>
    </w:p>
    <w:p>
      <w:pPr>
        <w:pStyle w:val="2"/>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7"/>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7"/>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大化坪镇舞旗河村高乌路二期工程劳务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DBSZS-2022-</w:t>
      </w:r>
      <w:r>
        <w:rPr>
          <w:rFonts w:hint="eastAsia" w:ascii="宋体" w:hAnsi="等线" w:cs="Times New Roman"/>
          <w:b/>
          <w:bCs/>
          <w:color w:val="auto"/>
          <w:spacing w:val="0"/>
          <w:kern w:val="0"/>
          <w:sz w:val="32"/>
          <w:szCs w:val="32"/>
          <w:highlight w:val="none"/>
          <w:lang w:val="en-US" w:eastAsia="zh-CN"/>
        </w:rPr>
        <w:t>055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九月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7"/>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3</w:t>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4" w:name="_Toc4288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color w:val="auto"/>
          <w:kern w:val="0"/>
          <w:sz w:val="32"/>
          <w:szCs w:val="32"/>
          <w:highlight w:val="none"/>
          <w:lang w:val="en-US" w:eastAsia="zh-CN" w:bidi="ar-SA"/>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5" w:name="_Toc14824_WPSOffice_Level1"/>
      <w:r>
        <w:rPr>
          <w:rFonts w:hint="eastAsia" w:ascii="宋体" w:hAnsi="宋体" w:cs="宋体"/>
          <w:b/>
          <w:color w:val="auto"/>
          <w:kern w:val="0"/>
          <w:sz w:val="32"/>
          <w:szCs w:val="32"/>
          <w:highlight w:val="none"/>
          <w:lang w:val="en-US" w:eastAsia="zh-CN" w:bidi="ar-SA"/>
        </w:rPr>
        <w:t>大化坪镇舞旗河村高乌路二期工程劳务</w:t>
      </w:r>
      <w:r>
        <w:rPr>
          <w:rFonts w:hint="eastAsia" w:ascii="宋体" w:hAnsi="宋体" w:eastAsia="宋体" w:cs="宋体"/>
          <w:b/>
          <w:color w:val="auto"/>
          <w:kern w:val="0"/>
          <w:sz w:val="32"/>
          <w:szCs w:val="32"/>
          <w:highlight w:val="none"/>
          <w:lang w:val="en-US" w:eastAsia="zh-CN" w:bidi="ar-SA"/>
        </w:rPr>
        <w:t>询价公告</w:t>
      </w:r>
      <w:bookmarkEnd w:id="5"/>
    </w:p>
    <w:p>
      <w:pPr>
        <w:pStyle w:val="2"/>
        <w:keepNext w:val="0"/>
        <w:keepLines w:val="0"/>
        <w:pageBreakBefore w:val="0"/>
        <w:widowControl w:val="0"/>
        <w:kinsoku/>
        <w:wordWrap/>
        <w:overflowPunct/>
        <w:topLinePunct w:val="0"/>
        <w:autoSpaceDE/>
        <w:autoSpaceDN/>
        <w:bidi w:val="0"/>
        <w:adjustRightInd/>
        <w:snapToGrid/>
        <w:spacing w:line="200" w:lineRule="exact"/>
        <w:ind w:firstLine="425"/>
        <w:textAlignment w:val="auto"/>
        <w:rPr>
          <w:rFonts w:hint="eastAsia"/>
          <w:lang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大化坪镇舞旗河村高乌路二期工程劳务</w:t>
      </w:r>
      <w:r>
        <w:rPr>
          <w:rFonts w:hint="eastAsia" w:ascii="宋体" w:hAnsi="宋体" w:cs="宋体"/>
          <w:i w:val="0"/>
          <w:caps w:val="0"/>
          <w:color w:val="auto"/>
          <w:spacing w:val="0"/>
          <w:sz w:val="21"/>
          <w:szCs w:val="21"/>
          <w:highlight w:val="none"/>
          <w:shd w:val="clear" w:color="auto" w:fill="FFFFFF"/>
          <w:lang w:val="en-US" w:eastAsia="zh-CN"/>
        </w:rPr>
        <w:t>项目，根据《国有企业采购操作规范》和《安徽大别山国投集团招标采购制度》相关规定，经集团审批后本项目采用询价方式采购，欢迎符合条件的安徽筑圣建设工程有限公司供应商库内劳务类供应商参加。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大化坪镇舞旗河村高乌路二期工程劳务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DBSZS-2022-055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工程劳务类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：295397.49元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7、项目最高限价：贰拾玖万伍仟叁佰玖拾柒元肆角玖分（小写：¥295397.49元）（不含税）。</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服务期</w:t>
      </w:r>
      <w:r>
        <w:rPr>
          <w:rFonts w:hint="eastAsia" w:ascii="宋体" w:hAnsi="宋体"/>
          <w:color w:val="000000"/>
          <w:sz w:val="21"/>
          <w:szCs w:val="21"/>
          <w:highlight w:val="none"/>
        </w:rPr>
        <w:t>：</w:t>
      </w:r>
      <w:r>
        <w:rPr>
          <w:rFonts w:hint="eastAsia" w:ascii="宋体" w:hAnsi="宋体"/>
          <w:color w:val="000000"/>
          <w:sz w:val="21"/>
          <w:szCs w:val="21"/>
          <w:highlight w:val="none"/>
          <w:lang w:val="en-US" w:eastAsia="zh-CN"/>
        </w:rPr>
        <w:t>70日历天</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both"/>
        <w:textAlignment w:val="auto"/>
        <w:outlineLvl w:val="9"/>
        <w:rPr>
          <w:rFonts w:hint="default" w:ascii="宋体" w:hAnsi="宋体"/>
          <w:color w:val="0000FF"/>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olor w:val="auto"/>
          <w:sz w:val="21"/>
          <w:szCs w:val="21"/>
          <w:highlight w:val="none"/>
          <w:lang w:val="en-US" w:eastAsia="zh-CN"/>
        </w:rPr>
        <w:t>大化坪镇舞旗河村高乌路二期工程劳务，具体详见工程量清单。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none"/>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2、供应商应具有独立法人资格，</w:t>
      </w:r>
      <w:r>
        <w:rPr>
          <w:rFonts w:hint="eastAsia" w:ascii="宋体" w:hAnsi="宋体" w:cs="宋体"/>
          <w:b w:val="0"/>
          <w:bCs/>
          <w:i w:val="0"/>
          <w:caps w:val="0"/>
          <w:color w:val="auto"/>
          <w:spacing w:val="0"/>
          <w:sz w:val="21"/>
          <w:szCs w:val="21"/>
          <w:highlight w:val="none"/>
          <w:shd w:val="clear" w:color="auto" w:fill="FFFFFF"/>
          <w:lang w:val="en-US" w:eastAsia="zh-CN"/>
        </w:rPr>
        <w:t>应具有有效的安全生产许可证、营业执照及劳务资质证书</w:t>
      </w:r>
      <w:r>
        <w:rPr>
          <w:rFonts w:hint="eastAsia" w:ascii="宋体" w:hAnsi="宋体" w:cs="宋体"/>
          <w:b w:val="0"/>
          <w:bCs/>
          <w:i w:val="0"/>
          <w:caps w:val="0"/>
          <w:color w:val="auto"/>
          <w:spacing w:val="0"/>
          <w:sz w:val="21"/>
          <w:szCs w:val="21"/>
          <w:highlight w:val="non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4、须是安徽筑圣建设工程有限公司供应商库内劳务类供应商，且库内信用考核评价C类合作供应商在其投标暂停期内不得参加、D类合作供应商不得参加；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5、供应商存在以下不良信用记录情形之一的，不得推荐为成交候选供应商，不得确定为成交供应商（仅以下述渠道查询结果为准，其他网站无效）：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本项目勿需报名，投标供应商于2022年</w:t>
      </w:r>
      <w:r>
        <w:rPr>
          <w:rFonts w:hint="eastAsia" w:ascii="宋体" w:hAnsi="宋体" w:cs="宋体"/>
          <w:i w:val="0"/>
          <w:caps w:val="0"/>
          <w:color w:val="auto"/>
          <w:spacing w:val="0"/>
          <w:sz w:val="21"/>
          <w:szCs w:val="21"/>
          <w:highlight w:val="none"/>
          <w:shd w:val="clear" w:color="auto" w:fill="FFFFFF"/>
          <w:lang w:val="en-US" w:eastAsia="zh-CN"/>
        </w:rPr>
        <w:t>9</w:t>
      </w:r>
      <w:r>
        <w:rPr>
          <w:rFonts w:hint="eastAsia" w:ascii="宋体" w:hAnsi="宋体" w:eastAsia="宋体" w:cs="宋体"/>
          <w:i w:val="0"/>
          <w:caps w:val="0"/>
          <w:color w:val="auto"/>
          <w:spacing w:val="0"/>
          <w:sz w:val="21"/>
          <w:szCs w:val="21"/>
          <w:highlight w:val="none"/>
          <w:shd w:val="clear" w:color="auto" w:fill="FFFFFF"/>
        </w:rPr>
        <w:t>月</w:t>
      </w:r>
      <w:r>
        <w:rPr>
          <w:rFonts w:hint="eastAsia" w:ascii="宋体" w:hAnsi="宋体" w:cs="宋体"/>
          <w:i w:val="0"/>
          <w:caps w:val="0"/>
          <w:color w:val="auto"/>
          <w:spacing w:val="0"/>
          <w:sz w:val="21"/>
          <w:szCs w:val="21"/>
          <w:highlight w:val="none"/>
          <w:shd w:val="clear" w:color="auto" w:fill="FFFFFF"/>
          <w:lang w:val="en-US" w:eastAsia="zh-CN"/>
        </w:rPr>
        <w:t>30</w:t>
      </w:r>
      <w:r>
        <w:rPr>
          <w:rFonts w:hint="eastAsia" w:ascii="宋体" w:hAnsi="宋体" w:eastAsia="宋体" w:cs="宋体"/>
          <w:i w:val="0"/>
          <w:caps w:val="0"/>
          <w:color w:val="auto"/>
          <w:spacing w:val="0"/>
          <w:sz w:val="21"/>
          <w:szCs w:val="21"/>
          <w:highlight w:val="none"/>
          <w:shd w:val="clear" w:color="auto" w:fill="FFFFFF"/>
        </w:rPr>
        <w:t>日起（北京时间，下同）起自行登录安徽大别山国有资产投资（控股）集团有限公司（http://ahdmig.cn/）“招标采购”栏目中下载招标文件等相关资料。请投标供应商关注安徽大别山国有资产投资（控股）集团有限公司（http://ahdmig.cn/）“招标采购” “补充公告”中关于本项目的补遗、答疑等内容。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lang w:val="en-US"/>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10月6</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30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 xml:space="preserve">。 </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textAlignment w:val="auto"/>
        <w:outlineLvl w:val="9"/>
        <w:rPr>
          <w:rFonts w:hint="eastAsia" w:ascii="宋体" w:hAnsi="宋体" w:cs="宋体"/>
          <w:i w:val="0"/>
          <w:caps w:val="0"/>
          <w:color w:val="auto"/>
          <w:spacing w:val="0"/>
          <w:sz w:val="21"/>
          <w:szCs w:val="21"/>
          <w:highlight w:val="none"/>
          <w:u w:val="singl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cs="宋体"/>
          <w:b/>
          <w:i w:val="0"/>
          <w:caps w:val="0"/>
          <w:color w:val="auto"/>
          <w:spacing w:val="0"/>
          <w:sz w:val="21"/>
          <w:szCs w:val="21"/>
          <w:highlight w:val="none"/>
          <w:shd w:val="clear" w:color="auto" w:fill="FFFFFF"/>
          <w:lang w:val="en-US" w:eastAsia="zh-CN"/>
        </w:rPr>
      </w:pPr>
      <w:r>
        <w:rPr>
          <w:rFonts w:hint="eastAsia" w:ascii="宋体" w:hAnsi="宋体" w:eastAsia="宋体" w:cs="宋体"/>
          <w:b/>
          <w:i w:val="0"/>
          <w:caps w:val="0"/>
          <w:color w:val="auto"/>
          <w:spacing w:val="0"/>
          <w:sz w:val="21"/>
          <w:szCs w:val="21"/>
          <w:highlight w:val="none"/>
          <w:shd w:val="clear" w:color="auto" w:fill="FFFFFF"/>
        </w:rPr>
        <w:t>六、</w:t>
      </w:r>
      <w:r>
        <w:rPr>
          <w:rFonts w:hint="eastAsia" w:ascii="宋体" w:hAnsi="宋体" w:cs="宋体"/>
          <w:b/>
          <w:i w:val="0"/>
          <w:caps w:val="0"/>
          <w:color w:val="auto"/>
          <w:spacing w:val="0"/>
          <w:sz w:val="21"/>
          <w:szCs w:val="21"/>
          <w:highlight w:val="none"/>
          <w:shd w:val="clear" w:color="auto" w:fill="FFFFFF"/>
          <w:lang w:val="en-US" w:eastAsia="zh-CN"/>
        </w:rPr>
        <w:t>疫情防控要求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1、</w:t>
      </w:r>
      <w:r>
        <w:rPr>
          <w:rFonts w:hint="eastAsia" w:ascii="宋体" w:hAnsi="宋体" w:eastAsia="宋体" w:cs="宋体"/>
          <w:i w:val="0"/>
          <w:caps w:val="0"/>
          <w:color w:val="auto"/>
          <w:spacing w:val="0"/>
          <w:sz w:val="21"/>
          <w:szCs w:val="21"/>
          <w:highlight w:val="none"/>
          <w:shd w:val="clear" w:color="auto" w:fill="FFFFFF"/>
        </w:rPr>
        <w:t>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联系人：夏先生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联系方式：17756252785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20033，15105648622</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420" w:firstLineChars="2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cs="宋体"/>
          <w:i w:val="0"/>
          <w:caps w:val="0"/>
          <w:color w:val="auto"/>
          <w:spacing w:val="0"/>
          <w:sz w:val="21"/>
          <w:szCs w:val="21"/>
          <w:highlight w:val="none"/>
          <w:shd w:val="clear" w:color="auto" w:fill="FFFFFF"/>
          <w:lang w:val="en-US" w:eastAsia="zh-CN"/>
        </w:rPr>
        <w:t>3、监督部门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kern w:val="2"/>
          <w:sz w:val="21"/>
          <w:szCs w:val="22"/>
          <w:highlight w:val="none"/>
          <w:lang w:val="en-US" w:eastAsia="zh-CN" w:bidi="ar-SA"/>
        </w:rPr>
        <w:t>安徽大别山国投集团纪检监察室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9月30日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6" w:name="_Toc25245_WPSOffice_Level1"/>
      <w:r>
        <w:rPr>
          <w:rFonts w:hint="eastAsia" w:ascii="宋体" w:hAnsi="宋体" w:eastAsia="宋体" w:cs="宋体"/>
          <w:b/>
          <w:color w:val="auto"/>
          <w:kern w:val="0"/>
          <w:sz w:val="32"/>
          <w:szCs w:val="32"/>
          <w:highlight w:val="none"/>
          <w:lang w:val="en-US" w:eastAsia="zh-CN" w:bidi="ar-SA"/>
        </w:rPr>
        <w:t>二、报价响应须知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7" w:name="_Toc28280"/>
      <w:r>
        <w:rPr>
          <w:rFonts w:hint="eastAsia" w:ascii="宋体" w:hAnsi="宋体" w:eastAsia="宋体" w:cs="宋体"/>
          <w:bCs/>
          <w:color w:val="auto"/>
          <w:sz w:val="28"/>
          <w:szCs w:val="28"/>
          <w:highlight w:val="none"/>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联系人：夏先生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联系方式：17756252785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大化坪镇舞旗河村高乌路二期工程劳务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val="0"/>
                <w:color w:val="auto"/>
                <w:kern w:val="2"/>
                <w:sz w:val="21"/>
                <w:szCs w:val="21"/>
                <w:highlight w:val="none"/>
                <w:u w:val="none"/>
                <w:lang w:val="en-US" w:eastAsia="zh-CN" w:bidi="ar-SA"/>
              </w:rPr>
              <w:t>DBSZS-2022-055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cs="宋体"/>
                <w:b w:val="0"/>
                <w:bCs w:val="0"/>
                <w:color w:val="auto"/>
                <w:kern w:val="2"/>
                <w:sz w:val="21"/>
                <w:szCs w:val="21"/>
                <w:highlight w:val="none"/>
                <w:u w:val="none"/>
                <w:lang w:val="en-US" w:eastAsia="zh-CN" w:bidi="ar-SA"/>
              </w:rPr>
            </w:pPr>
            <w:r>
              <w:rPr>
                <w:rFonts w:hint="eastAsia" w:cs="宋体"/>
                <w:i w:val="0"/>
                <w:caps w:val="0"/>
                <w:color w:val="auto"/>
                <w:spacing w:val="0"/>
                <w:sz w:val="21"/>
                <w:szCs w:val="21"/>
                <w:highlight w:val="none"/>
                <w:shd w:val="clear" w:color="auto" w:fill="FFFFFF"/>
                <w:lang w:val="en-US" w:eastAsia="zh-CN"/>
              </w:rPr>
              <w:t>贰拾玖万伍仟叁佰玖拾柒元肆角玖分（小写：¥295397.49元）（不含税）</w:t>
            </w:r>
            <w:r>
              <w:rPr>
                <w:rFonts w:hint="eastAsia" w:ascii="宋体" w:hAnsi="宋体" w:cs="宋体"/>
                <w:i w:val="0"/>
                <w:caps w:val="0"/>
                <w:color w:val="auto"/>
                <w:spacing w:val="0"/>
                <w:sz w:val="21"/>
                <w:szCs w:val="21"/>
                <w:highlight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b w:val="0"/>
                <w:bCs w:val="0"/>
                <w:color w:val="auto"/>
                <w:kern w:val="2"/>
                <w:sz w:val="21"/>
                <w:szCs w:val="21"/>
                <w:highlight w:val="none"/>
                <w:u w:val="none"/>
                <w:lang w:val="en-US" w:eastAsia="zh-CN" w:bidi="ar-SA"/>
              </w:rPr>
              <w:t>60</w:t>
            </w:r>
            <w:r>
              <w:rPr>
                <w:rFonts w:hint="eastAsia" w:ascii="宋体" w:hAnsi="宋体" w:eastAsia="宋体" w:cs="宋体"/>
                <w:b w:val="0"/>
                <w:bCs w:val="0"/>
                <w:color w:val="auto"/>
                <w:kern w:val="2"/>
                <w:sz w:val="21"/>
                <w:szCs w:val="21"/>
                <w:highlight w:val="none"/>
                <w:u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工程竣工验收合格，经工程价款结算审计后，以审计结果作为最终工程价款结算依据。付结算审计价款的97%，余下3%作为质量保证金，结算审计一年后，无质量问题付清尾款；中标单位提供增值税专用发票（清单报价不含税，但最终投标报价须明确增值税税率），税费另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服务期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70日历天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rPr>
            </w:pPr>
            <w:r>
              <w:rPr>
                <w:rFonts w:hint="eastAsia"/>
              </w:rPr>
              <w:t>询价方式：</w:t>
            </w:r>
            <w:r>
              <w:rPr>
                <w:rFonts w:hint="eastAsia"/>
                <w:lang w:eastAsia="zh-CN"/>
              </w:rPr>
              <w:t>现场</w:t>
            </w:r>
            <w:r>
              <w:rPr>
                <w:rFonts w:hint="eastAsia"/>
              </w:rPr>
              <w:t>询价</w:t>
            </w:r>
          </w:p>
          <w:p>
            <w:pPr>
              <w:adjustRightInd w:val="0"/>
              <w:snapToGrid w:val="0"/>
              <w:spacing w:line="320" w:lineRule="exact"/>
              <w:rPr>
                <w:rFonts w:hint="eastAsia"/>
              </w:rPr>
            </w:pPr>
            <w:r>
              <w:rPr>
                <w:rFonts w:hint="eastAsia"/>
              </w:rPr>
              <w:t>响应文件</w:t>
            </w:r>
            <w:r>
              <w:rPr>
                <w:rFonts w:hint="eastAsia"/>
                <w:lang w:eastAsia="zh-CN"/>
              </w:rPr>
              <w:t>递交</w:t>
            </w:r>
            <w:r>
              <w:rPr>
                <w:rFonts w:hint="eastAsia"/>
              </w:rPr>
              <w:t>截止时间及</w:t>
            </w:r>
            <w:r>
              <w:rPr>
                <w:rFonts w:hint="eastAsia"/>
                <w:lang w:val="en-US" w:eastAsia="zh-CN"/>
              </w:rPr>
              <w:t>询价</w:t>
            </w:r>
            <w:r>
              <w:rPr>
                <w:rFonts w:hint="eastAsia"/>
              </w:rPr>
              <w:t>时间：北京时间</w:t>
            </w:r>
            <w:r>
              <w:rPr>
                <w:rFonts w:hint="eastAsia"/>
                <w:lang w:eastAsia="zh-CN"/>
              </w:rPr>
              <w:t>2022年</w:t>
            </w:r>
            <w:r>
              <w:rPr>
                <w:rFonts w:hint="eastAsia"/>
                <w:lang w:val="en-US" w:eastAsia="zh-CN"/>
              </w:rPr>
              <w:t>10月6</w:t>
            </w:r>
            <w:r>
              <w:rPr>
                <w:rFonts w:hint="eastAsia"/>
                <w:lang w:eastAsia="zh-CN"/>
              </w:rPr>
              <w:t>日</w:t>
            </w:r>
            <w:r>
              <w:rPr>
                <w:rFonts w:hint="eastAsia"/>
                <w:lang w:val="en-US" w:eastAsia="zh-CN"/>
              </w:rPr>
              <w:t>9</w:t>
            </w:r>
            <w:r>
              <w:rPr>
                <w:rFonts w:hint="eastAsia"/>
                <w:lang w:eastAsia="zh-CN"/>
              </w:rPr>
              <w:t>时</w:t>
            </w:r>
            <w:r>
              <w:rPr>
                <w:rFonts w:hint="eastAsia"/>
                <w:lang w:val="en-US" w:eastAsia="zh-CN"/>
              </w:rPr>
              <w:t>30</w:t>
            </w:r>
            <w:r>
              <w:rPr>
                <w:rFonts w:hint="eastAsia"/>
                <w:lang w:eastAsia="zh-CN"/>
              </w:rPr>
              <w:t>分</w:t>
            </w:r>
            <w:r>
              <w:rPr>
                <w:rFonts w:hint="eastAsia"/>
              </w:rPr>
              <w:t>前</w:t>
            </w:r>
            <w:r>
              <w:rPr>
                <w:rFonts w:hint="eastAsia"/>
                <w:lang w:eastAsia="zh-CN"/>
              </w:rPr>
              <w:t>，</w:t>
            </w:r>
            <w:r>
              <w:rPr>
                <w:rFonts w:hint="eastAsia"/>
              </w:rPr>
              <w:t>逾期</w:t>
            </w:r>
            <w:r>
              <w:rPr>
                <w:rFonts w:hint="eastAsia"/>
                <w:lang w:eastAsia="zh-CN"/>
              </w:rPr>
              <w:t>递交</w:t>
            </w:r>
            <w:r>
              <w:rPr>
                <w:rFonts w:hint="eastAsia"/>
              </w:rPr>
              <w:t>，概不接受。同时在</w:t>
            </w:r>
            <w:r>
              <w:rPr>
                <w:rFonts w:hint="eastAsia"/>
                <w:lang w:eastAsia="zh-CN"/>
              </w:rPr>
              <w:t>响应文件递交截止时间</w:t>
            </w:r>
            <w:r>
              <w:rPr>
                <w:rFonts w:hint="eastAsia"/>
              </w:rPr>
              <w:t>前,供应商到</w:t>
            </w:r>
            <w:r>
              <w:rPr>
                <w:rFonts w:hint="eastAsia"/>
                <w:lang w:eastAsia="zh-CN"/>
              </w:rPr>
              <w:t>安徽大别山工程咨询有限公司</w:t>
            </w:r>
            <w:r>
              <w:rPr>
                <w:rFonts w:hint="eastAsia"/>
              </w:rPr>
              <w:t>开标厅参加投标。</w:t>
            </w:r>
          </w:p>
          <w:p>
            <w:pPr>
              <w:pStyle w:val="2"/>
              <w:ind w:left="0" w:leftChars="0" w:firstLine="0" w:firstLineChars="0"/>
              <w:rPr>
                <w:rFonts w:hint="eastAsia" w:eastAsia="宋体"/>
                <w:lang w:val="en-US" w:eastAsia="zh-CN"/>
              </w:rPr>
            </w:pPr>
            <w:r>
              <w:rPr>
                <w:rFonts w:hint="eastAsia" w:ascii="宋体" w:hAnsi="宋体" w:cs="宋体"/>
                <w:b/>
                <w:color w:val="auto"/>
                <w:sz w:val="21"/>
                <w:szCs w:val="21"/>
                <w:highlight w:val="none"/>
                <w:lang w:val="en-US" w:eastAsia="zh-CN"/>
              </w:rPr>
              <w:t>备注：供应商应派法定代表人或委托代理人参加。若法人代表本人参加开标会则需查验身份证原件、业绩证明材料原件（若有）、询比公告疫情防控要求相关原件；若代理人参加开标会则需查验法人授权委托书、代理人居民身份证原件、业绩证明材料原件（若有）、询比公告疫情防控要求相关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1453363455@qq.com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1453363455@qq.com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质疑函应当包括下列主要内容：</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1.质疑人的名称、地址、联系电话(固定电话及手机)；</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2.项目名称、项目编号及标段号或分包号；</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3.具体的质疑事项、原因、基本事实及相关证明材料；</w:t>
            </w:r>
          </w:p>
          <w:p>
            <w:pPr>
              <w:adjustRightInd w:val="0"/>
              <w:snapToGrid w:val="0"/>
              <w:spacing w:line="32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4.本次质疑的法人授权书（后附法人、被授权人身份证扫描件）；</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三</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本工程水泥、钢材、砂石、钢筋混凝土涵管由公司统一采购，本次劳务发包包含土石方、砼工、瓦工、木工、钢筋工、机械、搅拌站场地及水电、成品砼运输及其他相关一切辅材。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四</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评标办法为合理低价法，投标报价低于投标人报价平均值98%的，作为异常低价，作无效标处理。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注</w:t>
            </w:r>
            <w:r>
              <w:rPr>
                <w:rFonts w:hint="eastAsia"/>
                <w:lang w:eastAsia="zh-CN"/>
              </w:rPr>
              <w:t>：</w:t>
            </w:r>
            <w:r>
              <w:rPr>
                <w:rFonts w:hint="eastAsia"/>
              </w:rPr>
              <w:t>1</w:t>
            </w:r>
            <w:r>
              <w:rPr>
                <w:rFonts w:hint="eastAsia"/>
                <w:lang w:eastAsia="zh-CN"/>
              </w:rPr>
              <w:t>、</w:t>
            </w:r>
            <w:r>
              <w:rPr>
                <w:rFonts w:hint="eastAsia"/>
                <w:b/>
                <w:bCs/>
                <w:lang w:val="en-US" w:eastAsia="zh-CN"/>
              </w:rPr>
              <w:t>采购代理服务费：代理服务费用由采购人承担，标准按照双方合同约定，按季度统一支付</w:t>
            </w:r>
            <w:r>
              <w:rPr>
                <w:rFonts w:hint="eastAsia"/>
                <w:lang w:val="en-US" w:eastAsia="zh-CN"/>
              </w:rPr>
              <w:t>。</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3、</w:t>
            </w:r>
            <w:r>
              <w:rPr>
                <w:rFonts w:hint="eastAsia" w:ascii="Times New Roman" w:hAnsi="Times New Roman" w:eastAsia="宋体" w:cs="Times New Roman"/>
                <w:kern w:val="2"/>
                <w:sz w:val="21"/>
                <w:szCs w:val="20"/>
                <w:lang w:val="en-US" w:eastAsia="zh-CN" w:bidi="ar-SA"/>
              </w:rPr>
              <w:t>参考安徽筑圣建设工程有限公司供应商管理办法，对年度综合评价结果为AA、A类的供应商可按制度进行表彰（如发放荣誉证书、奖金等）及给予一定优惠政策。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（一）AA类供应商可以享受以下政策：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1.免于缴纳投标保证金和履约保证金；</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2.同等条件下享受优先中标；</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3.对投标价格给予2%的扣除，用扣除后的价格参与评审，扣除后的价格只针对评标，与合同金额无关。</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（二）A类供应商可以享受以下政策：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1.履约保证金予以减半；</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2.相比B、C类供应商，同等条件下享受优先中标；</w:t>
            </w:r>
          </w:p>
          <w:p>
            <w:pPr>
              <w:pStyle w:val="18"/>
              <w:numPr>
                <w:ilvl w:val="0"/>
                <w:numId w:val="0"/>
              </w:numPr>
              <w:rPr>
                <w:rFonts w:hint="eastAsia"/>
              </w:rPr>
            </w:pPr>
            <w:r>
              <w:rPr>
                <w:rFonts w:hint="eastAsia" w:ascii="Times New Roman" w:hAnsi="Times New Roman" w:eastAsia="宋体" w:cs="Times New Roman"/>
                <w:kern w:val="2"/>
                <w:sz w:val="21"/>
                <w:szCs w:val="20"/>
                <w:lang w:val="en-US" w:eastAsia="zh-CN" w:bidi="ar-SA"/>
              </w:rPr>
              <w:t>3.对投标价格给予1%的扣除，用扣除后的价格参与评审，扣除后的价格只针对评标，与合同金额无关。。</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highlight w:val="none"/>
        </w:rPr>
        <w:t>（二）供应商资格</w:t>
      </w:r>
      <w:bookmarkEnd w:id="8"/>
    </w:p>
    <w:bookmarkEnd w:id="9"/>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2" w:name="_Toc12806"/>
      <w:bookmarkStart w:id="13" w:name="_Toc216158625"/>
      <w:bookmarkStart w:id="14" w:name="_Toc363199266"/>
      <w:bookmarkStart w:id="15" w:name="_Toc438648662"/>
      <w:r>
        <w:rPr>
          <w:rFonts w:hint="eastAsia"/>
          <w:color w:val="auto"/>
          <w:sz w:val="24"/>
          <w:szCs w:val="24"/>
          <w:highlight w:val="none"/>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w:t>
      </w:r>
      <w:r>
        <w:rPr>
          <w:rFonts w:hint="eastAsia" w:ascii="Tahoma" w:hAnsi="Tahoma"/>
          <w:color w:val="auto"/>
          <w:sz w:val="21"/>
          <w:szCs w:val="21"/>
          <w:highlight w:val="none"/>
          <w:lang w:val="en-US" w:eastAsia="zh-CN"/>
        </w:rPr>
        <w:t>分项目报价表</w:t>
      </w:r>
      <w:r>
        <w:rPr>
          <w:rFonts w:hint="eastAsia" w:ascii="Tahoma" w:hAnsi="Tahom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供货、安装、售后服务承诺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6" w:name="_Toc3875"/>
      <w:r>
        <w:rPr>
          <w:rFonts w:hint="eastAsia" w:ascii="宋体" w:hAnsi="宋体" w:eastAsia="宋体" w:cs="宋体"/>
          <w:bCs/>
          <w:color w:val="auto"/>
          <w:sz w:val="28"/>
          <w:szCs w:val="28"/>
          <w:highlight w:val="none"/>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7" w:name="_Toc26915"/>
      <w:bookmarkStart w:id="18" w:name="_Toc216158630"/>
      <w:r>
        <w:rPr>
          <w:rFonts w:hint="eastAsia" w:ascii="宋体" w:hAnsi="宋体" w:eastAsia="宋体" w:cs="宋体"/>
          <w:bCs/>
          <w:color w:val="auto"/>
          <w:sz w:val="28"/>
          <w:szCs w:val="28"/>
          <w:highlight w:val="none"/>
        </w:rPr>
        <w:t>（五）</w:t>
      </w:r>
      <w:bookmarkStart w:id="19"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7"/>
    </w:p>
    <w:p>
      <w:pPr>
        <w:adjustRightInd w:val="0"/>
        <w:snapToGrid w:val="0"/>
        <w:spacing w:line="360" w:lineRule="exact"/>
        <w:ind w:firstLine="409" w:firstLineChars="195"/>
        <w:rPr>
          <w:rFonts w:hint="eastAsia" w:ascii="宋体" w:hAnsi="宋体" w:cs="宋体"/>
          <w:color w:val="auto"/>
          <w:highlight w:val="none"/>
        </w:rPr>
      </w:pPr>
      <w:bookmarkStart w:id="20"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w:t>
      </w:r>
      <w:r>
        <w:rPr>
          <w:rFonts w:hint="eastAsia" w:ascii="宋体" w:hAnsi="宋体" w:cs="宋体"/>
          <w:b/>
          <w:color w:val="000000" w:themeColor="text1"/>
          <w:spacing w:val="-6"/>
          <w:kern w:val="0"/>
          <w:szCs w:val="21"/>
          <w:highlight w:val="none"/>
          <w:lang w:eastAsia="zh-CN"/>
          <w14:textFill>
            <w14:solidFill>
              <w14:schemeClr w14:val="tx1"/>
            </w14:solidFill>
          </w14:textFill>
        </w:rPr>
        <w:t>现场向</w:t>
      </w:r>
      <w:r>
        <w:rPr>
          <w:rFonts w:hint="eastAsia" w:ascii="宋体" w:hAnsi="宋体" w:cs="宋体"/>
          <w:b/>
          <w:color w:val="000000" w:themeColor="text1"/>
          <w:spacing w:val="-6"/>
          <w:kern w:val="0"/>
          <w:szCs w:val="21"/>
          <w:highlight w:val="none"/>
          <w:lang w:val="en-US" w:eastAsia="zh-CN"/>
          <w14:textFill>
            <w14:solidFill>
              <w14:schemeClr w14:val="tx1"/>
            </w14:solidFill>
          </w14:textFill>
        </w:rPr>
        <w:t>集团</w:t>
      </w:r>
      <w:r>
        <w:rPr>
          <w:rFonts w:hint="eastAsia" w:ascii="宋体" w:hAnsi="宋体" w:cs="宋体"/>
          <w:b/>
          <w:color w:val="000000" w:themeColor="text1"/>
          <w:spacing w:val="-6"/>
          <w:kern w:val="0"/>
          <w:szCs w:val="21"/>
          <w:highlight w:val="none"/>
          <w:lang w:eastAsia="zh-CN"/>
          <w14:textFill>
            <w14:solidFill>
              <w14:schemeClr w14:val="tx1"/>
            </w14:solidFill>
          </w14:textFill>
        </w:rPr>
        <w:t>申请转变采购方式</w:t>
      </w:r>
      <w:r>
        <w:rPr>
          <w:rFonts w:hint="eastAsia" w:ascii="宋体" w:hAnsi="宋体" w:cs="宋体"/>
          <w:b/>
          <w:color w:val="000000" w:themeColor="text1"/>
          <w:spacing w:val="-6"/>
          <w:kern w:val="0"/>
          <w:szCs w:val="21"/>
          <w:highlight w:val="none"/>
          <w14:textFill>
            <w14:solidFill>
              <w14:schemeClr w14:val="tx1"/>
            </w14:solidFill>
          </w14:textFill>
        </w:rPr>
        <w:t>。</w:t>
      </w:r>
      <w:r>
        <w:rPr>
          <w:rFonts w:hint="eastAsia" w:ascii="宋体" w:hAnsi="宋体" w:cs="宋体"/>
          <w:b/>
          <w:color w:val="auto"/>
          <w:kern w:val="0"/>
          <w:szCs w:val="21"/>
          <w:highlight w:val="none"/>
          <w:lang w:val="en-US" w:eastAsia="zh-CN"/>
        </w:rPr>
        <w:t>有三家及以上供应商投标的，正常开标；只有两家供应商投标的，现场转为竞争谈判；仅有一家供应商投标的，直接转为单源直接采购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1" w:name="_Toc471299093"/>
      <w:bookmarkStart w:id="22" w:name="_Toc31686"/>
      <w:r>
        <w:rPr>
          <w:rFonts w:hint="eastAsia" w:ascii="宋体" w:hAnsi="宋体" w:eastAsia="宋体" w:cs="宋体"/>
          <w:bCs/>
          <w:color w:val="auto"/>
          <w:sz w:val="28"/>
          <w:szCs w:val="28"/>
          <w:highlight w:val="none"/>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3" w:name="_Toc1065"/>
      <w:bookmarkStart w:id="24" w:name="_Toc471299094"/>
      <w:r>
        <w:rPr>
          <w:rFonts w:hint="eastAsia" w:ascii="宋体" w:hAnsi="宋体" w:eastAsia="宋体" w:cs="宋体"/>
          <w:bCs/>
          <w:color w:val="auto"/>
          <w:sz w:val="28"/>
          <w:szCs w:val="28"/>
          <w:highlight w:val="none"/>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5" w:name="_Toc471299095"/>
      <w:bookmarkStart w:id="26" w:name="_Toc382"/>
      <w:r>
        <w:rPr>
          <w:rFonts w:hint="eastAsia" w:ascii="宋体" w:hAnsi="宋体" w:eastAsia="宋体" w:cs="宋体"/>
          <w:bCs/>
          <w:color w:val="auto"/>
          <w:sz w:val="28"/>
          <w:szCs w:val="28"/>
          <w:highlight w:val="none"/>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7" w:name="_Toc23222"/>
      <w:bookmarkStart w:id="28" w:name="_Toc471299096"/>
      <w:r>
        <w:rPr>
          <w:rFonts w:hint="eastAsia" w:ascii="宋体" w:hAnsi="宋体" w:eastAsia="宋体" w:cs="宋体"/>
          <w:bCs/>
          <w:color w:val="auto"/>
          <w:sz w:val="28"/>
          <w:szCs w:val="28"/>
          <w:highlight w:val="none"/>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9" w:name="_Toc471299097"/>
      <w:bookmarkStart w:id="30" w:name="_Toc23894"/>
      <w:r>
        <w:rPr>
          <w:rFonts w:hint="eastAsia" w:ascii="宋体" w:hAnsi="宋体" w:eastAsia="宋体" w:cs="宋体"/>
          <w:bCs/>
          <w:color w:val="auto"/>
          <w:sz w:val="28"/>
          <w:szCs w:val="28"/>
          <w:highlight w:val="none"/>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hint="eastAsia" w:ascii="宋体" w:hAnsi="宋体" w:cs="Times New Roman"/>
          <w:bCs/>
          <w:color w:val="auto"/>
          <w:sz w:val="21"/>
          <w:szCs w:val="21"/>
          <w:highlight w:val="none"/>
        </w:rPr>
      </w:pPr>
      <w:r>
        <w:rPr>
          <w:rFonts w:hint="eastAsia" w:ascii="宋体" w:hAnsi="宋体" w:eastAsia="宋体" w:cs="宋体"/>
          <w:bCs/>
          <w:color w:val="auto"/>
          <w:sz w:val="21"/>
          <w:szCs w:val="21"/>
          <w:highlight w:val="none"/>
        </w:rPr>
        <w:t>质疑人对质疑答复</w:t>
      </w:r>
      <w:r>
        <w:rPr>
          <w:rFonts w:hint="eastAsia" w:ascii="宋体" w:hAnsi="宋体" w:cs="Times New Roman"/>
          <w:bCs/>
          <w:color w:val="auto"/>
          <w:sz w:val="21"/>
          <w:szCs w:val="21"/>
          <w:highlight w:val="none"/>
        </w:rPr>
        <w:t>不满意或采购人及</w:t>
      </w:r>
      <w:r>
        <w:rPr>
          <w:rFonts w:hint="eastAsia" w:ascii="宋体" w:hAnsi="宋体" w:cs="Times New Roman"/>
          <w:bCs/>
          <w:color w:val="auto"/>
          <w:sz w:val="21"/>
          <w:szCs w:val="21"/>
          <w:highlight w:val="none"/>
          <w:lang w:eastAsia="zh-CN"/>
        </w:rPr>
        <w:t>采购代理机构</w:t>
      </w:r>
      <w:r>
        <w:rPr>
          <w:rFonts w:hint="eastAsia" w:ascii="宋体" w:hAnsi="宋体" w:cs="Times New Roman"/>
          <w:bCs/>
          <w:color w:val="auto"/>
          <w:sz w:val="21"/>
          <w:szCs w:val="21"/>
          <w:highlight w:val="none"/>
        </w:rPr>
        <w:t>未在规定时间内做出答复的，可以在答复期满后15个工作日内向</w:t>
      </w:r>
      <w:r>
        <w:rPr>
          <w:rFonts w:hint="eastAsia" w:ascii="宋体" w:hAnsi="宋体" w:cs="Times New Roman"/>
          <w:bCs/>
          <w:color w:val="auto"/>
          <w:sz w:val="21"/>
          <w:szCs w:val="21"/>
          <w:highlight w:val="none"/>
          <w:lang w:eastAsia="zh-CN"/>
        </w:rPr>
        <w:t>安徽筑圣建设工程有限公司</w:t>
      </w:r>
      <w:r>
        <w:rPr>
          <w:rFonts w:hint="eastAsia" w:ascii="宋体" w:hAnsi="宋体" w:cs="Times New Roman"/>
          <w:bCs/>
          <w:color w:val="auto"/>
          <w:sz w:val="21"/>
          <w:szCs w:val="21"/>
          <w:highlight w:val="none"/>
        </w:rPr>
        <w:t>投诉，同时将投诉书副本送</w:t>
      </w:r>
      <w:r>
        <w:rPr>
          <w:rFonts w:hint="eastAsia" w:ascii="宋体" w:hAnsi="宋体" w:cs="Times New Roman"/>
          <w:bCs/>
          <w:color w:val="auto"/>
          <w:sz w:val="21"/>
          <w:szCs w:val="21"/>
          <w:highlight w:val="none"/>
          <w:lang w:val="en-US" w:eastAsia="zh-CN"/>
        </w:rPr>
        <w:t>安徽大别山工程咨询有限公司</w:t>
      </w:r>
      <w:r>
        <w:rPr>
          <w:rFonts w:hint="eastAsia" w:ascii="宋体" w:hAnsi="宋体" w:cs="Times New Roman"/>
          <w:bCs/>
          <w:color w:val="auto"/>
          <w:sz w:val="21"/>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ascii="宋体" w:hAnsi="宋体" w:eastAsia="宋体" w:cs="宋体"/>
          <w:b/>
          <w:color w:val="auto"/>
          <w:kern w:val="0"/>
          <w:sz w:val="30"/>
          <w:szCs w:val="30"/>
          <w:highlight w:val="none"/>
          <w:lang w:val="en-US" w:eastAsia="zh-CN" w:bidi="ar-SA"/>
        </w:rPr>
      </w:pPr>
      <w:bookmarkStart w:id="31" w:name="_Toc25805"/>
      <w:bookmarkStart w:id="32" w:name="_Toc8300_WPSOffice_Level1"/>
      <w:r>
        <w:rPr>
          <w:rFonts w:hint="eastAsia" w:ascii="宋体" w:hAnsi="宋体" w:eastAsia="宋体" w:cs="宋体"/>
          <w:b/>
          <w:color w:val="auto"/>
          <w:kern w:val="0"/>
          <w:sz w:val="30"/>
          <w:szCs w:val="30"/>
          <w:highlight w:val="none"/>
          <w:lang w:val="en-US" w:eastAsia="zh-CN" w:bidi="ar-SA"/>
        </w:rPr>
        <w:br w:type="page"/>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ascii="宋体" w:hAnsi="宋体" w:eastAsia="宋体" w:cs="宋体"/>
          <w:b/>
          <w:color w:val="auto"/>
          <w:kern w:val="0"/>
          <w:sz w:val="30"/>
          <w:szCs w:val="30"/>
          <w:highlight w:val="none"/>
          <w:lang w:val="en-US" w:eastAsia="zh-CN" w:bidi="ar-SA"/>
        </w:rPr>
      </w:pP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三、</w:t>
      </w:r>
      <w:bookmarkEnd w:id="18"/>
      <w:bookmarkEnd w:id="31"/>
      <w:bookmarkEnd w:id="32"/>
      <w:bookmarkStart w:id="33" w:name="_Toc16484_WPSOffice_Level1"/>
      <w:bookmarkStart w:id="34" w:name="_Toc12757"/>
      <w:bookmarkStart w:id="35" w:name="_Toc363199273"/>
      <w:r>
        <w:rPr>
          <w:rFonts w:hint="eastAsia" w:ascii="宋体" w:hAnsi="宋体" w:eastAsia="宋体" w:cs="宋体"/>
          <w:b/>
          <w:color w:val="auto"/>
          <w:kern w:val="0"/>
          <w:sz w:val="32"/>
          <w:szCs w:val="32"/>
          <w:highlight w:val="none"/>
          <w:lang w:val="en-US" w:eastAsia="zh-CN" w:bidi="ar-SA"/>
        </w:rPr>
        <w:t>采购合同（甲乙双方可自行拟定，但不得有背离采购文件实质性精神的条款）</w:t>
      </w:r>
    </w:p>
    <w:bookmarkEnd w:id="33"/>
    <w:bookmarkEnd w:id="34"/>
    <w:p>
      <w:pPr>
        <w:rPr>
          <w:rFonts w:hint="eastAsia"/>
          <w:lang w:val="en-US" w:eastAsia="zh-CN"/>
        </w:rPr>
      </w:pPr>
      <w:r>
        <w:rPr>
          <w:rFonts w:hint="eastAsia" w:ascii="宋体" w:hAnsi="宋体" w:cs="宋体"/>
          <w:b/>
          <w:bCs w:val="0"/>
          <w:sz w:val="36"/>
          <w:szCs w:val="36"/>
          <w:highlight w:val="none"/>
          <w:lang w:val="en-US" w:eastAsia="zh-CN"/>
        </w:rPr>
        <w:br w:type="page"/>
      </w: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四、采购需求</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b/>
          <w:bCs/>
          <w:sz w:val="36"/>
          <w:szCs w:val="36"/>
          <w:lang w:val="en-US" w:eastAsia="zh-CN"/>
        </w:rPr>
      </w:pPr>
      <w:bookmarkStart w:id="36" w:name="_Toc11297"/>
      <w:bookmarkStart w:id="37" w:name="_Toc4288_WPSOffice_Level1"/>
    </w:p>
    <w:p>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2"/>
          <w:sz w:val="28"/>
          <w:szCs w:val="28"/>
          <w:lang w:val="en-US" w:eastAsia="zh-CN" w:bidi="zh-CN"/>
        </w:rPr>
      </w:pP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1、采购内容：详见工程量清单。</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2、采购方式：采取询价方式采购。</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 xml:space="preserve">3、发包控制价（不含税）：¥295397.49（大写：贰拾玖万伍仟叁佰玖拾柒元肆角玖分）。     </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4、工期：70个日历天。</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5、参与投标供应商要求：须是安徽筑圣建设工程有限公司供应商库劳务类供应商，且库内信用考核评价C类合作供应商在其投标暂停期内不得参加、D类合作供应商不得参加。评标办法为合理低价法，投标报价低于投标人报价平均值98%的，为异常低价，作无效标处理。参与投标供应商应具有安全生产许可证、营业执照及有效的劳务资质证书。</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6、付款方式：工程竣工验收合格，经工程价款结算审计后，以审计结果作为最终工程价款结算依据。付结算审计价款的97%，余下3%作为质量保证金，结算审计一年后，无质量问题付清尾款；中标单位提供增值税专用发票（清单报价不含税，但最终投标报价须明确增值税税率），税费另加。</w:t>
      </w:r>
    </w:p>
    <w:p>
      <w:pPr>
        <w:rPr>
          <w:rFonts w:hint="eastAsia" w:ascii="宋体" w:hAnsi="宋体" w:cs="Times New Roman"/>
          <w:bCs/>
          <w:color w:val="auto"/>
          <w:sz w:val="21"/>
          <w:szCs w:val="21"/>
          <w:highlight w:val="none"/>
          <w:lang w:val="en-US" w:eastAsia="zh-CN"/>
        </w:rPr>
      </w:pPr>
      <w:r>
        <w:rPr>
          <w:rFonts w:hint="eastAsia" w:ascii="宋体" w:hAnsi="宋体" w:cs="Times New Roman"/>
          <w:bCs/>
          <w:color w:val="auto"/>
          <w:sz w:val="21"/>
          <w:szCs w:val="21"/>
          <w:highlight w:val="none"/>
          <w:lang w:val="en-US" w:eastAsia="zh-CN"/>
        </w:rPr>
        <w:t>7、附件：该工程量清单。</w:t>
      </w:r>
    </w:p>
    <w:p>
      <w:pPr>
        <w:rPr>
          <w:rFonts w:hint="eastAsia" w:ascii="宋体" w:hAnsi="宋体" w:eastAsia="宋体" w:cs="宋体"/>
          <w:b/>
          <w:color w:val="auto"/>
          <w:kern w:val="0"/>
          <w:sz w:val="32"/>
          <w:szCs w:val="32"/>
          <w:highlight w:val="none"/>
          <w:lang w:val="en-US" w:eastAsia="zh-CN" w:bidi="ar-SA"/>
        </w:rPr>
      </w:pPr>
      <w:r>
        <w:rPr>
          <w:rFonts w:hint="eastAsia" w:ascii="宋体" w:hAnsi="宋体" w:cs="Times New Roman"/>
          <w:bCs/>
          <w:color w:val="auto"/>
          <w:sz w:val="21"/>
          <w:szCs w:val="21"/>
          <w:highlight w:val="none"/>
          <w:lang w:val="en-US" w:eastAsia="zh-CN"/>
        </w:rPr>
        <w:t>8、其他说明：本工程水泥、钢材、砂石、钢筋混凝土涵管由公司统一采购，本次劳务发包包含土石方、砼工、瓦工、木工、钢筋工、机械、搅拌站场地及水电、成品砼运输及其他相关一切辅材。</w:t>
      </w: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7"/>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6"/>
      <w:bookmarkEnd w:id="37"/>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8"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8"/>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39" w:name="_Toc12631_WPSOffice_Level1"/>
      <w:r>
        <w:rPr>
          <w:rFonts w:hint="eastAsia" w:ascii="宋体" w:hAnsi="宋体" w:eastAsia="宋体" w:cs="宋体"/>
          <w:b/>
          <w:color w:val="auto"/>
          <w:sz w:val="44"/>
          <w:szCs w:val="44"/>
          <w:highlight w:val="none"/>
        </w:rPr>
        <w:t>响</w:t>
      </w:r>
      <w:bookmarkEnd w:id="39"/>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0" w:name="_Toc13194_WPSOffice_Level1"/>
      <w:r>
        <w:rPr>
          <w:rFonts w:hint="eastAsia" w:ascii="宋体" w:hAnsi="宋体" w:eastAsia="宋体" w:cs="宋体"/>
          <w:b/>
          <w:color w:val="auto"/>
          <w:sz w:val="44"/>
          <w:szCs w:val="44"/>
          <w:highlight w:val="none"/>
        </w:rPr>
        <w:t>应</w:t>
      </w:r>
      <w:bookmarkEnd w:id="40"/>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1" w:name="_Toc28638_WPSOffice_Level1"/>
      <w:r>
        <w:rPr>
          <w:rFonts w:hint="eastAsia" w:ascii="宋体" w:hAnsi="宋体" w:eastAsia="宋体" w:cs="宋体"/>
          <w:b/>
          <w:color w:val="auto"/>
          <w:sz w:val="44"/>
          <w:szCs w:val="44"/>
          <w:highlight w:val="none"/>
        </w:rPr>
        <w:t>文</w:t>
      </w:r>
      <w:bookmarkEnd w:id="41"/>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2" w:name="_Toc21450_WPSOffice_Level1"/>
      <w:r>
        <w:rPr>
          <w:rFonts w:hint="eastAsia" w:ascii="宋体" w:hAnsi="宋体" w:eastAsia="宋体" w:cs="宋体"/>
          <w:b/>
          <w:color w:val="auto"/>
          <w:sz w:val="44"/>
          <w:szCs w:val="44"/>
          <w:highlight w:val="none"/>
        </w:rPr>
        <w:t>件</w:t>
      </w:r>
      <w:bookmarkEnd w:id="42"/>
    </w:p>
    <w:p>
      <w:pPr>
        <w:pStyle w:val="3"/>
        <w:jc w:val="center"/>
        <w:rPr>
          <w:rFonts w:ascii="黑体"/>
          <w:color w:val="auto"/>
          <w:sz w:val="44"/>
          <w:highlight w:val="none"/>
          <w:u w:val="single"/>
        </w:rPr>
      </w:pPr>
      <w:bookmarkStart w:id="43" w:name="_Toc30778_WPSOffice_Level1"/>
      <w:r>
        <w:rPr>
          <w:rFonts w:hint="eastAsia" w:ascii="黑体" w:hAnsi="Times New Roman" w:eastAsia="黑体"/>
          <w:color w:val="auto"/>
          <w:kern w:val="2"/>
          <w:sz w:val="32"/>
          <w:szCs w:val="22"/>
          <w:highlight w:val="none"/>
          <w:u w:val="single"/>
        </w:rPr>
        <w:t>正本（副本）</w:t>
      </w:r>
      <w:bookmarkEnd w:id="43"/>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4"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4"/>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5"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5"/>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6"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6"/>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7"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7"/>
    </w:p>
    <w:p>
      <w:pPr>
        <w:jc w:val="center"/>
        <w:rPr>
          <w:rFonts w:hint="eastAsia"/>
          <w:b/>
          <w:bCs/>
          <w:color w:val="auto"/>
          <w:sz w:val="28"/>
          <w:szCs w:val="28"/>
          <w:highlight w:val="none"/>
        </w:rPr>
      </w:pPr>
      <w:bookmarkStart w:id="48"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8"/>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both"/>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5"/>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49" w:name="_Toc5932"/>
      <w:bookmarkStart w:id="50" w:name="_Toc471299103"/>
      <w:r>
        <w:rPr>
          <w:rFonts w:hint="eastAsia" w:ascii="宋体" w:hAnsi="宋体" w:eastAsia="宋体" w:cs="宋体"/>
          <w:color w:val="auto"/>
          <w:sz w:val="21"/>
          <w:szCs w:val="21"/>
          <w:highlight w:val="none"/>
        </w:rPr>
        <w:t>附件</w:t>
      </w:r>
      <w:bookmarkEnd w:id="49"/>
      <w:bookmarkEnd w:id="50"/>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1" w:name="_Toc10142_WPSOffice_Level1"/>
      <w:r>
        <w:rPr>
          <w:rFonts w:hint="eastAsia"/>
          <w:b/>
          <w:bCs/>
          <w:color w:val="auto"/>
          <w:sz w:val="28"/>
          <w:szCs w:val="28"/>
          <w:highlight w:val="none"/>
        </w:rPr>
        <w:t>供应商基本信息</w:t>
      </w:r>
      <w:bookmarkEnd w:id="51"/>
    </w:p>
    <w:p>
      <w:pPr>
        <w:pStyle w:val="2"/>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ascii="宋体" w:hAnsi="宋体" w:eastAsia="宋体" w:cs="宋体"/>
          <w:i w:val="0"/>
          <w:caps w:val="0"/>
          <w:color w:val="auto"/>
          <w:spacing w:val="0"/>
          <w:kern w:val="2"/>
          <w:sz w:val="21"/>
          <w:szCs w:val="21"/>
          <w:highlight w:val="none"/>
          <w:shd w:val="clear" w:color="auto" w:fill="FFFFFF"/>
          <w:lang w:val="en-US" w:eastAsia="zh-CN" w:bidi="ar-SA"/>
        </w:rPr>
      </w:pPr>
      <w:bookmarkStart w:id="52" w:name="_Toc5936_WPSOffice_Level1"/>
      <w:r>
        <w:rPr>
          <w:rFonts w:hint="eastAsia" w:ascii="宋体" w:hAnsi="宋体" w:eastAsia="宋体" w:cs="宋体"/>
          <w:i w:val="0"/>
          <w:caps w:val="0"/>
          <w:color w:val="auto"/>
          <w:spacing w:val="0"/>
          <w:kern w:val="2"/>
          <w:sz w:val="21"/>
          <w:szCs w:val="21"/>
          <w:highlight w:val="none"/>
          <w:shd w:val="clear" w:color="auto" w:fill="FFFFFF"/>
          <w:lang w:val="en-US" w:eastAsia="zh-CN" w:bidi="ar-SA"/>
        </w:rPr>
        <w:t>（格式自拟）</w:t>
      </w:r>
      <w:bookmarkEnd w:id="52"/>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3" w:name="_Toc471299104"/>
      <w:bookmarkStart w:id="54" w:name="_Toc31656"/>
      <w:r>
        <w:rPr>
          <w:rFonts w:hint="eastAsia" w:ascii="宋体" w:hAnsi="宋体" w:eastAsia="宋体" w:cs="宋体"/>
          <w:color w:val="auto"/>
          <w:sz w:val="21"/>
          <w:szCs w:val="21"/>
          <w:highlight w:val="none"/>
        </w:rPr>
        <w:t>附件</w:t>
      </w:r>
      <w:bookmarkEnd w:id="53"/>
      <w:bookmarkEnd w:id="54"/>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5" w:name="_Toc8862_WPSOffice_Level1"/>
      <w:bookmarkStart w:id="56"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7" w:name="_Toc26907"/>
      <w:r>
        <w:rPr>
          <w:rFonts w:hint="eastAsia" w:ascii="宋体" w:hAnsi="宋体" w:eastAsia="宋体" w:cs="宋体"/>
          <w:color w:val="auto"/>
          <w:sz w:val="21"/>
          <w:szCs w:val="21"/>
          <w:highlight w:val="none"/>
        </w:rPr>
        <w:t>附件</w:t>
      </w:r>
      <w:bookmarkEnd w:id="56"/>
      <w:bookmarkEnd w:id="57"/>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8" w:name="_Toc148501698"/>
      <w:bookmarkStart w:id="59" w:name="_Toc3858_WPSOffice_Level1"/>
      <w:bookmarkStart w:id="60" w:name="_Toc516969098"/>
      <w:r>
        <w:rPr>
          <w:rFonts w:hint="eastAsia"/>
          <w:b/>
          <w:bCs/>
          <w:color w:val="auto"/>
          <w:sz w:val="28"/>
          <w:szCs w:val="28"/>
          <w:highlight w:val="none"/>
        </w:rPr>
        <w:t>响应函</w:t>
      </w:r>
      <w:bookmarkEnd w:id="58"/>
      <w:bookmarkEnd w:id="59"/>
      <w:bookmarkEnd w:id="60"/>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61" w:name="_Toc30711"/>
      <w:bookmarkStart w:id="62" w:name="_Toc471299106"/>
      <w:bookmarkStart w:id="63" w:name="_Toc417045478"/>
      <w:r>
        <w:rPr>
          <w:rFonts w:hint="eastAsia" w:ascii="宋体" w:hAnsi="宋体" w:eastAsia="宋体" w:cs="宋体"/>
          <w:color w:val="auto"/>
          <w:sz w:val="21"/>
          <w:szCs w:val="21"/>
          <w:highlight w:val="none"/>
        </w:rPr>
        <w:t>附件</w:t>
      </w:r>
      <w:bookmarkEnd w:id="61"/>
      <w:bookmarkEnd w:id="62"/>
      <w:bookmarkEnd w:id="63"/>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4" w:name="_Toc1513_WPSOffice_Level1"/>
      <w:r>
        <w:rPr>
          <w:rFonts w:hint="eastAsia"/>
          <w:b/>
          <w:bCs/>
          <w:color w:val="auto"/>
          <w:sz w:val="28"/>
          <w:szCs w:val="28"/>
          <w:highlight w:val="none"/>
          <w:lang w:val="zh-CN"/>
        </w:rPr>
        <w:t>无重大违法记录声明函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5" w:name="_Toc29566_WPSOffice_Level1"/>
      <w:r>
        <w:rPr>
          <w:rFonts w:hint="eastAsia"/>
          <w:b/>
          <w:bCs/>
          <w:color w:val="auto"/>
          <w:sz w:val="28"/>
          <w:szCs w:val="28"/>
          <w:highlight w:val="none"/>
          <w:lang w:val="zh-CN"/>
        </w:rPr>
        <w:t>无不良信用记录承诺函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6"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7" w:name="_Toc471299107"/>
      <w:r>
        <w:rPr>
          <w:rFonts w:hint="eastAsia"/>
          <w:color w:val="auto"/>
          <w:sz w:val="24"/>
          <w:szCs w:val="24"/>
          <w:highlight w:val="none"/>
        </w:rPr>
        <w:br w:type="page"/>
      </w:r>
      <w:bookmarkStart w:id="68" w:name="_Toc3574"/>
      <w:r>
        <w:rPr>
          <w:rFonts w:hint="eastAsia" w:ascii="宋体" w:hAnsi="宋体" w:eastAsia="宋体" w:cs="宋体"/>
          <w:color w:val="auto"/>
          <w:sz w:val="21"/>
          <w:szCs w:val="21"/>
          <w:highlight w:val="none"/>
        </w:rPr>
        <w:t>附件</w:t>
      </w:r>
      <w:bookmarkEnd w:id="66"/>
      <w:bookmarkEnd w:id="67"/>
      <w:bookmarkEnd w:id="68"/>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69" w:name="_Toc24671_WPSOffice_Level1"/>
      <w:r>
        <w:rPr>
          <w:rFonts w:hint="eastAsia"/>
          <w:b/>
          <w:bCs/>
          <w:color w:val="auto"/>
          <w:sz w:val="28"/>
          <w:szCs w:val="28"/>
          <w:highlight w:val="none"/>
          <w:lang w:val="zh-CN"/>
        </w:rPr>
        <w:t>询价响应表</w:t>
      </w:r>
      <w:bookmarkEnd w:id="69"/>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18"/>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0" w:name="_Toc471299110"/>
      <w:bookmarkStart w:id="71" w:name="_Toc27567"/>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ind w:left="0" w:leftChars="0" w:firstLine="0" w:firstLineChars="0"/>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0"/>
      <w:bookmarkEnd w:id="71"/>
      <w:r>
        <w:rPr>
          <w:rFonts w:hint="eastAsia" w:ascii="宋体" w:hAnsi="宋体" w:eastAsia="宋体" w:cs="宋体"/>
          <w:b/>
          <w:bCs/>
          <w:color w:val="auto"/>
          <w:kern w:val="2"/>
          <w:sz w:val="21"/>
          <w:szCs w:val="21"/>
          <w:highlight w:val="none"/>
          <w:lang w:val="en-US" w:eastAsia="zh-CN" w:bidi="ar-SA"/>
        </w:rPr>
        <w:t>六</w:t>
      </w:r>
      <w:bookmarkStart w:id="72"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rPr>
            </w:pPr>
            <w:r>
              <w:rPr>
                <w:rFonts w:hint="eastAsia"/>
                <w:lang w:eastAsia="zh-CN"/>
              </w:rPr>
              <w:t>响应</w:t>
            </w:r>
            <w:r>
              <w:rPr>
                <w:rFonts w:hint="eastAsia"/>
              </w:rPr>
              <w:t>报价（</w:t>
            </w:r>
            <w:r>
              <w:rPr>
                <w:rFonts w:hint="eastAsia"/>
                <w:lang w:val="en-US" w:eastAsia="zh-CN"/>
              </w:rPr>
              <w:t>不含税</w:t>
            </w:r>
            <w:r>
              <w:rPr>
                <w:rFonts w:hint="eastAsia"/>
              </w:rPr>
              <w:t>）</w:t>
            </w:r>
          </w:p>
          <w:p>
            <w:pPr>
              <w:spacing w:line="440" w:lineRule="exact"/>
              <w:jc w:val="center"/>
              <w:rPr>
                <w:rFonts w:hint="eastAsia" w:eastAsia="宋体"/>
                <w:lang w:eastAsia="zh-CN"/>
              </w:rPr>
            </w:pPr>
          </w:p>
        </w:tc>
        <w:tc>
          <w:tcPr>
            <w:tcW w:w="6825" w:type="dxa"/>
            <w:tcBorders>
              <w:top w:val="single" w:color="auto" w:sz="4" w:space="0"/>
              <w:left w:val="single" w:color="auto" w:sz="4" w:space="0"/>
              <w:bottom w:val="single" w:color="auto" w:sz="4" w:space="0"/>
              <w:right w:val="single" w:color="auto" w:sz="4" w:space="0"/>
            </w:tcBorders>
            <w:vAlign w:val="center"/>
          </w:tcPr>
          <w:p>
            <w:pPr>
              <w:pStyle w:val="2"/>
              <w:ind w:left="0" w:leftChars="0" w:firstLine="0" w:firstLineChars="0"/>
              <w:rPr>
                <w:rFonts w:hint="default"/>
                <w:highlight w:val="none"/>
                <w:lang w:val="en-US" w:eastAsia="zh-CN"/>
              </w:rPr>
            </w:pPr>
            <w:r>
              <w:rPr>
                <w:rFonts w:hint="eastAsia"/>
                <w:highlight w:val="none"/>
                <w:lang w:eastAsia="zh-CN"/>
              </w:rPr>
              <w:t>小写：</w:t>
            </w:r>
            <w:r>
              <w:rPr>
                <w:rFonts w:hint="eastAsia"/>
                <w:highlight w:val="none"/>
                <w:lang w:val="en-US" w:eastAsia="zh-CN"/>
              </w:rPr>
              <w:t xml:space="preserve">                      元</w:t>
            </w:r>
          </w:p>
          <w:p>
            <w:pPr>
              <w:pStyle w:val="2"/>
              <w:ind w:left="0" w:leftChars="0" w:firstLine="0" w:firstLineChars="0"/>
              <w:rPr>
                <w:rFonts w:hint="eastAsia"/>
                <w:highlight w:val="none"/>
                <w:lang w:val="en-US" w:eastAsia="zh-CN"/>
              </w:rPr>
            </w:pPr>
            <w:r>
              <w:rPr>
                <w:rFonts w:hint="eastAsia"/>
                <w:highlight w:val="none"/>
                <w:lang w:val="en-US" w:eastAsia="zh-CN"/>
              </w:rPr>
              <w:t>大写：                      元</w:t>
            </w:r>
          </w:p>
          <w:p>
            <w:pPr>
              <w:pStyle w:val="2"/>
              <w:ind w:left="0" w:leftChars="0" w:firstLine="0" w:firstLineChars="0"/>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税率</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0" w:type="auto"/>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p>
        </w:tc>
        <w:tc>
          <w:tcPr>
            <w:tcW w:w="0" w:type="auto"/>
            <w:vAlign w:val="center"/>
          </w:tcPr>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numPr>
          <w:ilvl w:val="0"/>
          <w:numId w:val="0"/>
        </w:numPr>
        <w:adjustRightInd w:val="0"/>
        <w:snapToGrid w:val="0"/>
        <w:spacing w:line="320" w:lineRule="auto"/>
        <w:ind w:leftChars="0"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2"/>
        <w:rPr>
          <w:rFonts w:hint="default"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3、本项目清单报价不含税，但最终投标报价须明确增值税税率，税费另加。</w:t>
      </w:r>
    </w:p>
    <w:p>
      <w:pPr>
        <w:pStyle w:val="2"/>
        <w:numPr>
          <w:ilvl w:val="0"/>
          <w:numId w:val="0"/>
        </w:numPr>
        <w:ind w:leftChars="0"/>
        <w:rPr>
          <w:rFonts w:hint="default"/>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highlight w:val="none"/>
        </w:rPr>
      </w:pPr>
      <w:r>
        <w:rPr>
          <w:rFonts w:hint="eastAsia" w:ascii="宋体" w:hAnsi="宋体" w:cs="宋体"/>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395"/>
        <w:gridCol w:w="1395"/>
        <w:gridCol w:w="1410"/>
        <w:gridCol w:w="1125"/>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型号</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c>
          <w:tcPr>
            <w:tcW w:w="14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07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07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合计</w:t>
            </w:r>
            <w:r>
              <w:rPr>
                <w:rFonts w:hint="eastAsia" w:ascii="Times New Roman" w:hAnsi="Times New Roman" w:eastAsia="宋体" w:cs="Times New Roman"/>
                <w:kern w:val="2"/>
                <w:sz w:val="21"/>
                <w:szCs w:val="20"/>
                <w:lang w:val="en-US" w:eastAsia="zh-CN" w:bidi="ar-SA"/>
              </w:rPr>
              <w:t>报价：       元</w:t>
            </w:r>
          </w:p>
          <w:p>
            <w:pPr>
              <w:rPr>
                <w:rFonts w:hint="default"/>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rPr>
                <w:rFonts w:hint="default"/>
                <w:lang w:val="en-US" w:eastAsia="zh-CN"/>
              </w:rPr>
            </w:pPr>
            <w:r>
              <w:rPr>
                <w:rFonts w:hint="eastAsia"/>
                <w:lang w:val="en-US" w:eastAsia="zh-CN"/>
              </w:rPr>
              <w:t xml:space="preserve">    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eastAsia="宋体" w:cs="宋体"/>
          <w:color w:val="000000" w:themeColor="text1"/>
          <w:sz w:val="21"/>
          <w:szCs w:val="21"/>
          <w:highlight w:val="none"/>
          <w:lang w:eastAsia="zh-CN"/>
          <w14:textFill>
            <w14:solidFill>
              <w14:schemeClr w14:val="tx1"/>
            </w14:solidFill>
          </w14:textFill>
        </w:rPr>
        <w:t>供应商参考工程量清单项目特征描述按照采购需求</w:t>
      </w:r>
      <w:r>
        <w:rPr>
          <w:rFonts w:hint="eastAsia" w:ascii="宋体" w:hAnsi="宋体" w:cs="宋体"/>
          <w:color w:val="000000" w:themeColor="text1"/>
          <w:sz w:val="21"/>
          <w:szCs w:val="21"/>
          <w:highlight w:val="none"/>
          <w:lang w:eastAsia="zh-CN"/>
          <w14:textFill>
            <w14:solidFill>
              <w14:schemeClr w14:val="tx1"/>
            </w14:solidFill>
          </w14:textFill>
        </w:rPr>
        <w:t>及采购清单分项报价并</w:t>
      </w:r>
      <w:r>
        <w:rPr>
          <w:rFonts w:hint="eastAsia" w:ascii="宋体" w:hAnsi="宋体" w:eastAsia="宋体" w:cs="宋体"/>
          <w:color w:val="000000" w:themeColor="text1"/>
          <w:sz w:val="21"/>
          <w:szCs w:val="21"/>
          <w:highlight w:val="none"/>
          <w:lang w:eastAsia="zh-CN"/>
          <w14:textFill>
            <w14:solidFill>
              <w14:schemeClr w14:val="tx1"/>
            </w14:solidFill>
          </w14:textFill>
        </w:rPr>
        <w:t>汇总</w:t>
      </w:r>
      <w:r>
        <w:rPr>
          <w:rFonts w:hint="eastAsia" w:ascii="宋体" w:hAnsi="宋体" w:cs="宋体"/>
          <w:color w:val="auto"/>
          <w:sz w:val="24"/>
          <w:szCs w:val="24"/>
          <w:highlight w:val="none"/>
          <w:lang w:eastAsia="zh-CN"/>
        </w:rPr>
        <w:t>。</w:t>
      </w:r>
    </w:p>
    <w:p>
      <w:pPr>
        <w:pStyle w:val="2"/>
        <w:rPr>
          <w:rFonts w:hint="eastAsia"/>
          <w:highlight w:val="none"/>
          <w:lang w:eastAsia="zh-CN"/>
        </w:rPr>
      </w:pPr>
    </w:p>
    <w:p>
      <w:pPr>
        <w:pStyle w:val="2"/>
        <w:ind w:left="0" w:leftChars="0" w:firstLine="0" w:firstLineChars="0"/>
        <w:rPr>
          <w:rFonts w:hint="eastAsia"/>
          <w:highlight w:val="none"/>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2"/>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3"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eastAsia" w:ascii="宋体" w:hAnsi="宋体" w:eastAsia="宋体" w:cs="宋体"/>
          <w:color w:val="auto"/>
          <w:sz w:val="21"/>
          <w:szCs w:val="21"/>
          <w:highlight w:val="none"/>
        </w:rPr>
      </w:pPr>
      <w:r>
        <w:rPr>
          <w:rFonts w:hint="eastAsia" w:ascii="宋体" w:hAnsi="宋体"/>
          <w:b/>
          <w:color w:val="auto"/>
          <w:sz w:val="21"/>
          <w:szCs w:val="21"/>
          <w:highlight w:val="none"/>
        </w:rPr>
        <w:t>（格式自定）</w:t>
      </w:r>
      <w:bookmarkStart w:id="74" w:name="_Toc27705"/>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2"/>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4"/>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5" w:name="_Toc1950_WPSOffice_Level1"/>
      <w:r>
        <w:rPr>
          <w:rFonts w:hint="eastAsia"/>
          <w:b/>
          <w:bCs/>
          <w:color w:val="auto"/>
          <w:sz w:val="28"/>
          <w:szCs w:val="28"/>
          <w:highlight w:val="none"/>
          <w:lang w:val="zh-CN"/>
        </w:rPr>
        <w:t>询价文件要求和供应商认为需要提供的其它说明和资料</w:t>
      </w:r>
      <w:bookmarkEnd w:id="75"/>
    </w:p>
    <w:p>
      <w:pPr>
        <w:tabs>
          <w:tab w:val="left" w:pos="4620"/>
        </w:tabs>
        <w:spacing w:line="560" w:lineRule="exact"/>
        <w:jc w:val="center"/>
        <w:rPr>
          <w:rStyle w:val="42"/>
          <w:rFonts w:hint="default"/>
          <w:color w:val="auto"/>
          <w:sz w:val="28"/>
          <w:szCs w:val="28"/>
          <w:highlight w:val="none"/>
          <w:lang w:val="en-US" w:eastAsia="zh-CN"/>
        </w:rPr>
      </w:pPr>
      <w:bookmarkStart w:id="76" w:name="_Toc3085"/>
      <w:bookmarkStart w:id="77" w:name="_Toc19844_WPSOffice_Level1"/>
      <w:r>
        <w:rPr>
          <w:rStyle w:val="42"/>
          <w:rFonts w:hint="eastAsia"/>
          <w:color w:val="auto"/>
          <w:sz w:val="28"/>
          <w:szCs w:val="28"/>
          <w:highlight w:val="none"/>
          <w:lang w:val="en-US" w:eastAsia="zh-CN"/>
        </w:rPr>
        <w:t>（如投标人业绩等）</w:t>
      </w:r>
    </w:p>
    <w:p>
      <w:pPr>
        <w:tabs>
          <w:tab w:val="left" w:pos="4620"/>
        </w:tabs>
        <w:spacing w:line="560" w:lineRule="exact"/>
        <w:jc w:val="left"/>
        <w:rPr>
          <w:rStyle w:val="42"/>
          <w:rFonts w:hint="eastAsia"/>
          <w:color w:val="auto"/>
          <w:sz w:val="21"/>
          <w:szCs w:val="21"/>
          <w:highlight w:val="none"/>
          <w:lang w:val="en-US" w:eastAsia="zh-CN"/>
        </w:rPr>
      </w:pPr>
    </w:p>
    <w:bookmarkEnd w:id="76"/>
    <w:bookmarkEnd w:id="77"/>
    <w:p>
      <w:pPr>
        <w:spacing w:line="440" w:lineRule="exact"/>
        <w:rPr>
          <w:rFonts w:hint="eastAsia" w:ascii="宋体" w:hAnsi="宋体" w:cs="宋体"/>
          <w:b/>
          <w:bCs/>
          <w:color w:val="auto"/>
          <w:sz w:val="24"/>
          <w:szCs w:val="24"/>
          <w:highlight w:val="none"/>
        </w:rPr>
      </w:pPr>
      <w:bookmarkStart w:id="78" w:name="_Toc16902_WPSOffice_Level1"/>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8"/>
      <w:r>
        <w:rPr>
          <w:rFonts w:hint="eastAsia" w:ascii="宋体" w:hAnsi="宋体" w:eastAsia="宋体" w:cs="宋体"/>
          <w:color w:val="auto"/>
          <w:sz w:val="21"/>
          <w:szCs w:val="21"/>
          <w:highlight w:val="none"/>
          <w:lang w:eastAsia="zh-CN"/>
        </w:rPr>
        <w:t>九</w:t>
      </w:r>
    </w:p>
    <w:p>
      <w:pPr>
        <w:spacing w:line="400" w:lineRule="exact"/>
        <w:jc w:val="center"/>
        <w:rPr>
          <w:rFonts w:hint="default" w:ascii="宋体" w:hAnsi="宋体" w:eastAsia="宋体" w:cs="宋体"/>
          <w:b/>
          <w:color w:val="auto"/>
          <w:sz w:val="28"/>
          <w:szCs w:val="28"/>
          <w:highlight w:val="none"/>
          <w:shd w:val="clear" w:color="auto" w:fill="FFFFFF"/>
          <w:lang w:val="en-US" w:eastAsia="zh-CN"/>
        </w:rPr>
      </w:pPr>
      <w:bookmarkStart w:id="79"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w:t>
      </w:r>
      <w:bookmarkEnd w:id="79"/>
      <w:r>
        <w:rPr>
          <w:rFonts w:hint="eastAsia" w:ascii="宋体" w:hAnsi="宋体" w:cs="宋体"/>
          <w:b/>
          <w:color w:val="auto"/>
          <w:sz w:val="28"/>
          <w:szCs w:val="28"/>
          <w:highlight w:val="none"/>
          <w:shd w:val="clear" w:color="auto" w:fill="FFFFFF"/>
          <w:lang w:val="en-US" w:eastAsia="zh-CN"/>
        </w:rPr>
        <w:t>公示</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0" w:name="_Toc3059_WPSOffice_Level1"/>
      <w:r>
        <w:rPr>
          <w:rFonts w:hint="eastAsia" w:ascii="宋体" w:hAnsi="宋体" w:cs="宋体"/>
          <w:bCs/>
          <w:color w:val="auto"/>
          <w:highlight w:val="none"/>
          <w:shd w:val="clear" w:color="auto" w:fill="FFFFFF"/>
        </w:rPr>
        <w:t>一、项目相关情况</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期限：      年     月      日至      年     月     日</w:t>
      </w:r>
    </w:p>
    <w:p>
      <w:pPr>
        <w:adjustRightInd w:val="0"/>
        <w:snapToGrid w:val="0"/>
        <w:spacing w:line="360" w:lineRule="exact"/>
        <w:ind w:right="15" w:rightChars="7" w:firstLine="420" w:firstLineChars="200"/>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21327_WPSOffice_Level1"/>
      <w:r>
        <w:rPr>
          <w:rFonts w:hint="eastAsia" w:ascii="宋体" w:hAnsi="宋体" w:cs="宋体"/>
          <w:bCs/>
          <w:color w:val="auto"/>
          <w:highlight w:val="none"/>
          <w:shd w:val="clear" w:color="auto" w:fill="FFFFFF"/>
        </w:rPr>
        <w:t>二、质疑提起的条件及不予受理的情形</w:t>
      </w:r>
      <w:bookmarkEnd w:id="81"/>
    </w:p>
    <w:p>
      <w:pPr>
        <w:adjustRightInd w:val="0"/>
        <w:snapToGrid w:val="0"/>
        <w:spacing w:line="360" w:lineRule="exact"/>
        <w:ind w:right="15" w:rightChars="7" w:firstLine="420" w:firstLineChars="200"/>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highlight w:val="none"/>
          <w:shd w:val="clear" w:color="auto" w:fill="FFFFFF"/>
        </w:rPr>
      </w:pPr>
      <w:bookmarkStart w:id="84" w:name="_GoBack"/>
      <w:bookmarkEnd w:id="84"/>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r>
        <w:rPr>
          <w:rFonts w:hint="eastAsia" w:ascii="宋体" w:hAnsi="宋体" w:cs="宋体"/>
          <w:bCs/>
          <w:color w:val="auto"/>
          <w:highlight w:val="none"/>
          <w:shd w:val="clear" w:color="auto" w:fill="FFFFFF"/>
          <w:lang w:eastAsia="zh-CN"/>
        </w:rPr>
        <w:t>。</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2" w:name="_Toc17685_WPSOffice_Level1"/>
      <w:r>
        <w:rPr>
          <w:rFonts w:hint="eastAsia" w:ascii="宋体" w:hAnsi="宋体" w:cs="宋体"/>
          <w:bCs/>
          <w:color w:val="auto"/>
          <w:highlight w:val="none"/>
          <w:shd w:val="clear" w:color="auto" w:fill="FFFFFF"/>
        </w:rPr>
        <w:t>三、其他</w:t>
      </w:r>
      <w:bookmarkEnd w:id="82"/>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3"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附件十</w:t>
      </w:r>
      <w:bookmarkEnd w:id="83"/>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4"/>
        <w:rPr>
          <w:rFonts w:hint="eastAsia"/>
          <w:lang w:val="en-US" w:eastAsia="zh-CN"/>
        </w:rPr>
      </w:pPr>
    </w:p>
    <w:sectPr>
      <w:footerReference r:id="rId5"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2F1C57A5"/>
    <w:rsid w:val="0003708B"/>
    <w:rsid w:val="00255FB5"/>
    <w:rsid w:val="00292389"/>
    <w:rsid w:val="00847D88"/>
    <w:rsid w:val="00B03C56"/>
    <w:rsid w:val="00B17BC8"/>
    <w:rsid w:val="00EB626F"/>
    <w:rsid w:val="00FB35BB"/>
    <w:rsid w:val="01256BF4"/>
    <w:rsid w:val="01362665"/>
    <w:rsid w:val="01454703"/>
    <w:rsid w:val="020F0B04"/>
    <w:rsid w:val="021B0238"/>
    <w:rsid w:val="02302F18"/>
    <w:rsid w:val="02433DDB"/>
    <w:rsid w:val="025D2311"/>
    <w:rsid w:val="02A369FE"/>
    <w:rsid w:val="02A8574F"/>
    <w:rsid w:val="02AA1EE6"/>
    <w:rsid w:val="02AF769C"/>
    <w:rsid w:val="02C764A5"/>
    <w:rsid w:val="02CE2947"/>
    <w:rsid w:val="02E515F7"/>
    <w:rsid w:val="02F712E8"/>
    <w:rsid w:val="0311413E"/>
    <w:rsid w:val="03150F8F"/>
    <w:rsid w:val="03276947"/>
    <w:rsid w:val="033864A3"/>
    <w:rsid w:val="034743F7"/>
    <w:rsid w:val="038111D3"/>
    <w:rsid w:val="039474F8"/>
    <w:rsid w:val="039759F3"/>
    <w:rsid w:val="03D20CD2"/>
    <w:rsid w:val="0409688B"/>
    <w:rsid w:val="04715B28"/>
    <w:rsid w:val="049E2DCE"/>
    <w:rsid w:val="04A711DB"/>
    <w:rsid w:val="04A855AB"/>
    <w:rsid w:val="04C358F1"/>
    <w:rsid w:val="04C6213A"/>
    <w:rsid w:val="04D66BFE"/>
    <w:rsid w:val="05033D45"/>
    <w:rsid w:val="05355A4A"/>
    <w:rsid w:val="059C0CBD"/>
    <w:rsid w:val="05DA6AE0"/>
    <w:rsid w:val="061F1F65"/>
    <w:rsid w:val="0644344B"/>
    <w:rsid w:val="065734CB"/>
    <w:rsid w:val="066160FD"/>
    <w:rsid w:val="06803458"/>
    <w:rsid w:val="06BE48F4"/>
    <w:rsid w:val="06F41F43"/>
    <w:rsid w:val="07002AD7"/>
    <w:rsid w:val="071C02A2"/>
    <w:rsid w:val="07472F16"/>
    <w:rsid w:val="07500CD8"/>
    <w:rsid w:val="07640C17"/>
    <w:rsid w:val="076B107D"/>
    <w:rsid w:val="077D0881"/>
    <w:rsid w:val="079B0714"/>
    <w:rsid w:val="07D1735E"/>
    <w:rsid w:val="07D74BAD"/>
    <w:rsid w:val="07FC120D"/>
    <w:rsid w:val="08067398"/>
    <w:rsid w:val="08626E29"/>
    <w:rsid w:val="08791A00"/>
    <w:rsid w:val="088902E8"/>
    <w:rsid w:val="08A270C9"/>
    <w:rsid w:val="08B63F10"/>
    <w:rsid w:val="08D02756"/>
    <w:rsid w:val="08FF0187"/>
    <w:rsid w:val="092B641B"/>
    <w:rsid w:val="09310546"/>
    <w:rsid w:val="093B68B5"/>
    <w:rsid w:val="095C368B"/>
    <w:rsid w:val="09F429FB"/>
    <w:rsid w:val="0A1332DE"/>
    <w:rsid w:val="0A13340E"/>
    <w:rsid w:val="0A337DC1"/>
    <w:rsid w:val="0A3D5525"/>
    <w:rsid w:val="0A563B9E"/>
    <w:rsid w:val="0A967446"/>
    <w:rsid w:val="0AD92462"/>
    <w:rsid w:val="0ADA7309"/>
    <w:rsid w:val="0AF952A0"/>
    <w:rsid w:val="0B0C64E8"/>
    <w:rsid w:val="0B241117"/>
    <w:rsid w:val="0BBF6800"/>
    <w:rsid w:val="0BCF23F7"/>
    <w:rsid w:val="0BF7193F"/>
    <w:rsid w:val="0C013EAE"/>
    <w:rsid w:val="0C1C1BA2"/>
    <w:rsid w:val="0C3831B2"/>
    <w:rsid w:val="0C516258"/>
    <w:rsid w:val="0C5D10F3"/>
    <w:rsid w:val="0C8B3F0F"/>
    <w:rsid w:val="0C974471"/>
    <w:rsid w:val="0CB13FF3"/>
    <w:rsid w:val="0CB1489A"/>
    <w:rsid w:val="0CBE1F8E"/>
    <w:rsid w:val="0CCB2D8A"/>
    <w:rsid w:val="0CE51BA4"/>
    <w:rsid w:val="0D4A538B"/>
    <w:rsid w:val="0D5C0F8B"/>
    <w:rsid w:val="0DA718AA"/>
    <w:rsid w:val="0DDC5214"/>
    <w:rsid w:val="0E7B6D74"/>
    <w:rsid w:val="0EB23F58"/>
    <w:rsid w:val="0EBC729E"/>
    <w:rsid w:val="0EC811A0"/>
    <w:rsid w:val="0ECB3223"/>
    <w:rsid w:val="0ECB46E0"/>
    <w:rsid w:val="0EFD1C75"/>
    <w:rsid w:val="0F2B7E44"/>
    <w:rsid w:val="0F5A2EA7"/>
    <w:rsid w:val="0F8661C9"/>
    <w:rsid w:val="0FFF2314"/>
    <w:rsid w:val="10630F5B"/>
    <w:rsid w:val="10665F88"/>
    <w:rsid w:val="10B4685A"/>
    <w:rsid w:val="10B47EDD"/>
    <w:rsid w:val="11013491"/>
    <w:rsid w:val="11470880"/>
    <w:rsid w:val="1152104B"/>
    <w:rsid w:val="115A5F8B"/>
    <w:rsid w:val="12256160"/>
    <w:rsid w:val="12323E29"/>
    <w:rsid w:val="124C51BC"/>
    <w:rsid w:val="124E58FE"/>
    <w:rsid w:val="126536EF"/>
    <w:rsid w:val="12AC536E"/>
    <w:rsid w:val="12C04EAF"/>
    <w:rsid w:val="12CB3379"/>
    <w:rsid w:val="12EE2750"/>
    <w:rsid w:val="12F368B1"/>
    <w:rsid w:val="130D1EB8"/>
    <w:rsid w:val="13215B42"/>
    <w:rsid w:val="13592465"/>
    <w:rsid w:val="1364532D"/>
    <w:rsid w:val="13A85112"/>
    <w:rsid w:val="13DF6F4F"/>
    <w:rsid w:val="14051CA6"/>
    <w:rsid w:val="1414601F"/>
    <w:rsid w:val="14255A7F"/>
    <w:rsid w:val="147737A7"/>
    <w:rsid w:val="14827BCA"/>
    <w:rsid w:val="148D56A6"/>
    <w:rsid w:val="14A55891"/>
    <w:rsid w:val="14CD5969"/>
    <w:rsid w:val="15055C7F"/>
    <w:rsid w:val="15081ED3"/>
    <w:rsid w:val="15773C44"/>
    <w:rsid w:val="159267B6"/>
    <w:rsid w:val="159C3FF8"/>
    <w:rsid w:val="15EF0346"/>
    <w:rsid w:val="15FF31D8"/>
    <w:rsid w:val="16141DB7"/>
    <w:rsid w:val="161D1882"/>
    <w:rsid w:val="16832F64"/>
    <w:rsid w:val="168C1381"/>
    <w:rsid w:val="16921440"/>
    <w:rsid w:val="16C41FE1"/>
    <w:rsid w:val="16D8450A"/>
    <w:rsid w:val="16E90795"/>
    <w:rsid w:val="174E2B31"/>
    <w:rsid w:val="174F1F7C"/>
    <w:rsid w:val="1803013C"/>
    <w:rsid w:val="18096263"/>
    <w:rsid w:val="18483FB1"/>
    <w:rsid w:val="184D663F"/>
    <w:rsid w:val="18B06CB8"/>
    <w:rsid w:val="18BB4963"/>
    <w:rsid w:val="18C74C4E"/>
    <w:rsid w:val="18FB5F6E"/>
    <w:rsid w:val="1902112B"/>
    <w:rsid w:val="191D49AE"/>
    <w:rsid w:val="19A110E6"/>
    <w:rsid w:val="19BD767D"/>
    <w:rsid w:val="19E22D40"/>
    <w:rsid w:val="1A017B00"/>
    <w:rsid w:val="1A1D00D5"/>
    <w:rsid w:val="1A2C3E5B"/>
    <w:rsid w:val="1A322377"/>
    <w:rsid w:val="1A331B52"/>
    <w:rsid w:val="1A423C53"/>
    <w:rsid w:val="1A495C86"/>
    <w:rsid w:val="1A7B7184"/>
    <w:rsid w:val="1A966D2E"/>
    <w:rsid w:val="1AC96F92"/>
    <w:rsid w:val="1AF96F59"/>
    <w:rsid w:val="1B1A2101"/>
    <w:rsid w:val="1B2C7140"/>
    <w:rsid w:val="1B8850A8"/>
    <w:rsid w:val="1B9F2CD7"/>
    <w:rsid w:val="1BD82076"/>
    <w:rsid w:val="1BE82701"/>
    <w:rsid w:val="1BF95358"/>
    <w:rsid w:val="1BFD7962"/>
    <w:rsid w:val="1C230B2D"/>
    <w:rsid w:val="1C321E98"/>
    <w:rsid w:val="1C3A2A9E"/>
    <w:rsid w:val="1C452BAA"/>
    <w:rsid w:val="1C7A583D"/>
    <w:rsid w:val="1C7E28A8"/>
    <w:rsid w:val="1C996F6B"/>
    <w:rsid w:val="1CEF5655"/>
    <w:rsid w:val="1D16290A"/>
    <w:rsid w:val="1D217AE8"/>
    <w:rsid w:val="1D4A399E"/>
    <w:rsid w:val="1D7F1AF1"/>
    <w:rsid w:val="1D85340C"/>
    <w:rsid w:val="1DB56372"/>
    <w:rsid w:val="1DC0444F"/>
    <w:rsid w:val="1DE42D56"/>
    <w:rsid w:val="1E54325B"/>
    <w:rsid w:val="1E755173"/>
    <w:rsid w:val="1EBA5E2B"/>
    <w:rsid w:val="1EE37ED0"/>
    <w:rsid w:val="1F305B4D"/>
    <w:rsid w:val="1FE443E7"/>
    <w:rsid w:val="20047356"/>
    <w:rsid w:val="203F7955"/>
    <w:rsid w:val="207B1AB3"/>
    <w:rsid w:val="20C31AC7"/>
    <w:rsid w:val="213E721E"/>
    <w:rsid w:val="215167E4"/>
    <w:rsid w:val="216A6125"/>
    <w:rsid w:val="21B843D9"/>
    <w:rsid w:val="21EA62EB"/>
    <w:rsid w:val="22083E51"/>
    <w:rsid w:val="221377C9"/>
    <w:rsid w:val="221A7232"/>
    <w:rsid w:val="221B322D"/>
    <w:rsid w:val="22316A8B"/>
    <w:rsid w:val="224042CD"/>
    <w:rsid w:val="224A368B"/>
    <w:rsid w:val="228355CA"/>
    <w:rsid w:val="22BE48E0"/>
    <w:rsid w:val="22E763E7"/>
    <w:rsid w:val="2302564C"/>
    <w:rsid w:val="23146CA5"/>
    <w:rsid w:val="234A74A5"/>
    <w:rsid w:val="23681488"/>
    <w:rsid w:val="236C589C"/>
    <w:rsid w:val="23791DFB"/>
    <w:rsid w:val="239337B6"/>
    <w:rsid w:val="23A9417A"/>
    <w:rsid w:val="23B7280F"/>
    <w:rsid w:val="23F9346F"/>
    <w:rsid w:val="242A13D4"/>
    <w:rsid w:val="249C4D10"/>
    <w:rsid w:val="24DC6041"/>
    <w:rsid w:val="24EE2270"/>
    <w:rsid w:val="24F02BC1"/>
    <w:rsid w:val="24FF6042"/>
    <w:rsid w:val="2511704C"/>
    <w:rsid w:val="252F4101"/>
    <w:rsid w:val="252F4627"/>
    <w:rsid w:val="252F6154"/>
    <w:rsid w:val="25656A25"/>
    <w:rsid w:val="2567784B"/>
    <w:rsid w:val="257E6E58"/>
    <w:rsid w:val="25816870"/>
    <w:rsid w:val="258D7931"/>
    <w:rsid w:val="25991012"/>
    <w:rsid w:val="25A355D1"/>
    <w:rsid w:val="25DF344B"/>
    <w:rsid w:val="260D2BCC"/>
    <w:rsid w:val="269272BA"/>
    <w:rsid w:val="269B7E31"/>
    <w:rsid w:val="26B64AC7"/>
    <w:rsid w:val="26E26F1B"/>
    <w:rsid w:val="26FF3DC4"/>
    <w:rsid w:val="27051EFA"/>
    <w:rsid w:val="2756117E"/>
    <w:rsid w:val="282C5FBE"/>
    <w:rsid w:val="282F3B79"/>
    <w:rsid w:val="283956A8"/>
    <w:rsid w:val="283B7736"/>
    <w:rsid w:val="28552F45"/>
    <w:rsid w:val="28721659"/>
    <w:rsid w:val="28925148"/>
    <w:rsid w:val="28B95567"/>
    <w:rsid w:val="29101C48"/>
    <w:rsid w:val="297D3AB0"/>
    <w:rsid w:val="29A04C57"/>
    <w:rsid w:val="29A95C2E"/>
    <w:rsid w:val="29D81534"/>
    <w:rsid w:val="2A4B2692"/>
    <w:rsid w:val="2A5D4158"/>
    <w:rsid w:val="2A7C099F"/>
    <w:rsid w:val="2A987BB9"/>
    <w:rsid w:val="2AA60C6A"/>
    <w:rsid w:val="2AAD5454"/>
    <w:rsid w:val="2AE476F0"/>
    <w:rsid w:val="2AFB27A6"/>
    <w:rsid w:val="2B1C14C3"/>
    <w:rsid w:val="2B28612B"/>
    <w:rsid w:val="2B2B5A34"/>
    <w:rsid w:val="2B393F0C"/>
    <w:rsid w:val="2B520E96"/>
    <w:rsid w:val="2B73385E"/>
    <w:rsid w:val="2B761914"/>
    <w:rsid w:val="2BA25F45"/>
    <w:rsid w:val="2BAB3BDA"/>
    <w:rsid w:val="2BB052E5"/>
    <w:rsid w:val="2BFA20F2"/>
    <w:rsid w:val="2C131622"/>
    <w:rsid w:val="2C147130"/>
    <w:rsid w:val="2C683917"/>
    <w:rsid w:val="2CE52FBD"/>
    <w:rsid w:val="2D254D25"/>
    <w:rsid w:val="2D8557DD"/>
    <w:rsid w:val="2DA03CE2"/>
    <w:rsid w:val="2DD01CB0"/>
    <w:rsid w:val="2DD57ECD"/>
    <w:rsid w:val="2E054178"/>
    <w:rsid w:val="2E485C02"/>
    <w:rsid w:val="2E603E9A"/>
    <w:rsid w:val="2E7442AA"/>
    <w:rsid w:val="2E812FF3"/>
    <w:rsid w:val="2EA15DC8"/>
    <w:rsid w:val="2EB87831"/>
    <w:rsid w:val="2ED51A6E"/>
    <w:rsid w:val="2EE44F12"/>
    <w:rsid w:val="2F1C57A5"/>
    <w:rsid w:val="2FA7707A"/>
    <w:rsid w:val="30091271"/>
    <w:rsid w:val="300E7853"/>
    <w:rsid w:val="30365FB7"/>
    <w:rsid w:val="3047517C"/>
    <w:rsid w:val="304F440F"/>
    <w:rsid w:val="308F5B79"/>
    <w:rsid w:val="30C308AC"/>
    <w:rsid w:val="30DB4096"/>
    <w:rsid w:val="30E913A6"/>
    <w:rsid w:val="31127973"/>
    <w:rsid w:val="311F0538"/>
    <w:rsid w:val="31306CB2"/>
    <w:rsid w:val="319B067F"/>
    <w:rsid w:val="31AB79A4"/>
    <w:rsid w:val="31C418C9"/>
    <w:rsid w:val="31F37003"/>
    <w:rsid w:val="31F70B57"/>
    <w:rsid w:val="31F9233C"/>
    <w:rsid w:val="324F0800"/>
    <w:rsid w:val="32554E2E"/>
    <w:rsid w:val="3262580A"/>
    <w:rsid w:val="32661595"/>
    <w:rsid w:val="32784055"/>
    <w:rsid w:val="327F2242"/>
    <w:rsid w:val="328C72C2"/>
    <w:rsid w:val="3305611D"/>
    <w:rsid w:val="33122EA7"/>
    <w:rsid w:val="33882EA3"/>
    <w:rsid w:val="33B14FB2"/>
    <w:rsid w:val="340E6C58"/>
    <w:rsid w:val="341C2F63"/>
    <w:rsid w:val="34382116"/>
    <w:rsid w:val="34506F6B"/>
    <w:rsid w:val="34545DD8"/>
    <w:rsid w:val="34681E37"/>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525F3"/>
    <w:rsid w:val="36CE5C1C"/>
    <w:rsid w:val="36EC6B02"/>
    <w:rsid w:val="37500C05"/>
    <w:rsid w:val="376406C6"/>
    <w:rsid w:val="378E5E01"/>
    <w:rsid w:val="37E01B24"/>
    <w:rsid w:val="38210BA8"/>
    <w:rsid w:val="38312E6C"/>
    <w:rsid w:val="38B45EFC"/>
    <w:rsid w:val="38D036A4"/>
    <w:rsid w:val="38FA3EAE"/>
    <w:rsid w:val="38FC1F15"/>
    <w:rsid w:val="39792C93"/>
    <w:rsid w:val="398D0AC5"/>
    <w:rsid w:val="399D3133"/>
    <w:rsid w:val="39AF31BE"/>
    <w:rsid w:val="39CB06F7"/>
    <w:rsid w:val="39E723D3"/>
    <w:rsid w:val="3A776491"/>
    <w:rsid w:val="3A8E3775"/>
    <w:rsid w:val="3A9369B8"/>
    <w:rsid w:val="3ABA2B52"/>
    <w:rsid w:val="3ADD407B"/>
    <w:rsid w:val="3AE97D6B"/>
    <w:rsid w:val="3B187EF4"/>
    <w:rsid w:val="3B264B22"/>
    <w:rsid w:val="3B2D31FB"/>
    <w:rsid w:val="3B2E26A9"/>
    <w:rsid w:val="3B8E3C6C"/>
    <w:rsid w:val="3B9C4230"/>
    <w:rsid w:val="3C1C5FDB"/>
    <w:rsid w:val="3C422011"/>
    <w:rsid w:val="3C4E4BA9"/>
    <w:rsid w:val="3C795128"/>
    <w:rsid w:val="3C7D3CB0"/>
    <w:rsid w:val="3C945444"/>
    <w:rsid w:val="3C967255"/>
    <w:rsid w:val="3CEF665D"/>
    <w:rsid w:val="3CF70FDA"/>
    <w:rsid w:val="3D336A2D"/>
    <w:rsid w:val="3D457CC8"/>
    <w:rsid w:val="3D531014"/>
    <w:rsid w:val="3D5C50E1"/>
    <w:rsid w:val="3D64203D"/>
    <w:rsid w:val="3DC61E40"/>
    <w:rsid w:val="3E046DF3"/>
    <w:rsid w:val="3E714ACE"/>
    <w:rsid w:val="3E765A8E"/>
    <w:rsid w:val="3E8D145E"/>
    <w:rsid w:val="3E9720C5"/>
    <w:rsid w:val="3E9D780F"/>
    <w:rsid w:val="3EBB4A08"/>
    <w:rsid w:val="3F3275E2"/>
    <w:rsid w:val="3FE111C3"/>
    <w:rsid w:val="40223343"/>
    <w:rsid w:val="403E06F0"/>
    <w:rsid w:val="405E2328"/>
    <w:rsid w:val="40B4502A"/>
    <w:rsid w:val="40B85AAA"/>
    <w:rsid w:val="40BE6619"/>
    <w:rsid w:val="40D413F9"/>
    <w:rsid w:val="40FE59B1"/>
    <w:rsid w:val="413F63EF"/>
    <w:rsid w:val="415B5DA1"/>
    <w:rsid w:val="41666DD5"/>
    <w:rsid w:val="416E350A"/>
    <w:rsid w:val="418055AE"/>
    <w:rsid w:val="419903CA"/>
    <w:rsid w:val="41B64A78"/>
    <w:rsid w:val="41B8516B"/>
    <w:rsid w:val="41DD49C0"/>
    <w:rsid w:val="41FC0550"/>
    <w:rsid w:val="42265CA1"/>
    <w:rsid w:val="42B2150D"/>
    <w:rsid w:val="42B7677D"/>
    <w:rsid w:val="42BC355E"/>
    <w:rsid w:val="42BD701F"/>
    <w:rsid w:val="431D644D"/>
    <w:rsid w:val="43592917"/>
    <w:rsid w:val="437A0AD7"/>
    <w:rsid w:val="43CC1B19"/>
    <w:rsid w:val="43DD6A08"/>
    <w:rsid w:val="43F75005"/>
    <w:rsid w:val="44147686"/>
    <w:rsid w:val="442A0FF7"/>
    <w:rsid w:val="44595EFE"/>
    <w:rsid w:val="44A83992"/>
    <w:rsid w:val="44F41C1A"/>
    <w:rsid w:val="455D6192"/>
    <w:rsid w:val="457573C4"/>
    <w:rsid w:val="45FC1F89"/>
    <w:rsid w:val="46447AD0"/>
    <w:rsid w:val="4667667C"/>
    <w:rsid w:val="46AA52FF"/>
    <w:rsid w:val="46B9747D"/>
    <w:rsid w:val="46F751BF"/>
    <w:rsid w:val="46FE1966"/>
    <w:rsid w:val="474D3E16"/>
    <w:rsid w:val="47A0155D"/>
    <w:rsid w:val="47AD1197"/>
    <w:rsid w:val="47D0027D"/>
    <w:rsid w:val="47E710FB"/>
    <w:rsid w:val="47ED349E"/>
    <w:rsid w:val="484A6384"/>
    <w:rsid w:val="48A736AC"/>
    <w:rsid w:val="48AA6358"/>
    <w:rsid w:val="48C10F7C"/>
    <w:rsid w:val="48D30C8F"/>
    <w:rsid w:val="48F93679"/>
    <w:rsid w:val="49064491"/>
    <w:rsid w:val="49151A34"/>
    <w:rsid w:val="493E0515"/>
    <w:rsid w:val="49665DCB"/>
    <w:rsid w:val="49755BE2"/>
    <w:rsid w:val="499317B2"/>
    <w:rsid w:val="49974E74"/>
    <w:rsid w:val="4A405D23"/>
    <w:rsid w:val="4A4D2829"/>
    <w:rsid w:val="4AF10804"/>
    <w:rsid w:val="4B8E56C3"/>
    <w:rsid w:val="4BC26AB1"/>
    <w:rsid w:val="4BC60A62"/>
    <w:rsid w:val="4BF054CF"/>
    <w:rsid w:val="4C256976"/>
    <w:rsid w:val="4C4D6998"/>
    <w:rsid w:val="4CAE2606"/>
    <w:rsid w:val="4CE63047"/>
    <w:rsid w:val="4D18297E"/>
    <w:rsid w:val="4D1C536A"/>
    <w:rsid w:val="4D634E6D"/>
    <w:rsid w:val="4D757618"/>
    <w:rsid w:val="4DB4225E"/>
    <w:rsid w:val="4DCB06A1"/>
    <w:rsid w:val="4DD8672F"/>
    <w:rsid w:val="4DEC6549"/>
    <w:rsid w:val="4DED2F93"/>
    <w:rsid w:val="4E066D6F"/>
    <w:rsid w:val="4E0F558F"/>
    <w:rsid w:val="4E126F73"/>
    <w:rsid w:val="4E4F40EB"/>
    <w:rsid w:val="4F1C43FC"/>
    <w:rsid w:val="4F490783"/>
    <w:rsid w:val="4F6D0B44"/>
    <w:rsid w:val="4F833E54"/>
    <w:rsid w:val="4F9010E9"/>
    <w:rsid w:val="4FB10EBA"/>
    <w:rsid w:val="50345C2D"/>
    <w:rsid w:val="505E2BEF"/>
    <w:rsid w:val="50692AA8"/>
    <w:rsid w:val="50780873"/>
    <w:rsid w:val="50A81AB3"/>
    <w:rsid w:val="50B46B12"/>
    <w:rsid w:val="50B60C68"/>
    <w:rsid w:val="50D12CB7"/>
    <w:rsid w:val="51373F3D"/>
    <w:rsid w:val="5146779C"/>
    <w:rsid w:val="519B18BA"/>
    <w:rsid w:val="51A572CF"/>
    <w:rsid w:val="52251CDC"/>
    <w:rsid w:val="52AD691E"/>
    <w:rsid w:val="53303C26"/>
    <w:rsid w:val="53371E29"/>
    <w:rsid w:val="533B4B7B"/>
    <w:rsid w:val="53402AB0"/>
    <w:rsid w:val="53A51F4E"/>
    <w:rsid w:val="54156484"/>
    <w:rsid w:val="54A309A3"/>
    <w:rsid w:val="54B56A54"/>
    <w:rsid w:val="54D53CF9"/>
    <w:rsid w:val="54F04A8C"/>
    <w:rsid w:val="55122095"/>
    <w:rsid w:val="552175DB"/>
    <w:rsid w:val="553923F2"/>
    <w:rsid w:val="553A0B70"/>
    <w:rsid w:val="55581881"/>
    <w:rsid w:val="555B511B"/>
    <w:rsid w:val="558001AF"/>
    <w:rsid w:val="55820C74"/>
    <w:rsid w:val="55881C3C"/>
    <w:rsid w:val="559C563E"/>
    <w:rsid w:val="55AF28BB"/>
    <w:rsid w:val="55AF453B"/>
    <w:rsid w:val="55DB79C3"/>
    <w:rsid w:val="55E15654"/>
    <w:rsid w:val="55FB7588"/>
    <w:rsid w:val="55FD58E3"/>
    <w:rsid w:val="564101F4"/>
    <w:rsid w:val="56485B07"/>
    <w:rsid w:val="572F1107"/>
    <w:rsid w:val="57351C2A"/>
    <w:rsid w:val="573804ED"/>
    <w:rsid w:val="57562B24"/>
    <w:rsid w:val="575E648A"/>
    <w:rsid w:val="57F80AD4"/>
    <w:rsid w:val="580C06C3"/>
    <w:rsid w:val="581B40F7"/>
    <w:rsid w:val="58212024"/>
    <w:rsid w:val="58565344"/>
    <w:rsid w:val="58695F8B"/>
    <w:rsid w:val="589543F5"/>
    <w:rsid w:val="589B2E3D"/>
    <w:rsid w:val="58FF419C"/>
    <w:rsid w:val="59E473B7"/>
    <w:rsid w:val="5A4C1882"/>
    <w:rsid w:val="5A9B3313"/>
    <w:rsid w:val="5AC75529"/>
    <w:rsid w:val="5AF22F7E"/>
    <w:rsid w:val="5AFB32E9"/>
    <w:rsid w:val="5B163AB7"/>
    <w:rsid w:val="5BA07BB6"/>
    <w:rsid w:val="5BBE35F6"/>
    <w:rsid w:val="5BF46E77"/>
    <w:rsid w:val="5C0B1CE7"/>
    <w:rsid w:val="5C3D28FB"/>
    <w:rsid w:val="5C3E5A4E"/>
    <w:rsid w:val="5C5A7D01"/>
    <w:rsid w:val="5C6504C2"/>
    <w:rsid w:val="5CA4442A"/>
    <w:rsid w:val="5CC81B5D"/>
    <w:rsid w:val="5CFA0810"/>
    <w:rsid w:val="5D04395F"/>
    <w:rsid w:val="5D273630"/>
    <w:rsid w:val="5D603CFB"/>
    <w:rsid w:val="5DF16C05"/>
    <w:rsid w:val="5EB3743D"/>
    <w:rsid w:val="5ED54196"/>
    <w:rsid w:val="5EF2010E"/>
    <w:rsid w:val="5EFB6C0F"/>
    <w:rsid w:val="5F2B66BC"/>
    <w:rsid w:val="5F7C69AE"/>
    <w:rsid w:val="5FE5038D"/>
    <w:rsid w:val="5FFA05F2"/>
    <w:rsid w:val="60746409"/>
    <w:rsid w:val="610604C2"/>
    <w:rsid w:val="613578D2"/>
    <w:rsid w:val="616F4630"/>
    <w:rsid w:val="61755069"/>
    <w:rsid w:val="618D0E1A"/>
    <w:rsid w:val="619726CA"/>
    <w:rsid w:val="619C1CA6"/>
    <w:rsid w:val="62087795"/>
    <w:rsid w:val="62127CF0"/>
    <w:rsid w:val="62990BC5"/>
    <w:rsid w:val="629D1B22"/>
    <w:rsid w:val="62B76201"/>
    <w:rsid w:val="630E6F66"/>
    <w:rsid w:val="63377DE5"/>
    <w:rsid w:val="63637DD7"/>
    <w:rsid w:val="636A4CC5"/>
    <w:rsid w:val="639C65AB"/>
    <w:rsid w:val="63A50FB0"/>
    <w:rsid w:val="63B36BB8"/>
    <w:rsid w:val="63CE30A4"/>
    <w:rsid w:val="6407165B"/>
    <w:rsid w:val="640B7184"/>
    <w:rsid w:val="6422350D"/>
    <w:rsid w:val="64655912"/>
    <w:rsid w:val="646B39F5"/>
    <w:rsid w:val="64925F66"/>
    <w:rsid w:val="64A34846"/>
    <w:rsid w:val="64CF131C"/>
    <w:rsid w:val="64EB3E8B"/>
    <w:rsid w:val="651971E4"/>
    <w:rsid w:val="65395C11"/>
    <w:rsid w:val="65502555"/>
    <w:rsid w:val="656C3ACF"/>
    <w:rsid w:val="65771F5A"/>
    <w:rsid w:val="657F4878"/>
    <w:rsid w:val="659623AE"/>
    <w:rsid w:val="65D76095"/>
    <w:rsid w:val="66357CC3"/>
    <w:rsid w:val="66567ECF"/>
    <w:rsid w:val="66F918C9"/>
    <w:rsid w:val="67510120"/>
    <w:rsid w:val="675D5DDD"/>
    <w:rsid w:val="676F2D16"/>
    <w:rsid w:val="678154B0"/>
    <w:rsid w:val="679270B1"/>
    <w:rsid w:val="67C938D3"/>
    <w:rsid w:val="67FB2AC4"/>
    <w:rsid w:val="681A3FD0"/>
    <w:rsid w:val="68560087"/>
    <w:rsid w:val="68706A96"/>
    <w:rsid w:val="68A736CF"/>
    <w:rsid w:val="68BA3798"/>
    <w:rsid w:val="690D0368"/>
    <w:rsid w:val="692F6410"/>
    <w:rsid w:val="696206A1"/>
    <w:rsid w:val="699F11FC"/>
    <w:rsid w:val="69AE7355"/>
    <w:rsid w:val="69B073A7"/>
    <w:rsid w:val="69FF7CBD"/>
    <w:rsid w:val="6A1F2DBC"/>
    <w:rsid w:val="6A1F7487"/>
    <w:rsid w:val="6A47529D"/>
    <w:rsid w:val="6A5A6DA2"/>
    <w:rsid w:val="6AB102D8"/>
    <w:rsid w:val="6AB67BD1"/>
    <w:rsid w:val="6AF61310"/>
    <w:rsid w:val="6B185E57"/>
    <w:rsid w:val="6B1F0F58"/>
    <w:rsid w:val="6B225547"/>
    <w:rsid w:val="6B413A50"/>
    <w:rsid w:val="6B4E468F"/>
    <w:rsid w:val="6B7364E7"/>
    <w:rsid w:val="6B9F4B52"/>
    <w:rsid w:val="6BBE1FFB"/>
    <w:rsid w:val="6BC270A7"/>
    <w:rsid w:val="6BD94BEF"/>
    <w:rsid w:val="6BEE750B"/>
    <w:rsid w:val="6C0040EC"/>
    <w:rsid w:val="6C106630"/>
    <w:rsid w:val="6C44161C"/>
    <w:rsid w:val="6C555DCE"/>
    <w:rsid w:val="6C640C01"/>
    <w:rsid w:val="6C6727E7"/>
    <w:rsid w:val="6CC25408"/>
    <w:rsid w:val="6CD771B7"/>
    <w:rsid w:val="6DA52666"/>
    <w:rsid w:val="6DB0368A"/>
    <w:rsid w:val="6E0E48E8"/>
    <w:rsid w:val="6E5957F8"/>
    <w:rsid w:val="6E5B6713"/>
    <w:rsid w:val="6E745C87"/>
    <w:rsid w:val="6E91041D"/>
    <w:rsid w:val="6EA37E0E"/>
    <w:rsid w:val="6F082A05"/>
    <w:rsid w:val="6F24244B"/>
    <w:rsid w:val="6F5632F9"/>
    <w:rsid w:val="6F6D34BB"/>
    <w:rsid w:val="6FAD572A"/>
    <w:rsid w:val="6FB45A58"/>
    <w:rsid w:val="6FDC2C2E"/>
    <w:rsid w:val="6FF91E82"/>
    <w:rsid w:val="705333AE"/>
    <w:rsid w:val="70707FBB"/>
    <w:rsid w:val="70AD37B3"/>
    <w:rsid w:val="70C06C6D"/>
    <w:rsid w:val="70DA6CC6"/>
    <w:rsid w:val="7114337A"/>
    <w:rsid w:val="712E0A5D"/>
    <w:rsid w:val="7174769D"/>
    <w:rsid w:val="7233340C"/>
    <w:rsid w:val="732B5D85"/>
    <w:rsid w:val="732F6BCB"/>
    <w:rsid w:val="73426175"/>
    <w:rsid w:val="73551588"/>
    <w:rsid w:val="73683760"/>
    <w:rsid w:val="73882121"/>
    <w:rsid w:val="73D81B5D"/>
    <w:rsid w:val="73E31C2F"/>
    <w:rsid w:val="741719F8"/>
    <w:rsid w:val="74832F2C"/>
    <w:rsid w:val="7557332E"/>
    <w:rsid w:val="7594440B"/>
    <w:rsid w:val="7597473F"/>
    <w:rsid w:val="76A1003E"/>
    <w:rsid w:val="76A65BE9"/>
    <w:rsid w:val="76E250EE"/>
    <w:rsid w:val="76EE7804"/>
    <w:rsid w:val="76F76032"/>
    <w:rsid w:val="773D2732"/>
    <w:rsid w:val="775C7F94"/>
    <w:rsid w:val="77B32B86"/>
    <w:rsid w:val="77BE293A"/>
    <w:rsid w:val="77DD305B"/>
    <w:rsid w:val="78397A44"/>
    <w:rsid w:val="78601282"/>
    <w:rsid w:val="789C2226"/>
    <w:rsid w:val="78EA0FC2"/>
    <w:rsid w:val="78F92F7D"/>
    <w:rsid w:val="7916292F"/>
    <w:rsid w:val="791647E8"/>
    <w:rsid w:val="795B2256"/>
    <w:rsid w:val="79F628A4"/>
    <w:rsid w:val="7A1A522E"/>
    <w:rsid w:val="7A650A81"/>
    <w:rsid w:val="7A686D7F"/>
    <w:rsid w:val="7A7D7D68"/>
    <w:rsid w:val="7AA81F8D"/>
    <w:rsid w:val="7B53443D"/>
    <w:rsid w:val="7B5B16CF"/>
    <w:rsid w:val="7BB17143"/>
    <w:rsid w:val="7C1203A8"/>
    <w:rsid w:val="7C3F2CC5"/>
    <w:rsid w:val="7C531E48"/>
    <w:rsid w:val="7C9114C5"/>
    <w:rsid w:val="7CFD7685"/>
    <w:rsid w:val="7D0C3BC9"/>
    <w:rsid w:val="7D196BB9"/>
    <w:rsid w:val="7D6A6C42"/>
    <w:rsid w:val="7D7C004F"/>
    <w:rsid w:val="7D8F0802"/>
    <w:rsid w:val="7D9267F6"/>
    <w:rsid w:val="7E1629E2"/>
    <w:rsid w:val="7E283795"/>
    <w:rsid w:val="7E456548"/>
    <w:rsid w:val="7E597058"/>
    <w:rsid w:val="7EA14EF3"/>
    <w:rsid w:val="7ECD4F81"/>
    <w:rsid w:val="7EF1633B"/>
    <w:rsid w:val="7F3313DA"/>
    <w:rsid w:val="7F60327F"/>
    <w:rsid w:val="7F9B51B5"/>
    <w:rsid w:val="7FAB1D9B"/>
    <w:rsid w:val="7FBA11AD"/>
    <w:rsid w:val="7FC5019C"/>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next w:val="5"/>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5">
    <w:name w:val="表格文字"/>
    <w:basedOn w:val="1"/>
    <w:qFormat/>
    <w:uiPriority w:val="0"/>
    <w:pPr>
      <w:spacing w:line="360" w:lineRule="exact"/>
      <w:jc w:val="center"/>
    </w:pPr>
    <w:rPr>
      <w:szCs w:val="20"/>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Indent"/>
    <w:basedOn w:val="1"/>
    <w:next w:val="11"/>
    <w:unhideWhenUsed/>
    <w:qFormat/>
    <w:uiPriority w:val="0"/>
    <w:pPr>
      <w:ind w:left="420" w:leftChars="200"/>
    </w:pPr>
  </w:style>
  <w:style w:type="paragraph" w:styleId="11">
    <w:name w:val="envelope return"/>
    <w:basedOn w:val="1"/>
    <w:unhideWhenUsed/>
    <w:qFormat/>
    <w:uiPriority w:val="99"/>
    <w:pPr>
      <w:snapToGrid w:val="0"/>
      <w:spacing w:line="360" w:lineRule="auto"/>
    </w:pPr>
    <w:rPr>
      <w:rFonts w:ascii="Arial" w:hAnsi="Arial" w:cs="Arial"/>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2"/>
    <w:basedOn w:val="10"/>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7"/>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8"/>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 w:type="character" w:customStyle="1" w:styleId="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11816</Words>
  <Characters>12373</Characters>
  <Lines>0</Lines>
  <Paragraphs>0</Paragraphs>
  <TotalTime>6</TotalTime>
  <ScaleCrop>false</ScaleCrop>
  <LinksUpToDate>false</LinksUpToDate>
  <CharactersWithSpaces>13359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2022-05-26T06:53:00Z</cp:lastPrinted>
  <dcterms:modified xsi:type="dcterms:W3CDTF">2022-09-30T09:27:53Z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8F8E893044E04B668A87AE286F40BDE5</vt:lpwstr>
  </property>
  <property fmtid="{D5CDD505-2E9C-101B-9397-08002B2CF9AE}" pid="4" name="commondata">
    <vt:lpwstr>eyJoZGlkIjoiOTNiYmRmNDdhZjY0ZjMyZjEyODNmNDgzNjAxNjAyYzYifQ==</vt:lpwstr>
  </property>
</Properties>
</file>