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rPr>
          <w:rFonts w:hint="eastAsia"/>
          <w:highlight w:val="none"/>
          <w:lang w:val="en-US" w:eastAsia="zh-CN"/>
        </w:rPr>
      </w:pPr>
    </w:p>
    <w:p>
      <w:pPr>
        <w:pStyle w:val="17"/>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4"/>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7"/>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244" w:leftChars="304" w:right="0" w:rightChars="0" w:hanging="1606" w:hangingChars="500"/>
        <w:jc w:val="both"/>
        <w:textAlignment w:val="auto"/>
        <w:outlineLvl w:val="9"/>
        <w:rPr>
          <w:rFonts w:hint="default"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2022年霍山石斛良种繁育基地配套设施采购项目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bookmarkStart w:id="84" w:name="_GoBack"/>
      <w:bookmarkEnd w:id="84"/>
      <w:r>
        <w:rPr>
          <w:rFonts w:hint="eastAsia" w:ascii="宋体" w:hAnsi="等线" w:cs="Times New Roman"/>
          <w:b/>
          <w:bCs/>
          <w:color w:val="auto"/>
          <w:spacing w:val="0"/>
          <w:kern w:val="0"/>
          <w:sz w:val="32"/>
          <w:szCs w:val="32"/>
          <w:highlight w:val="none"/>
          <w:lang w:eastAsia="zh-CN"/>
        </w:rPr>
        <w:t>DBSCG-2022-</w:t>
      </w:r>
      <w:r>
        <w:rPr>
          <w:rFonts w:hint="eastAsia" w:ascii="宋体" w:hAnsi="等线" w:cs="Times New Roman"/>
          <w:b/>
          <w:bCs/>
          <w:color w:val="auto"/>
          <w:spacing w:val="0"/>
          <w:kern w:val="0"/>
          <w:sz w:val="32"/>
          <w:szCs w:val="32"/>
          <w:highlight w:val="none"/>
          <w:lang w:val="en-US" w:eastAsia="zh-CN"/>
        </w:rPr>
        <w:t>118</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霍山县长冲中药材开发有限公司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cs="宋体"/>
          <w:b/>
          <w:color w:val="auto"/>
          <w:spacing w:val="0"/>
          <w:kern w:val="0"/>
          <w:sz w:val="32"/>
          <w:szCs w:val="32"/>
          <w:highlight w:val="none"/>
          <w:u w:val="none"/>
          <w:lang w:eastAsia="zh-CN"/>
        </w:rPr>
        <w:t>二0二二</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九月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216158623"/>
      <w:bookmarkStart w:id="2" w:name="_Toc363199264"/>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sectPr>
          <w:headerReference r:id="rId3" w:type="default"/>
          <w:footerReference r:id="rId4"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pPr>
    </w:p>
    <w:p>
      <w:pPr>
        <w:pStyle w:val="17"/>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供应商对疑问提交时间、补遗时间、答疑时间等安排如有异议，或对投标截止时间及开标时间等安排如有异议，请以供应商须知前附表规定的时间内，以书面形式告知本公司并说明原因，如未提出异议的，视同默认招标文件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4"/>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6</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2</w:t>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2</w:t>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4" w:name="_Toc4288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eastAsia="宋体" w:cs="宋体"/>
          <w:b/>
          <w:color w:val="auto"/>
          <w:kern w:val="0"/>
          <w:sz w:val="32"/>
          <w:szCs w:val="32"/>
          <w:highlight w:val="none"/>
          <w:lang w:val="en-US" w:eastAsia="zh-CN" w:bidi="ar-SA"/>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5" w:name="_Toc14824_WPSOffice_Level1"/>
      <w:r>
        <w:rPr>
          <w:rFonts w:hint="eastAsia" w:ascii="宋体" w:hAnsi="宋体" w:cs="宋体"/>
          <w:b/>
          <w:color w:val="auto"/>
          <w:kern w:val="0"/>
          <w:sz w:val="32"/>
          <w:szCs w:val="32"/>
          <w:highlight w:val="none"/>
          <w:lang w:val="en-US" w:eastAsia="zh-CN" w:bidi="ar-SA"/>
        </w:rPr>
        <w:t>2022 年霍山石斛良种繁育基地配套设施采购项目</w:t>
      </w:r>
      <w:r>
        <w:rPr>
          <w:rFonts w:hint="eastAsia" w:ascii="宋体" w:hAnsi="宋体" w:eastAsia="宋体" w:cs="宋体"/>
          <w:b/>
          <w:color w:val="auto"/>
          <w:kern w:val="0"/>
          <w:sz w:val="32"/>
          <w:szCs w:val="32"/>
          <w:highlight w:val="none"/>
          <w:lang w:val="en-US" w:eastAsia="zh-CN" w:bidi="ar-SA"/>
        </w:rPr>
        <w:t>询价公告</w:t>
      </w:r>
      <w:bookmarkEnd w:id="5"/>
    </w:p>
    <w:p>
      <w:pPr>
        <w:pStyle w:val="17"/>
        <w:keepNext w:val="0"/>
        <w:keepLines w:val="0"/>
        <w:pageBreakBefore w:val="0"/>
        <w:widowControl w:val="0"/>
        <w:kinsoku/>
        <w:wordWrap/>
        <w:overflowPunct/>
        <w:topLinePunct w:val="0"/>
        <w:autoSpaceDE/>
        <w:autoSpaceDN/>
        <w:bidi w:val="0"/>
        <w:adjustRightInd/>
        <w:snapToGrid/>
        <w:spacing w:line="200" w:lineRule="exact"/>
        <w:ind w:firstLine="425"/>
        <w:textAlignment w:val="auto"/>
        <w:rPr>
          <w:rFonts w:hint="eastAsia"/>
          <w:lang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94" w:beforeAutospacing="0" w:after="194" w:afterAutospacing="0" w:line="360" w:lineRule="auto"/>
        <w:ind w:left="0" w:right="0" w:firstLine="42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霍山县长冲中药材开发有限公司</w:t>
      </w:r>
      <w:r>
        <w:rPr>
          <w:rFonts w:hint="eastAsia" w:ascii="宋体" w:hAnsi="宋体" w:eastAsia="宋体" w:cs="宋体"/>
          <w:i w:val="0"/>
          <w:caps w:val="0"/>
          <w:color w:val="auto"/>
          <w:spacing w:val="0"/>
          <w:sz w:val="21"/>
          <w:szCs w:val="21"/>
          <w:highlight w:val="none"/>
          <w:shd w:val="clear" w:color="auto" w:fill="FFFFFF"/>
        </w:rPr>
        <w:t>的委托，</w:t>
      </w:r>
      <w:r>
        <w:rPr>
          <w:rFonts w:hint="eastAsia" w:ascii="宋体" w:hAnsi="宋体" w:cs="宋体"/>
          <w:i w:val="0"/>
          <w:caps w:val="0"/>
          <w:color w:val="auto"/>
          <w:spacing w:val="0"/>
          <w:sz w:val="21"/>
          <w:szCs w:val="21"/>
          <w:highlight w:val="none"/>
          <w:shd w:val="clear" w:color="auto" w:fill="FFFFFF"/>
          <w:lang w:val="en-US" w:eastAsia="zh-CN"/>
        </w:rPr>
        <w:t>代理</w:t>
      </w:r>
      <w:r>
        <w:rPr>
          <w:rFonts w:hint="eastAsia" w:ascii="宋体" w:hAnsi="宋体" w:cs="宋体"/>
          <w:color w:val="auto"/>
          <w:kern w:val="2"/>
          <w:sz w:val="21"/>
          <w:szCs w:val="21"/>
          <w:highlight w:val="none"/>
          <w:u w:val="single"/>
          <w:lang w:val="en-US" w:eastAsia="zh-CN" w:bidi="ar-SA"/>
        </w:rPr>
        <w:t>2022 年霍山石斛良种繁育基地配套设施采购项目</w:t>
      </w:r>
      <w:r>
        <w:rPr>
          <w:rFonts w:hint="eastAsia" w:ascii="宋体" w:hAnsi="宋体" w:cs="宋体"/>
          <w:i w:val="0"/>
          <w:caps w:val="0"/>
          <w:color w:val="auto"/>
          <w:spacing w:val="0"/>
          <w:sz w:val="21"/>
          <w:szCs w:val="21"/>
          <w:highlight w:val="none"/>
          <w:shd w:val="clear" w:color="auto" w:fill="FFFFFF"/>
          <w:lang w:val="en-US" w:eastAsia="zh-CN"/>
        </w:rPr>
        <w:t>，</w:t>
      </w:r>
      <w:r>
        <w:rPr>
          <w:rFonts w:hint="eastAsia" w:ascii="宋体" w:hAnsi="宋体" w:cs="宋体"/>
          <w:i w:val="0"/>
          <w:caps w:val="0"/>
          <w:color w:val="auto"/>
          <w:spacing w:val="0"/>
          <w:sz w:val="21"/>
          <w:szCs w:val="21"/>
          <w:highlight w:val="none"/>
          <w:shd w:val="clear" w:color="auto" w:fill="FFFFFF"/>
          <w:lang w:val="en-US" w:eastAsia="zh-CN"/>
        </w:rPr>
        <w:t>参照《国有企业采购操作规范》相关规定，</w:t>
      </w:r>
      <w:r>
        <w:rPr>
          <w:rFonts w:hint="eastAsia" w:ascii="宋体" w:hAnsi="宋体" w:cs="宋体"/>
          <w:i w:val="0"/>
          <w:caps w:val="0"/>
          <w:color w:val="auto"/>
          <w:spacing w:val="0"/>
          <w:sz w:val="21"/>
          <w:szCs w:val="21"/>
          <w:highlight w:val="none"/>
          <w:shd w:val="clear" w:color="auto" w:fill="FFFFFF"/>
          <w:lang w:val="en-US" w:eastAsia="zh-CN"/>
        </w:rPr>
        <w:t>本项目采用询价方式采购，欢迎符合条件的国内的供应商参加。</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2022 年霍山石斛良种繁育基地配套设施采购项目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yellow"/>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DBSCG-2022-118</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货物类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霍山县长冲中药材开发有限公司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val="en-US" w:eastAsia="zh-CN"/>
        </w:rPr>
        <w:t>180000.00元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7、项目最高限价：壹拾捌万元整（小写：￥180000.00元）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r>
        <w:rPr>
          <w:rFonts w:hint="eastAsia" w:ascii="宋体" w:hAnsi="宋体"/>
          <w:color w:val="000000"/>
          <w:sz w:val="21"/>
          <w:szCs w:val="21"/>
          <w:highlight w:val="none"/>
        </w:rPr>
        <w:t>：</w:t>
      </w:r>
      <w:r>
        <w:rPr>
          <w:rFonts w:hint="eastAsia" w:ascii="宋体" w:hAnsi="宋体" w:cs="宋体"/>
          <w:i w:val="0"/>
          <w:caps w:val="0"/>
          <w:color w:val="auto"/>
          <w:spacing w:val="0"/>
          <w:sz w:val="21"/>
          <w:szCs w:val="21"/>
          <w:highlight w:val="none"/>
          <w:shd w:val="clear" w:color="auto" w:fill="FFFFFF"/>
          <w:lang w:val="en-US" w:eastAsia="zh-CN"/>
        </w:rPr>
        <w:t>20日历天</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both"/>
        <w:textAlignment w:val="auto"/>
        <w:outlineLvl w:val="9"/>
        <w:rPr>
          <w:rFonts w:hint="default" w:ascii="宋体" w:hAnsi="宋体"/>
          <w:color w:val="0000FF"/>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olor w:val="auto"/>
          <w:sz w:val="21"/>
          <w:szCs w:val="21"/>
          <w:highlight w:val="none"/>
          <w:lang w:val="en-US" w:eastAsia="zh-CN"/>
        </w:rPr>
        <w:t>2022 年霍山石斛良种繁育基地配套设施采购项目，主要采购内容为霍山石斛良种种子储藏保存设备、种子检验设备等，详见采购需求。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1、参照《中华人民共和国政府采购法》第二十二条有关要求；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b w:val="0"/>
          <w:bCs/>
          <w:i w:val="0"/>
          <w:caps w:val="0"/>
          <w:color w:val="auto"/>
          <w:spacing w:val="0"/>
          <w:sz w:val="21"/>
          <w:szCs w:val="21"/>
          <w:highlight w:val="yellow"/>
          <w:shd w:val="clear" w:color="auto" w:fill="FFFFFF"/>
          <w:lang w:val="en-US" w:eastAsia="zh-CN"/>
        </w:rPr>
      </w:pPr>
      <w:r>
        <w:rPr>
          <w:rFonts w:hint="eastAsia" w:ascii="宋体" w:hAnsi="宋体" w:cs="宋体"/>
          <w:b w:val="0"/>
          <w:bCs/>
          <w:i w:val="0"/>
          <w:caps w:val="0"/>
          <w:color w:val="auto"/>
          <w:spacing w:val="0"/>
          <w:sz w:val="21"/>
          <w:szCs w:val="21"/>
          <w:highlight w:val="none"/>
          <w:shd w:val="clear" w:color="auto" w:fill="FFFFFF"/>
          <w:lang w:eastAsia="zh-CN"/>
        </w:rPr>
        <w:t>2、</w:t>
      </w:r>
      <w:r>
        <w:rPr>
          <w:rFonts w:hint="eastAsia" w:ascii="宋体" w:hAnsi="宋体" w:eastAsia="宋体" w:cs="宋体"/>
          <w:b w:val="0"/>
          <w:bCs/>
          <w:i w:val="0"/>
          <w:caps w:val="0"/>
          <w:color w:val="auto"/>
          <w:spacing w:val="0"/>
          <w:sz w:val="21"/>
          <w:szCs w:val="21"/>
          <w:highlight w:val="none"/>
          <w:shd w:val="clear" w:color="auto" w:fill="FFFFFF"/>
          <w:lang w:eastAsia="zh-CN"/>
        </w:rPr>
        <w:t>供应商应具有独立法人资格。</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3、供应商存在以下不良信用记录情形之一的，不得推荐为成交候选供应商，不得确定为成交供应商（仅以下述渠道查询结果为准，其他网站无效）：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本项目勿需报名，投标供应商于2022年</w:t>
      </w:r>
      <w:r>
        <w:rPr>
          <w:rFonts w:hint="eastAsia" w:ascii="宋体" w:hAnsi="宋体" w:cs="宋体"/>
          <w:i w:val="0"/>
          <w:caps w:val="0"/>
          <w:color w:val="auto"/>
          <w:spacing w:val="0"/>
          <w:sz w:val="21"/>
          <w:szCs w:val="21"/>
          <w:highlight w:val="none"/>
          <w:shd w:val="clear" w:color="auto" w:fill="FFFFFF"/>
          <w:lang w:val="en-US" w:eastAsia="zh-CN"/>
        </w:rPr>
        <w:t>9</w:t>
      </w:r>
      <w:r>
        <w:rPr>
          <w:rFonts w:hint="eastAsia" w:ascii="宋体" w:hAnsi="宋体" w:eastAsia="宋体" w:cs="宋体"/>
          <w:i w:val="0"/>
          <w:caps w:val="0"/>
          <w:color w:val="auto"/>
          <w:spacing w:val="0"/>
          <w:sz w:val="21"/>
          <w:szCs w:val="21"/>
          <w:highlight w:val="none"/>
          <w:shd w:val="clear" w:color="auto" w:fill="FFFFFF"/>
        </w:rPr>
        <w:t>月</w:t>
      </w: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cs="宋体"/>
          <w:i w:val="0"/>
          <w:caps w:val="0"/>
          <w:color w:val="auto"/>
          <w:spacing w:val="0"/>
          <w:sz w:val="21"/>
          <w:szCs w:val="21"/>
          <w:highlight w:val="none"/>
          <w:shd w:val="clear" w:color="auto" w:fill="FFFFFF"/>
          <w:lang w:val="en-US" w:eastAsia="zh-CN"/>
        </w:rPr>
        <w:t>6</w:t>
      </w:r>
      <w:r>
        <w:rPr>
          <w:rFonts w:hint="eastAsia" w:ascii="宋体" w:hAnsi="宋体" w:eastAsia="宋体" w:cs="宋体"/>
          <w:i w:val="0"/>
          <w:caps w:val="0"/>
          <w:color w:val="auto"/>
          <w:spacing w:val="0"/>
          <w:sz w:val="21"/>
          <w:szCs w:val="21"/>
          <w:highlight w:val="none"/>
          <w:shd w:val="clear" w:color="auto" w:fill="FFFFFF"/>
        </w:rPr>
        <w:t>日起（北京时间，下同）起自行登录安徽大别山国有资产投资（控股）集团有限公司（http://ahdmig.cn/）“招标采购”栏目中下载招标文件等相关资料。请投标供应商关注安徽大别山国有资产投资（控股）集团有限公司（http://ahdmig.cn/）“招标采购” “补充公告”中关于本项目的补遗、答疑等内容。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lang w:val="en-US"/>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2022年</w:t>
      </w:r>
      <w:r>
        <w:rPr>
          <w:rFonts w:hint="eastAsia" w:ascii="宋体" w:hAnsi="宋体" w:cs="宋体"/>
          <w:i w:val="0"/>
          <w:caps w:val="0"/>
          <w:color w:val="auto"/>
          <w:spacing w:val="0"/>
          <w:sz w:val="21"/>
          <w:szCs w:val="21"/>
          <w:highlight w:val="none"/>
          <w:u w:val="single"/>
          <w:shd w:val="clear" w:color="auto" w:fill="FFFFFF"/>
          <w:lang w:val="en-US" w:eastAsia="zh-CN"/>
        </w:rPr>
        <w:t>9月29</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9</w:t>
      </w:r>
      <w:r>
        <w:rPr>
          <w:rFonts w:hint="eastAsia" w:ascii="宋体" w:hAnsi="宋体" w:cs="宋体"/>
          <w:i w:val="0"/>
          <w:caps w:val="0"/>
          <w:color w:val="auto"/>
          <w:spacing w:val="0"/>
          <w:sz w:val="21"/>
          <w:szCs w:val="21"/>
          <w:highlight w:val="none"/>
          <w:u w:val="single"/>
          <w:shd w:val="clear" w:color="auto" w:fill="FFFFFF"/>
          <w:lang w:eastAsia="zh-CN"/>
        </w:rPr>
        <w:t>时</w:t>
      </w:r>
      <w:r>
        <w:rPr>
          <w:rFonts w:hint="eastAsia" w:ascii="宋体" w:hAnsi="宋体" w:cs="宋体"/>
          <w:i w:val="0"/>
          <w:caps w:val="0"/>
          <w:color w:val="auto"/>
          <w:spacing w:val="0"/>
          <w:sz w:val="21"/>
          <w:szCs w:val="21"/>
          <w:highlight w:val="none"/>
          <w:u w:val="single"/>
          <w:shd w:val="clear" w:color="auto" w:fill="FFFFFF"/>
          <w:lang w:val="en-US" w:eastAsia="zh-CN"/>
        </w:rPr>
        <w:t>00</w:t>
      </w:r>
      <w:r>
        <w:rPr>
          <w:rFonts w:hint="eastAsia" w:ascii="宋体" w:hAnsi="宋体" w:cs="宋体"/>
          <w:i w:val="0"/>
          <w:caps w:val="0"/>
          <w:color w:val="auto"/>
          <w:spacing w:val="0"/>
          <w:sz w:val="21"/>
          <w:szCs w:val="21"/>
          <w:highlight w:val="none"/>
          <w:u w:val="single"/>
          <w:shd w:val="clear" w:color="auto" w:fill="FFFFFF"/>
          <w:lang w:eastAsia="zh-CN"/>
        </w:rPr>
        <w:t>分</w:t>
      </w:r>
      <w:r>
        <w:rPr>
          <w:rFonts w:hint="eastAsia" w:ascii="宋体" w:hAnsi="宋体" w:cs="宋体"/>
          <w:i w:val="0"/>
          <w:caps w:val="0"/>
          <w:color w:val="auto"/>
          <w:spacing w:val="0"/>
          <w:sz w:val="21"/>
          <w:szCs w:val="21"/>
          <w:highlight w:val="none"/>
          <w:u w:val="none"/>
          <w:shd w:val="clear" w:color="auto" w:fill="FFFFFF"/>
          <w:lang w:val="en-US" w:eastAsia="zh-CN"/>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textAlignment w:val="auto"/>
        <w:outlineLvl w:val="9"/>
        <w:rPr>
          <w:rFonts w:hint="eastAsia" w:ascii="宋体" w:hAnsi="宋体" w:cs="宋体"/>
          <w:i w:val="0"/>
          <w:caps w:val="0"/>
          <w:color w:val="auto"/>
          <w:spacing w:val="0"/>
          <w:sz w:val="21"/>
          <w:szCs w:val="21"/>
          <w:highlight w:val="none"/>
          <w:u w:val="singl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rPr>
        <w:t>六、</w:t>
      </w:r>
      <w:r>
        <w:rPr>
          <w:rFonts w:hint="eastAsia" w:ascii="宋体" w:hAnsi="宋体" w:eastAsia="宋体" w:cs="宋体"/>
          <w:b w:val="0"/>
          <w:bCs/>
          <w:i w:val="0"/>
          <w:caps w:val="0"/>
          <w:color w:val="auto"/>
          <w:spacing w:val="0"/>
          <w:sz w:val="21"/>
          <w:szCs w:val="21"/>
          <w:highlight w:val="none"/>
          <w:shd w:val="clear" w:color="auto" w:fill="FFFFFF"/>
        </w:rPr>
        <w:t>根据六安市新型疫情防控应急综合指挥部《六安市进一步加强当前疫情防控工作的通知》（2022第2号）、《关于开展健康码和新冠病毒疫苗接种记录双查验的通告》等文件要求，需对疫情防控事项部分内容进行调整，现将调整内容通知如下：</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val="0"/>
          <w:bCs/>
          <w:i w:val="0"/>
          <w:caps w:val="0"/>
          <w:color w:val="auto"/>
          <w:spacing w:val="0"/>
          <w:sz w:val="21"/>
          <w:szCs w:val="21"/>
          <w:highlight w:val="none"/>
          <w:shd w:val="clear" w:color="auto" w:fill="FFFFFF"/>
        </w:rPr>
        <w:t>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采购人：</w:t>
      </w:r>
      <w:r>
        <w:rPr>
          <w:rFonts w:hint="eastAsia" w:cs="Arial"/>
          <w:color w:val="auto"/>
          <w:szCs w:val="21"/>
          <w:highlight w:val="none"/>
          <w:lang w:eastAsia="zh-CN"/>
        </w:rPr>
        <w:t>霍山县长冲中药材开发有限公司</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地址：</w:t>
      </w:r>
      <w:r>
        <w:rPr>
          <w:rFonts w:hint="eastAsia" w:ascii="宋体" w:hAnsi="宋体" w:eastAsia="宋体" w:cs="宋体"/>
          <w:color w:val="auto"/>
          <w:kern w:val="0"/>
          <w:sz w:val="21"/>
          <w:szCs w:val="21"/>
          <w:highlight w:val="none"/>
          <w:shd w:val="clear" w:color="auto" w:fill="FFFFFF"/>
          <w:lang w:eastAsia="zh-CN" w:bidi="ar"/>
        </w:rPr>
        <w:t>安徽省六安市霍山县太平畈乡王家店村</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何先生</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lang w:val="en-US" w:eastAsia="zh-CN"/>
        </w:rPr>
        <w:t>13865457339</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(二)</w:t>
      </w:r>
      <w:r>
        <w:rPr>
          <w:rFonts w:hint="eastAsia" w:ascii="宋体" w:hAnsi="宋体" w:eastAsia="宋体" w:cs="宋体"/>
          <w:color w:val="auto"/>
          <w:sz w:val="21"/>
          <w:szCs w:val="21"/>
        </w:rPr>
        <w:t>代理机构：安徽大别山工程咨询有限公司</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地址：</w:t>
      </w:r>
      <w:r>
        <w:rPr>
          <w:rFonts w:hint="eastAsia" w:ascii="宋体" w:hAnsi="宋体" w:eastAsia="宋体" w:cs="宋体"/>
          <w:color w:val="auto"/>
          <w:kern w:val="0"/>
          <w:sz w:val="21"/>
          <w:szCs w:val="21"/>
          <w:shd w:val="clear" w:color="auto" w:fill="FFFFFF"/>
          <w:lang w:eastAsia="zh-CN" w:bidi="ar"/>
        </w:rPr>
        <w:t>霍山县国投大厦</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联系人：</w:t>
      </w:r>
      <w:r>
        <w:rPr>
          <w:rFonts w:hint="eastAsia" w:ascii="宋体" w:hAnsi="宋体" w:eastAsia="宋体" w:cs="宋体"/>
          <w:color w:val="auto"/>
          <w:sz w:val="21"/>
          <w:szCs w:val="21"/>
          <w:lang w:val="en-US" w:eastAsia="zh-CN"/>
        </w:rPr>
        <w:t>汪女士</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联系方式：0564-502</w:t>
      </w:r>
      <w:r>
        <w:rPr>
          <w:rFonts w:hint="eastAsia" w:ascii="宋体" w:hAnsi="宋体" w:eastAsia="宋体" w:cs="宋体"/>
          <w:color w:val="auto"/>
          <w:sz w:val="21"/>
          <w:szCs w:val="21"/>
          <w:lang w:val="en-US" w:eastAsia="zh-CN"/>
        </w:rPr>
        <w:t>00</w:t>
      </w:r>
      <w:r>
        <w:rPr>
          <w:rFonts w:hint="eastAsia" w:ascii="宋体" w:hAnsi="宋体" w:eastAsia="宋体" w:cs="宋体"/>
          <w:color w:val="auto"/>
          <w:sz w:val="21"/>
          <w:szCs w:val="21"/>
        </w:rPr>
        <w:t>33、1</w:t>
      </w:r>
      <w:r>
        <w:rPr>
          <w:rFonts w:hint="eastAsia" w:ascii="宋体" w:hAnsi="宋体" w:eastAsia="宋体" w:cs="宋体"/>
          <w:color w:val="auto"/>
          <w:sz w:val="21"/>
          <w:szCs w:val="21"/>
          <w:lang w:val="en-US" w:eastAsia="zh-CN"/>
        </w:rPr>
        <w:t>5105648622</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（三）监督管理部门：霍山县农业农村局</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地  址：</w:t>
      </w:r>
      <w:r>
        <w:rPr>
          <w:rFonts w:hint="eastAsia" w:ascii="宋体" w:hAnsi="宋体" w:eastAsia="宋体" w:cs="宋体"/>
          <w:color w:val="auto"/>
          <w:kern w:val="0"/>
          <w:sz w:val="21"/>
          <w:szCs w:val="21"/>
          <w:shd w:val="clear" w:color="auto" w:fill="FFFFFF"/>
          <w:lang w:eastAsia="zh-CN" w:bidi="ar"/>
        </w:rPr>
        <w:t xml:space="preserve">六安市霍山县霍山大道霍山县人民政府 </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kern w:val="0"/>
          <w:sz w:val="21"/>
          <w:szCs w:val="21"/>
          <w:shd w:val="clear" w:color="auto" w:fill="FFFFFF"/>
          <w:lang w:val="en-US" w:eastAsia="zh-CN" w:bidi="ar"/>
        </w:rPr>
      </w:pPr>
      <w:r>
        <w:rPr>
          <w:rFonts w:hint="eastAsia" w:ascii="宋体" w:hAnsi="宋体" w:eastAsia="宋体" w:cs="宋体"/>
          <w:color w:val="auto"/>
          <w:sz w:val="21"/>
          <w:szCs w:val="21"/>
          <w:lang w:val="en-US" w:eastAsia="zh-CN"/>
        </w:rPr>
        <w:t>联系人</w:t>
      </w:r>
      <w:r>
        <w:rPr>
          <w:rFonts w:hint="eastAsia" w:ascii="宋体" w:hAnsi="宋体" w:eastAsia="宋体" w:cs="宋体"/>
          <w:color w:val="auto"/>
          <w:kern w:val="0"/>
          <w:sz w:val="21"/>
          <w:szCs w:val="21"/>
          <w:shd w:val="clear" w:color="auto" w:fill="FFFFFF"/>
          <w:lang w:val="en-US" w:eastAsia="zh-CN" w:bidi="ar"/>
        </w:rPr>
        <w:t>：马先生</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kern w:val="0"/>
          <w:sz w:val="21"/>
          <w:szCs w:val="21"/>
          <w:shd w:val="clear" w:color="auto" w:fill="FFFFFF"/>
          <w:lang w:val="en-US" w:eastAsia="zh-CN" w:bidi="ar"/>
        </w:rPr>
      </w:pPr>
      <w:r>
        <w:rPr>
          <w:rFonts w:hint="eastAsia" w:ascii="宋体" w:hAnsi="宋体" w:eastAsia="宋体" w:cs="宋体"/>
          <w:color w:val="auto"/>
          <w:kern w:val="0"/>
          <w:sz w:val="21"/>
          <w:szCs w:val="21"/>
          <w:shd w:val="clear" w:color="auto" w:fill="FFFFFF"/>
          <w:lang w:val="en-US" w:eastAsia="zh-CN" w:bidi="ar"/>
        </w:rPr>
        <w:t>电  话：13966275998</w:t>
      </w: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霍山县长冲中药材开发有限公司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cs="宋体"/>
          <w:i w:val="0"/>
          <w:caps w:val="0"/>
          <w:color w:val="auto"/>
          <w:spacing w:val="0"/>
          <w:sz w:val="21"/>
          <w:szCs w:val="21"/>
          <w:highlight w:val="none"/>
          <w:shd w:val="clear" w:color="auto" w:fill="FFFFFF"/>
          <w:lang w:eastAsia="zh-CN"/>
        </w:rPr>
        <w:t>2022</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9月26日</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6" w:name="_Toc25245_WPSOffice_Level1"/>
      <w:r>
        <w:rPr>
          <w:rFonts w:hint="eastAsia" w:ascii="宋体" w:hAnsi="宋体" w:eastAsia="宋体" w:cs="宋体"/>
          <w:b/>
          <w:color w:val="auto"/>
          <w:kern w:val="0"/>
          <w:sz w:val="32"/>
          <w:szCs w:val="32"/>
          <w:highlight w:val="none"/>
          <w:lang w:val="en-US" w:eastAsia="zh-CN" w:bidi="ar-SA"/>
        </w:rPr>
        <w:t>二、报价响应须知</w:t>
      </w:r>
      <w:bookmarkEnd w:id="1"/>
      <w:bookmarkEnd w:id="2"/>
      <w:bookmarkEnd w:id="6"/>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7" w:name="_Toc28280"/>
      <w:r>
        <w:rPr>
          <w:rFonts w:hint="eastAsia" w:ascii="宋体" w:hAnsi="宋体" w:eastAsia="宋体" w:cs="宋体"/>
          <w:bCs/>
          <w:color w:val="auto"/>
          <w:sz w:val="28"/>
          <w:szCs w:val="28"/>
          <w:highlight w:val="none"/>
        </w:rPr>
        <w:t>（一）须知前附表</w:t>
      </w:r>
      <w:bookmarkEnd w:id="7"/>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霍山县长冲中药材开发有限公司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地址：安徽省六安市霍山县太平畈乡王家店村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联系人：何先生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联系方式：13865457339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汪女士</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20033、15105648622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2022 年霍山石斛良种繁育基地配套设施采购项目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val="0"/>
                <w:bCs w:val="0"/>
                <w:color w:val="auto"/>
                <w:kern w:val="2"/>
                <w:sz w:val="21"/>
                <w:szCs w:val="21"/>
                <w:highlight w:val="none"/>
                <w:u w:val="none"/>
                <w:lang w:val="en-US" w:eastAsia="zh-CN" w:bidi="ar-SA"/>
              </w:rPr>
              <w:t>DBSCG-2022-118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cs="宋体"/>
                <w:b w:val="0"/>
                <w:bCs w:val="0"/>
                <w:color w:val="auto"/>
                <w:kern w:val="2"/>
                <w:sz w:val="21"/>
                <w:szCs w:val="21"/>
                <w:highlight w:val="none"/>
                <w:u w:val="none"/>
                <w:lang w:val="en-US" w:eastAsia="zh-CN" w:bidi="ar-SA"/>
              </w:rPr>
            </w:pPr>
            <w:r>
              <w:rPr>
                <w:rFonts w:hint="eastAsia" w:cs="宋体"/>
                <w:i w:val="0"/>
                <w:caps w:val="0"/>
                <w:color w:val="auto"/>
                <w:spacing w:val="0"/>
                <w:sz w:val="21"/>
                <w:szCs w:val="21"/>
                <w:highlight w:val="none"/>
                <w:shd w:val="clear" w:color="auto" w:fill="FFFFFF"/>
                <w:lang w:val="en-US" w:eastAsia="zh-CN"/>
              </w:rPr>
              <w:t>壹拾捌万元整（小写：￥180000.00元）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b w:val="0"/>
                <w:bCs w:val="0"/>
                <w:color w:val="auto"/>
                <w:kern w:val="2"/>
                <w:sz w:val="21"/>
                <w:szCs w:val="21"/>
                <w:highlight w:val="none"/>
                <w:u w:val="none"/>
                <w:lang w:val="en-US" w:eastAsia="zh-CN" w:bidi="ar-SA"/>
              </w:rPr>
              <w:t>60</w:t>
            </w:r>
            <w:r>
              <w:rPr>
                <w:rFonts w:hint="eastAsia" w:ascii="宋体" w:hAnsi="宋体" w:eastAsia="宋体" w:cs="宋体"/>
                <w:b w:val="0"/>
                <w:bCs w:val="0"/>
                <w:color w:val="auto"/>
                <w:kern w:val="2"/>
                <w:sz w:val="21"/>
                <w:szCs w:val="21"/>
                <w:highlight w:val="none"/>
                <w:u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bCs/>
                <w:color w:val="auto"/>
                <w:kern w:val="2"/>
                <w:sz w:val="21"/>
                <w:szCs w:val="21"/>
                <w:highlight w:val="none"/>
                <w:u w:val="none"/>
                <w:lang w:val="en-US" w:eastAsia="zh-CN" w:bidi="ar-SA"/>
              </w:rPr>
              <w:t>供货完成验收合格后，无息付清，中标单位需提供不低于3%的增值税专用发票。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20日历天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rPr>
            </w:pPr>
            <w:r>
              <w:rPr>
                <w:rFonts w:hint="eastAsia"/>
              </w:rPr>
              <w:t>询价方式：</w:t>
            </w:r>
            <w:r>
              <w:rPr>
                <w:rFonts w:hint="eastAsia"/>
                <w:lang w:eastAsia="zh-CN"/>
              </w:rPr>
              <w:t>现场</w:t>
            </w:r>
            <w:r>
              <w:rPr>
                <w:rFonts w:hint="eastAsia"/>
              </w:rPr>
              <w:t>询价</w:t>
            </w:r>
          </w:p>
          <w:p>
            <w:pPr>
              <w:adjustRightInd w:val="0"/>
              <w:snapToGrid w:val="0"/>
              <w:spacing w:line="320" w:lineRule="exact"/>
              <w:rPr>
                <w:rFonts w:hint="eastAsia"/>
              </w:rPr>
            </w:pPr>
            <w:r>
              <w:rPr>
                <w:rFonts w:hint="eastAsia"/>
              </w:rPr>
              <w:t>响应文件</w:t>
            </w:r>
            <w:r>
              <w:rPr>
                <w:rFonts w:hint="eastAsia"/>
                <w:lang w:eastAsia="zh-CN"/>
              </w:rPr>
              <w:t>递交</w:t>
            </w:r>
            <w:r>
              <w:rPr>
                <w:rFonts w:hint="eastAsia"/>
              </w:rPr>
              <w:t>截止时间及</w:t>
            </w:r>
            <w:r>
              <w:rPr>
                <w:rFonts w:hint="eastAsia"/>
                <w:lang w:val="en-US" w:eastAsia="zh-CN"/>
              </w:rPr>
              <w:t>询价</w:t>
            </w:r>
            <w:r>
              <w:rPr>
                <w:rFonts w:hint="eastAsia"/>
              </w:rPr>
              <w:t>时间：北京时间</w:t>
            </w:r>
            <w:r>
              <w:rPr>
                <w:rFonts w:hint="eastAsia"/>
                <w:lang w:eastAsia="zh-CN"/>
              </w:rPr>
              <w:t>2022年</w:t>
            </w:r>
            <w:r>
              <w:rPr>
                <w:rFonts w:hint="eastAsia"/>
                <w:lang w:val="en-US" w:eastAsia="zh-CN"/>
              </w:rPr>
              <w:t>9月29</w:t>
            </w:r>
            <w:r>
              <w:rPr>
                <w:rFonts w:hint="eastAsia"/>
                <w:lang w:eastAsia="zh-CN"/>
              </w:rPr>
              <w:t>日</w:t>
            </w:r>
            <w:r>
              <w:rPr>
                <w:rFonts w:hint="eastAsia"/>
                <w:lang w:val="en-US" w:eastAsia="zh-CN"/>
              </w:rPr>
              <w:t>9</w:t>
            </w:r>
            <w:r>
              <w:rPr>
                <w:rFonts w:hint="eastAsia"/>
                <w:lang w:eastAsia="zh-CN"/>
              </w:rPr>
              <w:t>时</w:t>
            </w:r>
            <w:r>
              <w:rPr>
                <w:rFonts w:hint="eastAsia"/>
                <w:lang w:val="en-US" w:eastAsia="zh-CN"/>
              </w:rPr>
              <w:t>00</w:t>
            </w:r>
            <w:r>
              <w:rPr>
                <w:rFonts w:hint="eastAsia"/>
                <w:lang w:eastAsia="zh-CN"/>
              </w:rPr>
              <w:t>分</w:t>
            </w:r>
            <w:r>
              <w:rPr>
                <w:rFonts w:hint="eastAsia"/>
              </w:rPr>
              <w:t>前</w:t>
            </w:r>
            <w:r>
              <w:rPr>
                <w:rFonts w:hint="eastAsia"/>
                <w:lang w:eastAsia="zh-CN"/>
              </w:rPr>
              <w:t>，</w:t>
            </w:r>
            <w:r>
              <w:rPr>
                <w:rFonts w:hint="eastAsia"/>
              </w:rPr>
              <w:t>逾期</w:t>
            </w:r>
            <w:r>
              <w:rPr>
                <w:rFonts w:hint="eastAsia"/>
                <w:lang w:eastAsia="zh-CN"/>
              </w:rPr>
              <w:t>递交</w:t>
            </w:r>
            <w:r>
              <w:rPr>
                <w:rFonts w:hint="eastAsia"/>
              </w:rPr>
              <w:t>，概不接受。同时在</w:t>
            </w:r>
            <w:r>
              <w:rPr>
                <w:rFonts w:hint="eastAsia"/>
                <w:lang w:eastAsia="zh-CN"/>
              </w:rPr>
              <w:t>响应文件递交截止时间</w:t>
            </w:r>
            <w:r>
              <w:rPr>
                <w:rFonts w:hint="eastAsia"/>
              </w:rPr>
              <w:t>前,供应商到</w:t>
            </w:r>
            <w:r>
              <w:rPr>
                <w:rFonts w:hint="eastAsia"/>
                <w:lang w:eastAsia="zh-CN"/>
              </w:rPr>
              <w:t>安徽大别山工程咨询有限公司</w:t>
            </w:r>
            <w:r>
              <w:rPr>
                <w:rFonts w:hint="eastAsia"/>
              </w:rPr>
              <w:t>开标厅参加投标。</w:t>
            </w:r>
          </w:p>
          <w:p>
            <w:pPr>
              <w:pStyle w:val="17"/>
              <w:ind w:left="0" w:leftChars="0" w:firstLine="0" w:firstLineChars="0"/>
              <w:rPr>
                <w:rFonts w:hint="eastAsia" w:eastAsia="宋体"/>
                <w:lang w:val="en-US" w:eastAsia="zh-CN"/>
              </w:rPr>
            </w:pPr>
            <w:r>
              <w:rPr>
                <w:rFonts w:hint="eastAsia" w:ascii="宋体" w:hAnsi="宋体" w:cs="宋体"/>
                <w:b/>
                <w:color w:val="auto"/>
                <w:sz w:val="21"/>
                <w:szCs w:val="21"/>
                <w:highlight w:val="none"/>
                <w:lang w:val="en-US" w:eastAsia="zh-CN"/>
              </w:rPr>
              <w:t>备注：供应商应派法定代表人或委托代理人参加。若法人代表本人参加开标会则需查验身份证原件、业绩证明材料原件（若有）、询价公告疫情防控要求相关原件；若代理人参加开标会则需查验法人授权委托书、代理人居民身份证原件、业绩证明材料原件（若有）、询价公告疫情防控要求相关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highlight w:val="none"/>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1453363455@qq.com</w:t>
            </w:r>
            <w:r>
              <w:rPr>
                <w:rFonts w:hint="eastAsia" w:ascii="宋体" w:hAnsi="宋体" w:eastAsia="宋体" w:cs="宋体"/>
                <w:color w:val="auto"/>
                <w:sz w:val="21"/>
                <w:szCs w:val="21"/>
                <w:highlight w:val="none"/>
                <w:lang w:val="en-US" w:eastAsia="zh-CN"/>
              </w:rPr>
              <w:t>。逾期不予受理（不得署名）。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 xml:space="preserve">（十一）质疑规定，提出质疑。供应商在递交质疑函纸质版的同时，必须将与纸质版质疑函一致的电子版（为 </w:t>
            </w:r>
            <w:r>
              <w:rPr>
                <w:rFonts w:hint="eastAsia" w:ascii="宋体" w:hAnsi="宋体" w:eastAsia="宋体" w:cs="宋体"/>
                <w:color w:val="auto"/>
                <w:sz w:val="21"/>
                <w:szCs w:val="21"/>
                <w:highlight w:val="none"/>
                <w:u w:val="none"/>
                <w:lang w:val="en-US" w:eastAsia="zh-CN"/>
              </w:rPr>
              <w:fldChar w:fldCharType="begin"/>
            </w:r>
            <w:r>
              <w:rPr>
                <w:rFonts w:hint="eastAsia" w:ascii="宋体" w:hAnsi="宋体" w:eastAsia="宋体" w:cs="宋体"/>
                <w:color w:val="auto"/>
                <w:sz w:val="21"/>
                <w:szCs w:val="21"/>
                <w:highlight w:val="none"/>
                <w:u w:val="none"/>
                <w:lang w:val="en-US" w:eastAsia="zh-CN"/>
              </w:rPr>
              <w:instrText xml:space="preserve"> HYPERLINK "mailto:word或wps,可编辑模式）发送至1902993705@qq.com邮箱。质疑须在开标2天（2021年" </w:instrText>
            </w:r>
            <w:r>
              <w:rPr>
                <w:rFonts w:hint="eastAsia" w:ascii="宋体" w:hAnsi="宋体" w:eastAsia="宋体" w:cs="宋体"/>
                <w:color w:val="auto"/>
                <w:sz w:val="21"/>
                <w:szCs w:val="21"/>
                <w:highlight w:val="none"/>
                <w:u w:val="none"/>
                <w:lang w:val="en-US" w:eastAsia="zh-CN"/>
              </w:rPr>
              <w:fldChar w:fldCharType="separate"/>
            </w:r>
            <w:r>
              <w:rPr>
                <w:rStyle w:val="31"/>
                <w:rFonts w:hint="eastAsia" w:ascii="宋体" w:hAnsi="宋体" w:eastAsia="宋体" w:cs="宋体"/>
                <w:color w:val="auto"/>
                <w:sz w:val="21"/>
                <w:szCs w:val="21"/>
                <w:highlight w:val="none"/>
                <w:u w:val="none"/>
                <w:lang w:val="en-US" w:eastAsia="zh-CN"/>
              </w:rPr>
              <w:t>word或wps,可编辑模式）发送至</w:t>
            </w:r>
            <w:r>
              <w:rPr>
                <w:rStyle w:val="31"/>
                <w:rFonts w:hint="eastAsia" w:ascii="宋体" w:hAnsi="宋体" w:cs="宋体"/>
                <w:color w:val="auto"/>
                <w:sz w:val="21"/>
                <w:szCs w:val="21"/>
                <w:highlight w:val="none"/>
                <w:u w:val="none"/>
                <w:lang w:val="en-US" w:eastAsia="zh-CN"/>
              </w:rPr>
              <w:t>1453363455@qq.com</w:t>
            </w:r>
            <w:r>
              <w:rPr>
                <w:rStyle w:val="31"/>
                <w:rFonts w:hint="eastAsia" w:ascii="宋体" w:hAnsi="宋体" w:eastAsia="宋体" w:cs="宋体"/>
                <w:color w:val="auto"/>
                <w:sz w:val="21"/>
                <w:szCs w:val="21"/>
                <w:highlight w:val="none"/>
                <w:u w:val="none"/>
                <w:lang w:val="en-US" w:eastAsia="zh-CN"/>
              </w:rPr>
              <w:t>邮箱。质疑须在开标</w:t>
            </w:r>
            <w:r>
              <w:rPr>
                <w:rStyle w:val="31"/>
                <w:rFonts w:hint="eastAsia" w:ascii="宋体" w:hAnsi="宋体" w:cs="宋体"/>
                <w:color w:val="auto"/>
                <w:sz w:val="21"/>
                <w:szCs w:val="21"/>
                <w:highlight w:val="none"/>
                <w:u w:val="none"/>
                <w:lang w:val="en-US" w:eastAsia="zh-CN"/>
              </w:rPr>
              <w:t>2</w:t>
            </w:r>
            <w:r>
              <w:rPr>
                <w:rStyle w:val="31"/>
                <w:rFonts w:hint="eastAsia" w:ascii="宋体" w:hAnsi="宋体" w:eastAsia="宋体" w:cs="宋体"/>
                <w:color w:val="auto"/>
                <w:sz w:val="21"/>
                <w:szCs w:val="21"/>
                <w:highlight w:val="none"/>
                <w:u w:val="none"/>
                <w:lang w:val="en-US" w:eastAsia="zh-CN"/>
              </w:rPr>
              <w:t>天</w:t>
            </w:r>
            <w:r>
              <w:rPr>
                <w:rFonts w:hint="eastAsia" w:ascii="宋体" w:hAnsi="宋体" w:eastAsia="宋体" w:cs="宋体"/>
                <w:color w:val="auto"/>
                <w:sz w:val="21"/>
                <w:szCs w:val="21"/>
                <w:highlight w:val="none"/>
                <w:u w:val="none"/>
                <w:lang w:val="en-US" w:eastAsia="zh-CN"/>
              </w:rPr>
              <w:fldChar w:fldCharType="end"/>
            </w:r>
            <w:r>
              <w:rPr>
                <w:rFonts w:hint="eastAsia" w:ascii="宋体" w:hAnsi="宋体" w:eastAsia="宋体" w:cs="宋体"/>
                <w:color w:val="auto"/>
                <w:sz w:val="21"/>
                <w:szCs w:val="21"/>
                <w:highlight w:val="none"/>
                <w:lang w:val="en-US" w:eastAsia="zh-CN"/>
              </w:rPr>
              <w:t>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rPr>
            </w:pPr>
            <w:r>
              <w:rPr>
                <w:rFonts w:hint="eastAsia"/>
              </w:rPr>
              <w:t>备注</w:t>
            </w:r>
            <w:r>
              <w:rPr>
                <w:rFonts w:hint="eastAsia"/>
                <w:lang w:eastAsia="zh-CN"/>
              </w:rPr>
              <w:t>：</w:t>
            </w:r>
            <w:r>
              <w:rPr>
                <w:rFonts w:hint="eastAsia"/>
              </w:rPr>
              <w:t>1</w:t>
            </w:r>
            <w:r>
              <w:rPr>
                <w:rFonts w:hint="eastAsia"/>
                <w:lang w:eastAsia="zh-CN"/>
              </w:rPr>
              <w:t>、</w:t>
            </w:r>
            <w:r>
              <w:rPr>
                <w:rFonts w:hint="eastAsia"/>
                <w:lang w:val="en-US" w:eastAsia="zh-CN"/>
              </w:rPr>
              <w:t>采购代理服务费：</w:t>
            </w:r>
            <w:r>
              <w:rPr>
                <w:rFonts w:hint="eastAsia"/>
                <w:b/>
                <w:bCs/>
                <w:lang w:val="en-US" w:eastAsia="zh-CN"/>
              </w:rPr>
              <w:t>招标代理服务费由中标人（成交人）支付，招标代理服务费以中标价（成交价）为计算基数，按发展改革委"发改价格【2011】534号"文件规定标准收取。</w:t>
            </w:r>
          </w:p>
          <w:p>
            <w:pPr>
              <w:numPr>
                <w:ilvl w:val="0"/>
                <w:numId w:val="1"/>
              </w:numPr>
              <w:adjustRightInd w:val="0"/>
              <w:snapToGrid w:val="0"/>
              <w:spacing w:line="360" w:lineRule="exact"/>
              <w:jc w:val="left"/>
              <w:rPr>
                <w:rFonts w:hint="eastAsia"/>
              </w:rPr>
            </w:pPr>
            <w:r>
              <w:rPr>
                <w:rFonts w:hint="eastAsia"/>
              </w:rPr>
              <w:t>投标人在</w:t>
            </w:r>
            <w:r>
              <w:rPr>
                <w:rFonts w:hint="eastAsia"/>
                <w:lang w:eastAsia="zh-CN"/>
              </w:rPr>
              <w:t>响应文件递交截止时间</w:t>
            </w:r>
            <w:r>
              <w:rPr>
                <w:rFonts w:hint="eastAsia"/>
              </w:rPr>
              <w:t>内收到的</w:t>
            </w:r>
            <w:r>
              <w:rPr>
                <w:rFonts w:hint="eastAsia"/>
                <w:lang w:eastAsia="zh-CN"/>
              </w:rPr>
              <w:t>响应文件</w:t>
            </w:r>
            <w:r>
              <w:rPr>
                <w:rFonts w:hint="eastAsia"/>
              </w:rPr>
              <w:t>不足三家的，或评审过程中造成流标现象的，其</w:t>
            </w:r>
            <w:r>
              <w:rPr>
                <w:rFonts w:hint="eastAsia"/>
                <w:lang w:eastAsia="zh-CN"/>
              </w:rPr>
              <w:t>响应文件</w:t>
            </w:r>
            <w:r>
              <w:rPr>
                <w:rFonts w:hint="eastAsia"/>
              </w:rPr>
              <w:t>也不予退还给投标人。</w:t>
            </w:r>
          </w:p>
        </w:tc>
      </w:tr>
    </w:tbl>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highlight w:val="none"/>
        </w:rPr>
        <w:t>（二）供应商资格</w:t>
      </w:r>
      <w:bookmarkEnd w:id="8"/>
    </w:p>
    <w:bookmarkEnd w:id="9"/>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2" w:name="_Toc12806"/>
      <w:bookmarkStart w:id="13" w:name="_Toc438648662"/>
      <w:bookmarkStart w:id="14" w:name="_Toc216158625"/>
      <w:bookmarkStart w:id="15" w:name="_Toc363199266"/>
      <w:r>
        <w:rPr>
          <w:rFonts w:hint="eastAsia"/>
          <w:color w:val="auto"/>
          <w:sz w:val="24"/>
          <w:szCs w:val="24"/>
          <w:highlight w:val="none"/>
          <w:lang w:eastAsia="zh-CN"/>
        </w:rPr>
        <w:t>详见询价公告</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w:t>
      </w:r>
      <w:r>
        <w:rPr>
          <w:rFonts w:hint="eastAsia" w:ascii="Tahoma" w:hAnsi="Tahoma"/>
          <w:color w:val="auto"/>
          <w:sz w:val="21"/>
          <w:szCs w:val="21"/>
          <w:highlight w:val="none"/>
          <w:lang w:val="en-US" w:eastAsia="zh-CN"/>
        </w:rPr>
        <w:t>分项目报价表</w:t>
      </w:r>
      <w:r>
        <w:rPr>
          <w:rFonts w:hint="eastAsia" w:ascii="Tahoma" w:hAnsi="Tahom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供货、安装、售后服务承诺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6" w:name="_Toc3875"/>
      <w:r>
        <w:rPr>
          <w:rFonts w:hint="eastAsia" w:ascii="宋体" w:hAnsi="宋体" w:eastAsia="宋体" w:cs="宋体"/>
          <w:bCs/>
          <w:color w:val="auto"/>
          <w:sz w:val="28"/>
          <w:szCs w:val="28"/>
          <w:highlight w:val="none"/>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eastAsia="宋体" w:cs="宋体"/>
          <w:color w:val="auto"/>
          <w:sz w:val="21"/>
          <w:szCs w:val="21"/>
          <w:lang w:val="en-US" w:eastAsia="zh-CN"/>
        </w:rPr>
        <w:t>霍山县农业农村局</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及询价文件要求的相关证明。供应商与其关联公司（如母公司、控股公司、参股公司、分公司、子公司、同一法定代表人的公司等）之间签订的合同，均不予认可。</w:t>
      </w:r>
    </w:p>
    <w:bookmarkEnd w:id="10"/>
    <w:bookmarkEnd w:id="11"/>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7" w:name="_Toc26915"/>
      <w:bookmarkStart w:id="18" w:name="_Toc216158630"/>
      <w:r>
        <w:rPr>
          <w:rFonts w:hint="eastAsia" w:ascii="宋体" w:hAnsi="宋体" w:eastAsia="宋体" w:cs="宋体"/>
          <w:bCs/>
          <w:color w:val="auto"/>
          <w:sz w:val="28"/>
          <w:szCs w:val="28"/>
          <w:highlight w:val="none"/>
        </w:rPr>
        <w:t>（五）</w:t>
      </w:r>
      <w:bookmarkStart w:id="19"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7"/>
    </w:p>
    <w:p>
      <w:pPr>
        <w:adjustRightInd w:val="0"/>
        <w:snapToGrid w:val="0"/>
        <w:spacing w:line="360" w:lineRule="exact"/>
        <w:ind w:firstLine="409" w:firstLineChars="195"/>
        <w:rPr>
          <w:rFonts w:hint="eastAsia" w:ascii="宋体" w:hAnsi="宋体" w:cs="宋体"/>
          <w:color w:val="auto"/>
          <w:highlight w:val="none"/>
        </w:rPr>
      </w:pPr>
      <w:bookmarkStart w:id="20"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文件的密封要求以及</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若出现报价相同的情况，则采取询价小组抽签方式确定成交单位。</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w:t>
      </w:r>
      <w:r>
        <w:rPr>
          <w:rFonts w:hint="eastAsia" w:ascii="宋体" w:hAnsi="宋体" w:cs="宋体"/>
          <w:b/>
          <w:color w:val="000000" w:themeColor="text1"/>
          <w:spacing w:val="-6"/>
          <w:kern w:val="0"/>
          <w:szCs w:val="21"/>
          <w:highlight w:val="none"/>
          <w:lang w:eastAsia="zh-CN"/>
          <w14:textFill>
            <w14:solidFill>
              <w14:schemeClr w14:val="tx1"/>
            </w14:solidFill>
          </w14:textFill>
        </w:rPr>
        <w:t>现场向</w:t>
      </w:r>
      <w:r>
        <w:rPr>
          <w:rFonts w:hint="eastAsia" w:ascii="宋体" w:hAnsi="宋体" w:cs="宋体"/>
          <w:b/>
          <w:color w:val="000000" w:themeColor="text1"/>
          <w:spacing w:val="-6"/>
          <w:kern w:val="0"/>
          <w:szCs w:val="21"/>
          <w:highlight w:val="none"/>
          <w:lang w:val="en-US" w:eastAsia="zh-CN"/>
          <w14:textFill>
            <w14:solidFill>
              <w14:schemeClr w14:val="tx1"/>
            </w14:solidFill>
          </w14:textFill>
        </w:rPr>
        <w:t>集团</w:t>
      </w:r>
      <w:r>
        <w:rPr>
          <w:rFonts w:hint="eastAsia" w:ascii="宋体" w:hAnsi="宋体" w:cs="宋体"/>
          <w:b/>
          <w:color w:val="000000" w:themeColor="text1"/>
          <w:spacing w:val="-6"/>
          <w:kern w:val="0"/>
          <w:szCs w:val="21"/>
          <w:highlight w:val="none"/>
          <w:lang w:eastAsia="zh-CN"/>
          <w14:textFill>
            <w14:solidFill>
              <w14:schemeClr w14:val="tx1"/>
            </w14:solidFill>
          </w14:textFill>
        </w:rPr>
        <w:t>申请转变采购方式</w:t>
      </w:r>
      <w:r>
        <w:rPr>
          <w:rFonts w:hint="eastAsia" w:ascii="宋体" w:hAnsi="宋体" w:cs="宋体"/>
          <w:b/>
          <w:color w:val="000000" w:themeColor="text1"/>
          <w:spacing w:val="-6"/>
          <w:kern w:val="0"/>
          <w:szCs w:val="21"/>
          <w:highlight w:val="none"/>
          <w14:textFill>
            <w14:solidFill>
              <w14:schemeClr w14:val="tx1"/>
            </w14:solidFill>
          </w14:textFill>
        </w:rPr>
        <w:t>。</w:t>
      </w:r>
      <w:r>
        <w:rPr>
          <w:rFonts w:hint="eastAsia" w:ascii="宋体" w:hAnsi="宋体" w:cs="宋体"/>
          <w:b/>
          <w:color w:val="auto"/>
          <w:kern w:val="0"/>
          <w:szCs w:val="21"/>
          <w:highlight w:val="none"/>
          <w:lang w:val="en-US" w:eastAsia="zh-CN"/>
        </w:rPr>
        <w:t>有三家及以上供应商投标的，正常开标；只有两家供应商投标的，现场转为竞争谈判；仅有一家供应商投标的，直接转为单源直接采购</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w:t>
      </w:r>
      <w:r>
        <w:rPr>
          <w:rFonts w:hint="eastAsia" w:ascii="宋体" w:hAnsi="宋体"/>
          <w:color w:val="auto"/>
          <w:sz w:val="21"/>
          <w:szCs w:val="21"/>
          <w:highlight w:val="none"/>
          <w:lang w:eastAsia="zh-CN"/>
        </w:rPr>
        <w:t>以</w:t>
      </w:r>
      <w:r>
        <w:rPr>
          <w:rFonts w:hint="eastAsia" w:ascii="宋体" w:hAnsi="宋体"/>
          <w:color w:val="auto"/>
          <w:sz w:val="21"/>
          <w:szCs w:val="21"/>
          <w:highlight w:val="none"/>
        </w:rPr>
        <w:t>废标情形的。</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1" w:name="_Toc471299093"/>
      <w:bookmarkStart w:id="22" w:name="_Toc31686"/>
      <w:r>
        <w:rPr>
          <w:rFonts w:hint="eastAsia" w:ascii="宋体" w:hAnsi="宋体" w:eastAsia="宋体" w:cs="宋体"/>
          <w:bCs/>
          <w:color w:val="auto"/>
          <w:sz w:val="28"/>
          <w:szCs w:val="28"/>
          <w:highlight w:val="none"/>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w:t>
      </w:r>
      <w:r>
        <w:rPr>
          <w:rFonts w:hint="eastAsia" w:ascii="宋体" w:hAnsi="宋体"/>
          <w:color w:val="auto"/>
          <w:sz w:val="21"/>
          <w:szCs w:val="21"/>
          <w:highlight w:val="none"/>
          <w:lang w:eastAsia="zh-CN"/>
        </w:rPr>
        <w:t>，</w:t>
      </w:r>
      <w:r>
        <w:rPr>
          <w:rFonts w:hint="eastAsia" w:ascii="宋体" w:hAnsi="宋体"/>
          <w:color w:val="auto"/>
          <w:sz w:val="21"/>
          <w:szCs w:val="21"/>
          <w:highlight w:val="none"/>
        </w:rPr>
        <w:t>设备完好，物品配件齐全。售后服务必须符合国家有关方面的规定。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w:t>
      </w:r>
      <w:r>
        <w:rPr>
          <w:rFonts w:hint="eastAsia" w:ascii="宋体" w:hAnsi="宋体"/>
          <w:color w:val="auto"/>
          <w:sz w:val="21"/>
          <w:szCs w:val="21"/>
          <w:highlight w:val="none"/>
          <w:lang w:eastAsia="zh-CN"/>
        </w:rPr>
        <w:t>施工</w:t>
      </w:r>
      <w:r>
        <w:rPr>
          <w:rFonts w:hint="eastAsia" w:ascii="宋体" w:hAnsi="宋体"/>
          <w:color w:val="auto"/>
          <w:sz w:val="21"/>
          <w:szCs w:val="21"/>
          <w:highlight w:val="none"/>
        </w:rPr>
        <w:t>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3" w:name="_Toc471299094"/>
      <w:bookmarkStart w:id="24" w:name="_Toc1065"/>
      <w:r>
        <w:rPr>
          <w:rFonts w:hint="eastAsia" w:ascii="宋体" w:hAnsi="宋体" w:eastAsia="宋体" w:cs="宋体"/>
          <w:bCs/>
          <w:color w:val="auto"/>
          <w:sz w:val="28"/>
          <w:szCs w:val="28"/>
          <w:highlight w:val="none"/>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w:t>
      </w:r>
      <w:r>
        <w:rPr>
          <w:rFonts w:hint="eastAsia" w:ascii="宋体" w:hAnsi="宋体"/>
          <w:color w:val="auto"/>
          <w:sz w:val="21"/>
          <w:szCs w:val="21"/>
          <w:highlight w:val="none"/>
          <w:lang w:eastAsia="zh-CN"/>
        </w:rPr>
        <w:t>在领取成交通知书后</w:t>
      </w:r>
      <w:r>
        <w:rPr>
          <w:rFonts w:hint="eastAsia" w:ascii="宋体" w:hAnsi="宋体"/>
          <w:color w:val="auto"/>
          <w:sz w:val="21"/>
          <w:szCs w:val="21"/>
          <w:highlight w:val="none"/>
          <w:lang w:val="en-US" w:eastAsia="zh-CN"/>
        </w:rPr>
        <w:t>30日内</w:t>
      </w:r>
      <w:r>
        <w:rPr>
          <w:rFonts w:hint="eastAsia" w:ascii="宋体" w:hAnsi="宋体"/>
          <w:color w:val="auto"/>
          <w:sz w:val="21"/>
          <w:szCs w:val="21"/>
          <w:highlight w:val="none"/>
        </w:rPr>
        <w:t>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5" w:name="_Toc471299095"/>
      <w:bookmarkStart w:id="26" w:name="_Toc382"/>
      <w:r>
        <w:rPr>
          <w:rFonts w:hint="eastAsia" w:ascii="宋体" w:hAnsi="宋体" w:eastAsia="宋体" w:cs="宋体"/>
          <w:bCs/>
          <w:color w:val="auto"/>
          <w:sz w:val="28"/>
          <w:szCs w:val="28"/>
          <w:highlight w:val="none"/>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7" w:name="_Toc23222"/>
      <w:bookmarkStart w:id="28" w:name="_Toc471299096"/>
      <w:r>
        <w:rPr>
          <w:rFonts w:hint="eastAsia" w:ascii="宋体" w:hAnsi="宋体" w:eastAsia="宋体" w:cs="宋体"/>
          <w:bCs/>
          <w:color w:val="auto"/>
          <w:sz w:val="28"/>
          <w:szCs w:val="28"/>
          <w:highlight w:val="none"/>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9" w:name="_Toc471299097"/>
      <w:bookmarkStart w:id="30" w:name="_Toc23894"/>
      <w:r>
        <w:rPr>
          <w:rFonts w:hint="eastAsia" w:ascii="宋体" w:hAnsi="宋体" w:eastAsia="宋体" w:cs="宋体"/>
          <w:bCs/>
          <w:color w:val="auto"/>
          <w:sz w:val="28"/>
          <w:szCs w:val="28"/>
          <w:highlight w:val="none"/>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hint="eastAsia" w:ascii="宋体" w:hAnsi="宋体" w:cs="Times New Roman"/>
          <w:bCs/>
          <w:color w:val="auto"/>
          <w:sz w:val="21"/>
          <w:szCs w:val="21"/>
          <w:highlight w:val="none"/>
        </w:rPr>
      </w:pPr>
      <w:r>
        <w:rPr>
          <w:rFonts w:hint="eastAsia" w:ascii="宋体" w:hAnsi="宋体" w:eastAsia="宋体" w:cs="宋体"/>
          <w:bCs/>
          <w:color w:val="auto"/>
          <w:sz w:val="21"/>
          <w:szCs w:val="21"/>
          <w:highlight w:val="none"/>
        </w:rPr>
        <w:t>质疑人对质疑答复</w:t>
      </w:r>
      <w:r>
        <w:rPr>
          <w:rFonts w:hint="eastAsia" w:ascii="宋体" w:hAnsi="宋体" w:cs="Times New Roman"/>
          <w:bCs/>
          <w:color w:val="auto"/>
          <w:sz w:val="21"/>
          <w:szCs w:val="21"/>
          <w:highlight w:val="none"/>
        </w:rPr>
        <w:t>不满意或采购人及</w:t>
      </w:r>
      <w:r>
        <w:rPr>
          <w:rFonts w:hint="eastAsia" w:ascii="宋体" w:hAnsi="宋体" w:cs="Times New Roman"/>
          <w:bCs/>
          <w:color w:val="auto"/>
          <w:sz w:val="21"/>
          <w:szCs w:val="21"/>
          <w:highlight w:val="none"/>
          <w:lang w:eastAsia="zh-CN"/>
        </w:rPr>
        <w:t>采购代理机构</w:t>
      </w:r>
      <w:r>
        <w:rPr>
          <w:rFonts w:hint="eastAsia" w:ascii="宋体" w:hAnsi="宋体" w:cs="Times New Roman"/>
          <w:bCs/>
          <w:color w:val="auto"/>
          <w:sz w:val="21"/>
          <w:szCs w:val="21"/>
          <w:highlight w:val="none"/>
        </w:rPr>
        <w:t>未在规定时间内做出答复的，可以在答复期满后15个工作日内向</w:t>
      </w:r>
      <w:r>
        <w:rPr>
          <w:rFonts w:hint="eastAsia" w:ascii="宋体" w:hAnsi="宋体" w:cs="Times New Roman"/>
          <w:bCs/>
          <w:color w:val="auto"/>
          <w:sz w:val="21"/>
          <w:szCs w:val="21"/>
          <w:highlight w:val="none"/>
          <w:lang w:val="en-US" w:eastAsia="zh-CN"/>
        </w:rPr>
        <w:t>霍山县农业农村局</w:t>
      </w:r>
      <w:r>
        <w:rPr>
          <w:rFonts w:hint="eastAsia" w:ascii="宋体" w:hAnsi="宋体" w:cs="Times New Roman"/>
          <w:bCs/>
          <w:color w:val="auto"/>
          <w:sz w:val="21"/>
          <w:szCs w:val="21"/>
          <w:highlight w:val="none"/>
        </w:rPr>
        <w:t>投诉，同时将投诉书副本送</w:t>
      </w:r>
      <w:r>
        <w:rPr>
          <w:rFonts w:hint="eastAsia" w:ascii="宋体" w:hAnsi="宋体" w:cs="Times New Roman"/>
          <w:bCs/>
          <w:color w:val="auto"/>
          <w:sz w:val="21"/>
          <w:szCs w:val="21"/>
          <w:highlight w:val="none"/>
          <w:lang w:val="en-US" w:eastAsia="zh-CN"/>
        </w:rPr>
        <w:t>安徽大别山工程咨询有限公司</w:t>
      </w:r>
      <w:r>
        <w:rPr>
          <w:rFonts w:hint="eastAsia" w:ascii="宋体" w:hAnsi="宋体" w:cs="Times New Roman"/>
          <w:bCs/>
          <w:color w:val="auto"/>
          <w:sz w:val="21"/>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霍山县长冲中药材开发有限公司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highlight w:val="none"/>
          <w:lang w:val="en-US" w:eastAsia="zh-CN"/>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p>
      <w:pPr>
        <w:rPr>
          <w:rFonts w:hint="eastAsia" w:ascii="宋体" w:hAnsi="宋体" w:eastAsia="宋体" w:cs="宋体"/>
          <w:b/>
          <w:color w:val="auto"/>
          <w:kern w:val="0"/>
          <w:sz w:val="30"/>
          <w:szCs w:val="30"/>
          <w:highlight w:val="none"/>
          <w:lang w:val="en-US" w:eastAsia="zh-CN" w:bidi="ar-SA"/>
        </w:rPr>
      </w:pPr>
      <w:bookmarkStart w:id="31" w:name="_Toc8300_WPSOffice_Level1"/>
      <w:bookmarkStart w:id="32" w:name="_Toc25805"/>
      <w:r>
        <w:rPr>
          <w:rFonts w:hint="eastAsia" w:ascii="宋体" w:hAnsi="宋体" w:eastAsia="宋体" w:cs="宋体"/>
          <w:b/>
          <w:color w:val="auto"/>
          <w:kern w:val="0"/>
          <w:sz w:val="30"/>
          <w:szCs w:val="30"/>
          <w:highlight w:val="none"/>
          <w:lang w:val="en-US" w:eastAsia="zh-CN" w:bidi="ar-SA"/>
        </w:rPr>
        <w:br w:type="page"/>
      </w:r>
    </w:p>
    <w:p>
      <w:pPr>
        <w:pStyle w:val="40"/>
        <w:keepNext/>
        <w:keepLines/>
        <w:pageBreakBefore w:val="0"/>
        <w:widowControl w:val="0"/>
        <w:tabs>
          <w:tab w:val="left" w:pos="1978"/>
          <w:tab w:val="center" w:pos="4482"/>
        </w:tabs>
        <w:kinsoku/>
        <w:wordWrap/>
        <w:overflowPunct/>
        <w:topLinePunct w:val="0"/>
        <w:autoSpaceDE/>
        <w:autoSpaceDN/>
        <w:bidi w:val="0"/>
        <w:adjustRightInd w:val="0"/>
        <w:snapToGrid/>
        <w:spacing w:line="460" w:lineRule="exact"/>
        <w:jc w:val="both"/>
        <w:textAlignment w:val="baseline"/>
        <w:outlineLvl w:val="0"/>
        <w:rPr>
          <w:rFonts w:hint="eastAsia" w:ascii="宋体" w:hAnsi="宋体" w:eastAsia="宋体" w:cs="宋体"/>
          <w:b/>
          <w:color w:val="auto"/>
          <w:kern w:val="0"/>
          <w:sz w:val="30"/>
          <w:szCs w:val="30"/>
          <w:highlight w:val="none"/>
          <w:lang w:val="en-US" w:eastAsia="zh-CN" w:bidi="ar-SA"/>
        </w:rPr>
      </w:pPr>
    </w:p>
    <w:p>
      <w:pPr>
        <w:pageBreakBefore w:val="0"/>
        <w:widowControl w:val="0"/>
        <w:numPr>
          <w:ilvl w:val="0"/>
          <w:numId w:val="0"/>
        </w:numPr>
        <w:kinsoku/>
        <w:wordWrap/>
        <w:overflowPunct/>
        <w:topLinePunct w:val="0"/>
        <w:autoSpaceDE/>
        <w:autoSpaceDN/>
        <w:bidi w:val="0"/>
        <w:snapToGrid/>
        <w:spacing w:line="460" w:lineRule="exact"/>
        <w:jc w:val="center"/>
        <w:outlineLvl w:val="0"/>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三、</w:t>
      </w:r>
      <w:bookmarkEnd w:id="18"/>
      <w:bookmarkEnd w:id="31"/>
      <w:bookmarkEnd w:id="32"/>
      <w:bookmarkStart w:id="33" w:name="_Toc16484_WPSOffice_Level1"/>
      <w:bookmarkStart w:id="34" w:name="_Toc12757"/>
      <w:bookmarkStart w:id="35" w:name="_Toc363199273"/>
      <w:r>
        <w:rPr>
          <w:rFonts w:hint="eastAsia" w:ascii="宋体" w:hAnsi="宋体" w:eastAsia="宋体" w:cs="宋体"/>
          <w:b/>
          <w:color w:val="auto"/>
          <w:kern w:val="0"/>
          <w:sz w:val="32"/>
          <w:szCs w:val="32"/>
          <w:highlight w:val="none"/>
          <w:lang w:val="en-US" w:eastAsia="zh-CN" w:bidi="ar-SA"/>
        </w:rPr>
        <w:t>采购合同（甲乙双方可自行拟定，但不得有背离采购文件实质性精神的条款）</w:t>
      </w:r>
    </w:p>
    <w:bookmarkEnd w:id="33"/>
    <w:bookmarkEnd w:id="34"/>
    <w:p>
      <w:pPr>
        <w:rPr>
          <w:rFonts w:hint="eastAsia" w:ascii="宋体" w:hAnsi="宋体" w:eastAsia="宋体" w:cs="宋体"/>
          <w:b/>
          <w:color w:val="auto"/>
          <w:kern w:val="0"/>
          <w:sz w:val="32"/>
          <w:szCs w:val="32"/>
          <w:highlight w:val="none"/>
          <w:lang w:val="en-US" w:eastAsia="zh-CN" w:bidi="ar-SA"/>
        </w:rPr>
      </w:pPr>
    </w:p>
    <w:p>
      <w:pPr>
        <w:rPr>
          <w:rFonts w:hint="eastAsia" w:ascii="宋体" w:hAnsi="宋体" w:eastAsia="宋体" w:cs="宋体"/>
          <w:b/>
          <w:color w:val="auto"/>
          <w:kern w:val="0"/>
          <w:sz w:val="32"/>
          <w:szCs w:val="32"/>
          <w:highlight w:val="none"/>
          <w:lang w:val="en-US" w:eastAsia="zh-CN" w:bidi="ar-SA"/>
        </w:rPr>
      </w:pPr>
    </w:p>
    <w:p>
      <w:pPr>
        <w:pStyle w:val="6"/>
        <w:rPr>
          <w:rFonts w:hint="eastAsia"/>
          <w:lang w:val="en-US" w:eastAsia="zh-CN"/>
        </w:rPr>
      </w:pPr>
    </w:p>
    <w:p>
      <w:pPr>
        <w:rPr>
          <w:rFonts w:hint="eastAsia" w:ascii="宋体" w:hAnsi="宋体" w:eastAsia="宋体" w:cs="宋体"/>
          <w:b/>
          <w:color w:val="auto"/>
          <w:kern w:val="0"/>
          <w:sz w:val="32"/>
          <w:szCs w:val="32"/>
          <w:highlight w:val="none"/>
          <w:lang w:val="en-US" w:eastAsia="zh-CN" w:bidi="ar-SA"/>
        </w:rPr>
      </w:pPr>
    </w:p>
    <w:p>
      <w:pPr>
        <w:rPr>
          <w:rFonts w:hint="eastAsia" w:ascii="宋体" w:hAnsi="宋体" w:eastAsia="宋体" w:cs="宋体"/>
          <w:b/>
          <w:color w:val="auto"/>
          <w:kern w:val="0"/>
          <w:sz w:val="32"/>
          <w:szCs w:val="32"/>
          <w:highlight w:val="none"/>
          <w:lang w:val="en-US" w:eastAsia="zh-CN" w:bidi="ar-SA"/>
        </w:rPr>
      </w:pPr>
    </w:p>
    <w:p>
      <w:pPr>
        <w:jc w:val="center"/>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四、采购需求</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b/>
          <w:bCs/>
          <w:sz w:val="36"/>
          <w:szCs w:val="36"/>
          <w:lang w:val="en-US" w:eastAsia="zh-CN"/>
        </w:rPr>
      </w:pPr>
      <w:bookmarkStart w:id="36" w:name="_Toc11297"/>
      <w:bookmarkStart w:id="37" w:name="_Toc4288_WPSOffice_Level1"/>
    </w:p>
    <w:tbl>
      <w:tblPr>
        <w:tblStyle w:val="20"/>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1"/>
        <w:gridCol w:w="3625"/>
        <w:gridCol w:w="2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rFonts w:hint="eastAsia" w:eastAsiaTheme="minorEastAsia"/>
                <w:vertAlign w:val="baseline"/>
                <w:lang w:val="en-US" w:eastAsia="zh-CN"/>
              </w:rPr>
            </w:pPr>
            <w:r>
              <w:rPr>
                <w:rFonts w:hint="eastAsia"/>
                <w:vertAlign w:val="baseline"/>
                <w:lang w:val="en-US" w:eastAsia="zh-CN"/>
              </w:rPr>
              <w:t>设备名称</w:t>
            </w:r>
          </w:p>
        </w:tc>
        <w:tc>
          <w:tcPr>
            <w:tcW w:w="3625" w:type="dxa"/>
            <w:vAlign w:val="center"/>
          </w:tcPr>
          <w:p>
            <w:pPr>
              <w:jc w:val="center"/>
              <w:rPr>
                <w:rFonts w:hint="eastAsia" w:eastAsiaTheme="minorEastAsia"/>
                <w:vertAlign w:val="baseline"/>
                <w:lang w:val="en-US" w:eastAsia="zh-CN"/>
              </w:rPr>
            </w:pPr>
            <w:r>
              <w:rPr>
                <w:rFonts w:hint="eastAsia"/>
                <w:vertAlign w:val="baseline"/>
                <w:lang w:val="en-US" w:eastAsia="zh-CN"/>
              </w:rPr>
              <w:t>设备参数</w:t>
            </w:r>
          </w:p>
        </w:tc>
        <w:tc>
          <w:tcPr>
            <w:tcW w:w="2334" w:type="dxa"/>
            <w:vAlign w:val="center"/>
          </w:tcPr>
          <w:p>
            <w:pPr>
              <w:jc w:val="center"/>
              <w:rPr>
                <w:rFonts w:hint="eastAsia" w:eastAsiaTheme="minorEastAsia"/>
                <w:vertAlign w:val="baseline"/>
                <w:lang w:val="en-US" w:eastAsia="zh-CN"/>
              </w:rPr>
            </w:pPr>
            <w:r>
              <w:rPr>
                <w:rFonts w:hint="eastAsia"/>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641" w:type="dxa"/>
            <w:vAlign w:val="center"/>
          </w:tcPr>
          <w:p>
            <w:pPr>
              <w:jc w:val="center"/>
              <w:rPr>
                <w:rFonts w:hint="eastAsia" w:eastAsiaTheme="minorEastAsia"/>
                <w:vertAlign w:val="baseline"/>
                <w:lang w:val="en-US" w:eastAsia="zh-CN"/>
              </w:rPr>
            </w:pPr>
            <w:r>
              <w:rPr>
                <w:rFonts w:hint="eastAsia"/>
                <w:vertAlign w:val="baseline"/>
                <w:lang w:val="en-US" w:eastAsia="zh-CN"/>
              </w:rPr>
              <w:t>冰箱</w:t>
            </w:r>
          </w:p>
        </w:tc>
        <w:tc>
          <w:tcPr>
            <w:tcW w:w="3625" w:type="dxa"/>
            <w:vAlign w:val="center"/>
          </w:tcPr>
          <w:p>
            <w:pPr>
              <w:jc w:val="center"/>
              <w:rPr>
                <w:vertAlign w:val="baseline"/>
              </w:rPr>
            </w:pPr>
            <w:r>
              <w:rPr>
                <w:rFonts w:hint="eastAsia"/>
              </w:rPr>
              <w:t>存储温度-10摄氏度一-25摄氏度，总容量450升</w:t>
            </w:r>
          </w:p>
        </w:tc>
        <w:tc>
          <w:tcPr>
            <w:tcW w:w="2334" w:type="dxa"/>
            <w:vAlign w:val="center"/>
          </w:tcPr>
          <w:p>
            <w:pPr>
              <w:jc w:val="center"/>
              <w:rPr>
                <w:rFonts w:hint="eastAsia" w:eastAsiaTheme="minor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641" w:type="dxa"/>
            <w:vAlign w:val="center"/>
          </w:tcPr>
          <w:p>
            <w:pPr>
              <w:jc w:val="center"/>
              <w:rPr>
                <w:vertAlign w:val="baseline"/>
              </w:rPr>
            </w:pPr>
            <w:r>
              <w:rPr>
                <w:rFonts w:hint="eastAsia"/>
              </w:rPr>
              <w:t>医用冷藏箱</w:t>
            </w:r>
          </w:p>
        </w:tc>
        <w:tc>
          <w:tcPr>
            <w:tcW w:w="3625" w:type="dxa"/>
            <w:vAlign w:val="center"/>
          </w:tcPr>
          <w:p>
            <w:pPr>
              <w:jc w:val="center"/>
              <w:rPr>
                <w:vertAlign w:val="baseline"/>
              </w:rPr>
            </w:pPr>
            <w:r>
              <w:rPr>
                <w:rFonts w:hint="eastAsia"/>
              </w:rPr>
              <w:t>存储温度2摄氏度一8摄氏度，总容量725升</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641" w:type="dxa"/>
            <w:vAlign w:val="center"/>
          </w:tcPr>
          <w:p>
            <w:pPr>
              <w:jc w:val="center"/>
              <w:rPr>
                <w:vertAlign w:val="baseline"/>
              </w:rPr>
            </w:pPr>
            <w:r>
              <w:rPr>
                <w:rFonts w:hint="eastAsia"/>
              </w:rPr>
              <w:t>显微镜</w:t>
            </w:r>
          </w:p>
        </w:tc>
        <w:tc>
          <w:tcPr>
            <w:tcW w:w="3625" w:type="dxa"/>
            <w:vAlign w:val="center"/>
          </w:tcPr>
          <w:p>
            <w:pPr>
              <w:jc w:val="center"/>
              <w:rPr>
                <w:vertAlign w:val="baseline"/>
              </w:rPr>
            </w:pPr>
            <w:r>
              <w:rPr>
                <w:i w:val="0"/>
                <w:iCs w:val="0"/>
                <w:caps w:val="0"/>
                <w:color w:val="333333"/>
                <w:spacing w:val="0"/>
                <w:sz w:val="21"/>
                <w:szCs w:val="21"/>
                <w:shd w:val="clear" w:color="auto" w:fill="FFFFFF"/>
              </w:rPr>
              <w:t>带屏</w:t>
            </w:r>
            <w:r>
              <w:rPr>
                <w:rFonts w:hint="eastAsia"/>
                <w:i w:val="0"/>
                <w:iCs w:val="0"/>
                <w:caps w:val="0"/>
                <w:color w:val="333333"/>
                <w:spacing w:val="0"/>
                <w:sz w:val="21"/>
                <w:szCs w:val="21"/>
                <w:shd w:val="clear" w:color="auto" w:fill="FFFFFF"/>
                <w:lang w:val="en-US" w:eastAsia="zh-CN"/>
              </w:rPr>
              <w:t>能拍照</w:t>
            </w:r>
            <w:r>
              <w:rPr>
                <w:i w:val="0"/>
                <w:iCs w:val="0"/>
                <w:caps w:val="0"/>
                <w:color w:val="333333"/>
                <w:spacing w:val="0"/>
                <w:sz w:val="21"/>
                <w:szCs w:val="21"/>
                <w:shd w:val="clear" w:color="auto" w:fill="FFFFFF"/>
              </w:rPr>
              <w:t xml:space="preserve"> </w:t>
            </w:r>
            <w:r>
              <w:rPr>
                <w:rFonts w:hint="eastAsia"/>
                <w:i w:val="0"/>
                <w:iCs w:val="0"/>
                <w:caps w:val="0"/>
                <w:color w:val="333333"/>
                <w:spacing w:val="0"/>
                <w:sz w:val="21"/>
                <w:szCs w:val="21"/>
                <w:shd w:val="clear" w:color="auto" w:fill="FFFFFF"/>
                <w:lang w:val="en-US" w:eastAsia="zh-CN"/>
              </w:rPr>
              <w:t>500倍显微观测  相机分辨率1920*1080P以上</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641" w:type="dxa"/>
            <w:vAlign w:val="center"/>
          </w:tcPr>
          <w:p>
            <w:pPr>
              <w:jc w:val="center"/>
              <w:rPr>
                <w:vertAlign w:val="baseline"/>
              </w:rPr>
            </w:pPr>
            <w:r>
              <w:rPr>
                <w:rFonts w:hint="eastAsia"/>
                <w:lang w:val="en-US" w:eastAsia="zh-CN"/>
              </w:rPr>
              <w:t>天平</w:t>
            </w:r>
          </w:p>
        </w:tc>
        <w:tc>
          <w:tcPr>
            <w:tcW w:w="3625" w:type="dxa"/>
            <w:vAlign w:val="center"/>
          </w:tcPr>
          <w:p>
            <w:pPr>
              <w:jc w:val="center"/>
              <w:rPr>
                <w:vertAlign w:val="baseline"/>
              </w:rPr>
            </w:pPr>
            <w:r>
              <w:rPr>
                <w:rFonts w:hint="eastAsia"/>
              </w:rPr>
              <w:t>实验室0.0001g精准0.1mg千分之一</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微生物培养箱</w:t>
            </w:r>
          </w:p>
        </w:tc>
        <w:tc>
          <w:tcPr>
            <w:tcW w:w="3625" w:type="dxa"/>
            <w:vAlign w:val="center"/>
          </w:tcPr>
          <w:p>
            <w:pPr>
              <w:jc w:val="center"/>
              <w:rPr>
                <w:vertAlign w:val="baseline"/>
              </w:rPr>
            </w:pPr>
            <w:r>
              <w:rPr>
                <w:rFonts w:hint="eastAsia"/>
              </w:rPr>
              <w:t>-1摄氏度一1摄氏度</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灭菌锅</w:t>
            </w:r>
          </w:p>
        </w:tc>
        <w:tc>
          <w:tcPr>
            <w:tcW w:w="3625" w:type="dxa"/>
            <w:vAlign w:val="center"/>
          </w:tcPr>
          <w:p>
            <w:pPr>
              <w:jc w:val="center"/>
              <w:rPr>
                <w:vertAlign w:val="baseline"/>
              </w:rPr>
            </w:pPr>
            <w:r>
              <w:rPr>
                <w:rFonts w:hint="eastAsia"/>
              </w:rPr>
              <w:t>0.22upa</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超净工作台</w:t>
            </w:r>
          </w:p>
        </w:tc>
        <w:tc>
          <w:tcPr>
            <w:tcW w:w="3625" w:type="dxa"/>
            <w:vAlign w:val="center"/>
          </w:tcPr>
          <w:p>
            <w:pPr>
              <w:jc w:val="center"/>
              <w:rPr>
                <w:vertAlign w:val="baseline"/>
              </w:rPr>
            </w:pPr>
            <w:r>
              <w:rPr>
                <w:rFonts w:hint="eastAsia"/>
              </w:rPr>
              <w:t>100级&gt;.5um</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真空包装封口机</w:t>
            </w:r>
          </w:p>
        </w:tc>
        <w:tc>
          <w:tcPr>
            <w:tcW w:w="3625" w:type="dxa"/>
            <w:vAlign w:val="center"/>
          </w:tcPr>
          <w:p>
            <w:pPr>
              <w:jc w:val="center"/>
              <w:rPr>
                <w:rFonts w:hint="default" w:eastAsiaTheme="minorEastAsia"/>
                <w:vertAlign w:val="baseline"/>
                <w:lang w:val="en-US" w:eastAsia="zh-CN"/>
              </w:rPr>
            </w:pPr>
            <w:r>
              <w:rPr>
                <w:rFonts w:hint="eastAsia"/>
                <w:vertAlign w:val="baseline"/>
                <w:lang w:val="en-US" w:eastAsia="zh-CN"/>
              </w:rPr>
              <w:t>满足封装食品基本要求</w:t>
            </w: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小气候气象站</w:t>
            </w:r>
          </w:p>
        </w:tc>
        <w:tc>
          <w:tcPr>
            <w:tcW w:w="3625" w:type="dxa"/>
            <w:vAlign w:val="center"/>
          </w:tcPr>
          <w:p>
            <w:pPr>
              <w:jc w:val="center"/>
              <w:rPr>
                <w:vertAlign w:val="baseline"/>
              </w:rPr>
            </w:pPr>
            <w:r>
              <w:rPr>
                <w:rFonts w:hint="eastAsia"/>
                <w:lang w:val="en-US" w:eastAsia="zh-CN"/>
              </w:rPr>
              <w:t>12要素</w:t>
            </w: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干湿平台</w:t>
            </w:r>
          </w:p>
        </w:tc>
        <w:tc>
          <w:tcPr>
            <w:tcW w:w="3625" w:type="dxa"/>
            <w:vAlign w:val="center"/>
          </w:tcPr>
          <w:p>
            <w:pPr>
              <w:jc w:val="center"/>
              <w:rPr>
                <w:vertAlign w:val="baseline"/>
              </w:rPr>
            </w:pP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2641" w:type="dxa"/>
            <w:vAlign w:val="center"/>
          </w:tcPr>
          <w:p>
            <w:pPr>
              <w:jc w:val="center"/>
              <w:rPr>
                <w:vertAlign w:val="baseline"/>
              </w:rPr>
            </w:pPr>
            <w:r>
              <w:rPr>
                <w:rFonts w:hint="eastAsia"/>
                <w:lang w:val="en-US" w:eastAsia="zh-CN"/>
              </w:rPr>
              <w:t>智能光照培养箱</w:t>
            </w:r>
          </w:p>
        </w:tc>
        <w:tc>
          <w:tcPr>
            <w:tcW w:w="3625" w:type="dxa"/>
            <w:vAlign w:val="center"/>
          </w:tcPr>
          <w:p>
            <w:pPr>
              <w:jc w:val="center"/>
              <w:rPr>
                <w:rFonts w:hint="default" w:eastAsiaTheme="minorEastAsia"/>
                <w:vertAlign w:val="baseline"/>
                <w:lang w:val="en-US" w:eastAsia="zh-CN"/>
              </w:rPr>
            </w:pPr>
            <w:r>
              <w:rPr>
                <w:rFonts w:hint="eastAsia"/>
                <w:vertAlign w:val="baseline"/>
                <w:lang w:val="en-US" w:eastAsia="zh-CN"/>
              </w:rPr>
              <w:t>功率800W， 有光照控温范围5°-65°控湿范围45%-95% RH</w:t>
            </w: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641" w:type="dxa"/>
            <w:vAlign w:val="center"/>
          </w:tcPr>
          <w:p>
            <w:pPr>
              <w:jc w:val="center"/>
              <w:rPr>
                <w:vertAlign w:val="baseline"/>
              </w:rPr>
            </w:pPr>
            <w:r>
              <w:rPr>
                <w:rFonts w:hint="eastAsia"/>
                <w:lang w:val="en-US" w:eastAsia="zh-CN"/>
              </w:rPr>
              <w:t>卤素水分测定仪</w:t>
            </w:r>
          </w:p>
        </w:tc>
        <w:tc>
          <w:tcPr>
            <w:tcW w:w="3625" w:type="dxa"/>
            <w:vAlign w:val="center"/>
          </w:tcPr>
          <w:p>
            <w:pPr>
              <w:jc w:val="center"/>
              <w:rPr>
                <w:vertAlign w:val="baseline"/>
              </w:rPr>
            </w:pPr>
            <w:r>
              <w:rPr>
                <w:rFonts w:hint="eastAsia"/>
                <w:lang w:val="en-US" w:eastAsia="zh-CN"/>
              </w:rPr>
              <w:t>精度0.01%</w:t>
            </w: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bl>
    <w:p>
      <w:pPr>
        <w:rPr>
          <w:rFonts w:hint="eastAsia"/>
          <w:highlight w:val="none"/>
          <w:lang w:val="en-US" w:eastAsia="zh-CN"/>
        </w:rPr>
      </w:pPr>
      <w:r>
        <w:rPr>
          <w:rFonts w:hint="eastAsia" w:ascii="宋体" w:hAnsi="宋体" w:eastAsia="宋体" w:cs="宋体"/>
          <w:b/>
          <w:color w:val="auto"/>
          <w:kern w:val="0"/>
          <w:sz w:val="32"/>
          <w:szCs w:val="32"/>
          <w:highlight w:val="none"/>
          <w:lang w:val="en-US" w:eastAsia="zh-CN" w:bidi="ar-SA"/>
        </w:rPr>
        <w:br w:type="page"/>
      </w:r>
    </w:p>
    <w:p>
      <w:pPr>
        <w:pStyle w:val="4"/>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6"/>
      <w:bookmarkEnd w:id="37"/>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38"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38"/>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39" w:name="_Toc12631_WPSOffice_Level1"/>
      <w:r>
        <w:rPr>
          <w:rFonts w:hint="eastAsia" w:ascii="宋体" w:hAnsi="宋体" w:eastAsia="宋体" w:cs="宋体"/>
          <w:b/>
          <w:color w:val="auto"/>
          <w:sz w:val="44"/>
          <w:szCs w:val="44"/>
          <w:highlight w:val="none"/>
        </w:rPr>
        <w:t>响</w:t>
      </w:r>
      <w:bookmarkEnd w:id="39"/>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0" w:name="_Toc13194_WPSOffice_Level1"/>
      <w:r>
        <w:rPr>
          <w:rFonts w:hint="eastAsia" w:ascii="宋体" w:hAnsi="宋体" w:eastAsia="宋体" w:cs="宋体"/>
          <w:b/>
          <w:color w:val="auto"/>
          <w:sz w:val="44"/>
          <w:szCs w:val="44"/>
          <w:highlight w:val="none"/>
        </w:rPr>
        <w:t>应</w:t>
      </w:r>
      <w:bookmarkEnd w:id="40"/>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1" w:name="_Toc28638_WPSOffice_Level1"/>
      <w:r>
        <w:rPr>
          <w:rFonts w:hint="eastAsia" w:ascii="宋体" w:hAnsi="宋体" w:eastAsia="宋体" w:cs="宋体"/>
          <w:b/>
          <w:color w:val="auto"/>
          <w:sz w:val="44"/>
          <w:szCs w:val="44"/>
          <w:highlight w:val="none"/>
        </w:rPr>
        <w:t>文</w:t>
      </w:r>
      <w:bookmarkEnd w:id="41"/>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2" w:name="_Toc21450_WPSOffice_Level1"/>
      <w:r>
        <w:rPr>
          <w:rFonts w:hint="eastAsia" w:ascii="宋体" w:hAnsi="宋体" w:eastAsia="宋体" w:cs="宋体"/>
          <w:b/>
          <w:color w:val="auto"/>
          <w:sz w:val="44"/>
          <w:szCs w:val="44"/>
          <w:highlight w:val="none"/>
        </w:rPr>
        <w:t>件</w:t>
      </w:r>
      <w:bookmarkEnd w:id="42"/>
    </w:p>
    <w:p>
      <w:pPr>
        <w:pStyle w:val="6"/>
        <w:jc w:val="center"/>
        <w:rPr>
          <w:rFonts w:ascii="黑体"/>
          <w:color w:val="auto"/>
          <w:sz w:val="44"/>
          <w:highlight w:val="none"/>
          <w:u w:val="single"/>
        </w:rPr>
      </w:pPr>
      <w:bookmarkStart w:id="43" w:name="_Toc30778_WPSOffice_Level1"/>
      <w:r>
        <w:rPr>
          <w:rFonts w:hint="eastAsia" w:ascii="黑体" w:hAnsi="Times New Roman" w:eastAsia="黑体"/>
          <w:color w:val="auto"/>
          <w:kern w:val="2"/>
          <w:sz w:val="32"/>
          <w:szCs w:val="22"/>
          <w:highlight w:val="none"/>
          <w:u w:val="single"/>
        </w:rPr>
        <w:t>正本（副本）</w:t>
      </w:r>
      <w:bookmarkEnd w:id="43"/>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4"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4"/>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5"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45"/>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6"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46"/>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47"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47"/>
    </w:p>
    <w:p>
      <w:pPr>
        <w:jc w:val="center"/>
        <w:rPr>
          <w:rFonts w:hint="eastAsia"/>
          <w:b/>
          <w:bCs/>
          <w:color w:val="auto"/>
          <w:sz w:val="28"/>
          <w:szCs w:val="28"/>
          <w:highlight w:val="none"/>
        </w:rPr>
      </w:pPr>
      <w:bookmarkStart w:id="48"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48"/>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服务</w:t>
            </w:r>
            <w:r>
              <w:rPr>
                <w:rFonts w:hint="eastAsia" w:ascii="宋体" w:hAnsi="宋体"/>
                <w:color w:val="auto"/>
                <w:sz w:val="21"/>
                <w:szCs w:val="21"/>
                <w:highlight w:val="none"/>
              </w:rPr>
              <w:t>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both"/>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5"/>
    <w:p>
      <w:pPr>
        <w:pStyle w:val="5"/>
        <w:adjustRightInd w:val="0"/>
        <w:snapToGrid w:val="0"/>
        <w:spacing w:before="0" w:after="0" w:line="360" w:lineRule="exact"/>
        <w:rPr>
          <w:rFonts w:hint="eastAsia" w:ascii="宋体" w:hAnsi="宋体" w:eastAsia="宋体" w:cs="宋体"/>
          <w:color w:val="auto"/>
          <w:sz w:val="21"/>
          <w:szCs w:val="21"/>
          <w:highlight w:val="none"/>
          <w:lang w:eastAsia="zh-CN"/>
        </w:rPr>
      </w:pPr>
      <w:bookmarkStart w:id="49" w:name="_Toc471299103"/>
      <w:bookmarkStart w:id="50" w:name="_Toc5932"/>
      <w:r>
        <w:rPr>
          <w:rFonts w:hint="eastAsia" w:ascii="宋体" w:hAnsi="宋体" w:eastAsia="宋体" w:cs="宋体"/>
          <w:color w:val="auto"/>
          <w:sz w:val="21"/>
          <w:szCs w:val="21"/>
          <w:highlight w:val="none"/>
        </w:rPr>
        <w:t>附件</w:t>
      </w:r>
      <w:bookmarkEnd w:id="49"/>
      <w:bookmarkEnd w:id="50"/>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1" w:name="_Toc10142_WPSOffice_Level1"/>
      <w:r>
        <w:rPr>
          <w:rFonts w:hint="eastAsia"/>
          <w:b/>
          <w:bCs/>
          <w:color w:val="auto"/>
          <w:sz w:val="28"/>
          <w:szCs w:val="28"/>
          <w:highlight w:val="none"/>
        </w:rPr>
        <w:t>供应商基本信息</w:t>
      </w:r>
      <w:bookmarkEnd w:id="51"/>
    </w:p>
    <w:p>
      <w:pPr>
        <w:pStyle w:val="17"/>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ascii="宋体" w:hAnsi="宋体" w:eastAsia="宋体" w:cs="宋体"/>
          <w:i w:val="0"/>
          <w:caps w:val="0"/>
          <w:color w:val="auto"/>
          <w:spacing w:val="0"/>
          <w:kern w:val="2"/>
          <w:sz w:val="21"/>
          <w:szCs w:val="21"/>
          <w:highlight w:val="none"/>
          <w:shd w:val="clear" w:color="auto" w:fill="FFFFFF"/>
          <w:lang w:val="en-US" w:eastAsia="zh-CN" w:bidi="ar-SA"/>
        </w:rPr>
      </w:pPr>
      <w:bookmarkStart w:id="52" w:name="_Toc5936_WPSOffice_Level1"/>
      <w:r>
        <w:rPr>
          <w:rFonts w:hint="eastAsia" w:ascii="宋体" w:hAnsi="宋体" w:eastAsia="宋体" w:cs="宋体"/>
          <w:i w:val="0"/>
          <w:caps w:val="0"/>
          <w:color w:val="auto"/>
          <w:spacing w:val="0"/>
          <w:kern w:val="2"/>
          <w:sz w:val="21"/>
          <w:szCs w:val="21"/>
          <w:highlight w:val="none"/>
          <w:shd w:val="clear" w:color="auto" w:fill="FFFFFF"/>
          <w:lang w:val="en-US" w:eastAsia="zh-CN" w:bidi="ar-SA"/>
        </w:rPr>
        <w:t>（格式自拟）</w:t>
      </w:r>
      <w:bookmarkEnd w:id="52"/>
    </w:p>
    <w:p>
      <w:pPr>
        <w:pStyle w:val="5"/>
        <w:adjustRightInd w:val="0"/>
        <w:snapToGrid w:val="0"/>
        <w:spacing w:before="0" w:after="0" w:line="360" w:lineRule="exact"/>
        <w:rPr>
          <w:rFonts w:hint="eastAsia" w:ascii="宋体" w:hAnsi="宋体" w:eastAsia="宋体" w:cs="宋体"/>
          <w:color w:val="auto"/>
          <w:sz w:val="21"/>
          <w:szCs w:val="21"/>
          <w:highlight w:val="none"/>
        </w:rPr>
      </w:pPr>
      <w:bookmarkStart w:id="53" w:name="_Toc471299104"/>
      <w:bookmarkStart w:id="54" w:name="_Toc31656"/>
    </w:p>
    <w:p>
      <w:pPr>
        <w:pStyle w:val="5"/>
        <w:adjustRightInd w:val="0"/>
        <w:snapToGrid w:val="0"/>
        <w:spacing w:before="0" w:after="0" w:line="360" w:lineRule="exact"/>
        <w:rPr>
          <w:rFonts w:hint="eastAsia" w:ascii="宋体" w:hAnsi="宋体" w:eastAsia="宋体" w:cs="宋体"/>
          <w:color w:val="auto"/>
          <w:sz w:val="21"/>
          <w:szCs w:val="21"/>
          <w:highlight w:val="none"/>
        </w:rPr>
      </w:pPr>
    </w:p>
    <w:p>
      <w:pPr>
        <w:pStyle w:val="5"/>
        <w:adjustRightInd w:val="0"/>
        <w:snapToGrid w:val="0"/>
        <w:spacing w:before="0" w:after="0" w:line="3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53"/>
      <w:bookmarkEnd w:id="54"/>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55" w:name="_Toc8862_WPSOffice_Level1"/>
      <w:bookmarkStart w:id="56"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55"/>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5"/>
        <w:adjustRightInd w:val="0"/>
        <w:snapToGrid w:val="0"/>
        <w:spacing w:before="0" w:after="0" w:line="360" w:lineRule="exact"/>
        <w:rPr>
          <w:rFonts w:hint="eastAsia" w:ascii="宋体" w:hAnsi="宋体" w:eastAsia="宋体" w:cs="宋体"/>
          <w:color w:val="auto"/>
          <w:sz w:val="21"/>
          <w:szCs w:val="21"/>
          <w:highlight w:val="none"/>
        </w:rPr>
      </w:pPr>
      <w:bookmarkStart w:id="57" w:name="_Toc26907"/>
    </w:p>
    <w:p>
      <w:pPr>
        <w:pStyle w:val="5"/>
        <w:adjustRightInd w:val="0"/>
        <w:snapToGrid w:val="0"/>
        <w:spacing w:before="0" w:after="0" w:line="3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56"/>
      <w:bookmarkEnd w:id="57"/>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58" w:name="_Toc3858_WPSOffice_Level1"/>
      <w:bookmarkStart w:id="59" w:name="_Toc148501698"/>
      <w:bookmarkStart w:id="60" w:name="_Toc516969098"/>
      <w:r>
        <w:rPr>
          <w:rFonts w:hint="eastAsia"/>
          <w:b/>
          <w:bCs/>
          <w:color w:val="auto"/>
          <w:sz w:val="28"/>
          <w:szCs w:val="28"/>
          <w:highlight w:val="none"/>
        </w:rPr>
        <w:t>响应函</w:t>
      </w:r>
      <w:bookmarkEnd w:id="58"/>
      <w:bookmarkEnd w:id="59"/>
      <w:bookmarkEnd w:id="60"/>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5"/>
        <w:adjustRightInd w:val="0"/>
        <w:snapToGrid w:val="0"/>
        <w:spacing w:before="0" w:after="0" w:line="360" w:lineRule="exact"/>
        <w:rPr>
          <w:rFonts w:hint="eastAsia" w:ascii="宋体" w:hAnsi="宋体" w:eastAsia="宋体" w:cs="宋体"/>
          <w:color w:val="auto"/>
          <w:sz w:val="21"/>
          <w:szCs w:val="21"/>
          <w:highlight w:val="none"/>
          <w:lang w:eastAsia="zh-CN"/>
        </w:rPr>
      </w:pPr>
      <w:bookmarkStart w:id="61" w:name="_Toc30711"/>
      <w:bookmarkStart w:id="62" w:name="_Toc471299106"/>
      <w:bookmarkStart w:id="63" w:name="_Toc417045478"/>
      <w:r>
        <w:rPr>
          <w:rFonts w:hint="eastAsia" w:ascii="宋体" w:hAnsi="宋体" w:eastAsia="宋体" w:cs="宋体"/>
          <w:color w:val="auto"/>
          <w:sz w:val="21"/>
          <w:szCs w:val="21"/>
          <w:highlight w:val="none"/>
        </w:rPr>
        <w:t>附件</w:t>
      </w:r>
      <w:bookmarkEnd w:id="61"/>
      <w:bookmarkEnd w:id="62"/>
      <w:bookmarkEnd w:id="63"/>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4" w:name="_Toc1513_WPSOffice_Level1"/>
      <w:r>
        <w:rPr>
          <w:rFonts w:hint="eastAsia"/>
          <w:b/>
          <w:bCs/>
          <w:color w:val="auto"/>
          <w:sz w:val="28"/>
          <w:szCs w:val="28"/>
          <w:highlight w:val="none"/>
          <w:lang w:val="zh-CN"/>
        </w:rPr>
        <w:t>无重大违法记录声明函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65" w:name="_Toc29566_WPSOffice_Level1"/>
      <w:r>
        <w:rPr>
          <w:rFonts w:hint="eastAsia"/>
          <w:b/>
          <w:bCs/>
          <w:color w:val="auto"/>
          <w:sz w:val="28"/>
          <w:szCs w:val="28"/>
          <w:highlight w:val="none"/>
          <w:lang w:val="zh-CN"/>
        </w:rPr>
        <w:t>无不良信用记录承诺函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66" w:name="_Toc363199274"/>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67" w:name="_Toc471299107"/>
      <w:r>
        <w:rPr>
          <w:rFonts w:hint="eastAsia"/>
          <w:color w:val="auto"/>
          <w:sz w:val="24"/>
          <w:szCs w:val="24"/>
          <w:highlight w:val="none"/>
        </w:rPr>
        <w:br w:type="page"/>
      </w:r>
      <w:bookmarkStart w:id="68" w:name="_Toc3574"/>
      <w:r>
        <w:rPr>
          <w:rFonts w:hint="eastAsia" w:ascii="宋体" w:hAnsi="宋体" w:eastAsia="宋体" w:cs="宋体"/>
          <w:color w:val="auto"/>
          <w:sz w:val="21"/>
          <w:szCs w:val="21"/>
          <w:highlight w:val="none"/>
        </w:rPr>
        <w:t>附件</w:t>
      </w:r>
      <w:bookmarkEnd w:id="66"/>
      <w:bookmarkEnd w:id="67"/>
      <w:bookmarkEnd w:id="68"/>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69" w:name="_Toc24671_WPSOffice_Level1"/>
      <w:r>
        <w:rPr>
          <w:rFonts w:hint="eastAsia"/>
          <w:b/>
          <w:bCs/>
          <w:color w:val="auto"/>
          <w:sz w:val="28"/>
          <w:szCs w:val="28"/>
          <w:highlight w:val="none"/>
          <w:lang w:val="zh-CN"/>
        </w:rPr>
        <w:t>询价响应表</w:t>
      </w:r>
      <w:bookmarkEnd w:id="69"/>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注：1、供应商必须逐项对应描述</w:t>
      </w:r>
      <w:r>
        <w:rPr>
          <w:rFonts w:hint="eastAsia" w:ascii="宋体" w:hAnsi="宋体"/>
          <w:b/>
          <w:bCs/>
          <w:color w:val="auto"/>
          <w:sz w:val="21"/>
          <w:szCs w:val="21"/>
          <w:highlight w:val="none"/>
          <w:lang w:val="en-US" w:eastAsia="zh-CN"/>
        </w:rPr>
        <w:t>货物</w:t>
      </w:r>
      <w:r>
        <w:rPr>
          <w:rFonts w:hint="eastAsia" w:ascii="宋体" w:hAnsi="宋体"/>
          <w:b/>
          <w:bCs/>
          <w:color w:val="auto"/>
          <w:sz w:val="21"/>
          <w:szCs w:val="21"/>
          <w:highlight w:val="none"/>
        </w:rPr>
        <w:t>主要参数、材质、配置及服务要求，如不进行描述，仅在响应栏填“响应”或未填写或复制（包括全部复制或主要参数及配置的复制）询价文件技术参数的，均可能导致响应无效；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hint="eastAsia" w:ascii="宋体" w:hAnsi="宋体"/>
          <w:b/>
          <w:bCs/>
          <w:color w:val="auto"/>
          <w:sz w:val="21"/>
          <w:szCs w:val="21"/>
          <w:highlight w:val="none"/>
        </w:rPr>
      </w:pPr>
      <w:r>
        <w:rPr>
          <w:rFonts w:hint="eastAsia" w:ascii="宋体" w:hAnsi="宋体"/>
          <w:b/>
          <w:bCs/>
          <w:color w:val="auto"/>
          <w:sz w:val="21"/>
          <w:szCs w:val="21"/>
          <w:highlight w:val="none"/>
        </w:rPr>
        <w:t>3、响应部分可后附详细说明及技术资料。</w:t>
      </w:r>
    </w:p>
    <w:p>
      <w:pPr>
        <w:pStyle w:val="18"/>
        <w:rPr>
          <w:rFonts w:hint="eastAsia" w:eastAsia="宋体"/>
          <w:lang w:val="en-US" w:eastAsia="zh-CN"/>
        </w:rPr>
      </w:pPr>
      <w:r>
        <w:rPr>
          <w:rFonts w:hint="eastAsia" w:ascii="宋体" w:hAnsi="宋体"/>
          <w:b/>
          <w:bCs/>
          <w:color w:val="auto"/>
          <w:sz w:val="21"/>
          <w:szCs w:val="21"/>
          <w:highlight w:val="none"/>
          <w:lang w:val="en-US" w:eastAsia="zh-CN"/>
        </w:rPr>
        <w:t>4、询价响应表可自行拟定。</w:t>
      </w:r>
    </w:p>
    <w:p>
      <w:pPr>
        <w:rPr>
          <w:rFonts w:hint="eastAsia"/>
          <w:highlight w:val="none"/>
        </w:rPr>
      </w:pPr>
      <w:bookmarkStart w:id="70" w:name="_Toc471299110"/>
      <w:bookmarkStart w:id="71" w:name="_Toc27567"/>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ind w:left="0" w:leftChars="0" w:firstLine="0" w:firstLineChars="0"/>
        <w:rPr>
          <w:rFonts w:hint="eastAsia"/>
          <w:highlight w:val="none"/>
        </w:rPr>
      </w:pP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70"/>
      <w:bookmarkEnd w:id="71"/>
      <w:r>
        <w:rPr>
          <w:rFonts w:hint="eastAsia" w:ascii="宋体" w:hAnsi="宋体" w:eastAsia="宋体" w:cs="宋体"/>
          <w:b/>
          <w:bCs/>
          <w:color w:val="auto"/>
          <w:kern w:val="2"/>
          <w:sz w:val="21"/>
          <w:szCs w:val="21"/>
          <w:highlight w:val="none"/>
          <w:lang w:val="en-US" w:eastAsia="zh-CN" w:bidi="ar-SA"/>
        </w:rPr>
        <w:t>六</w:t>
      </w:r>
      <w:bookmarkStart w:id="72"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rPr>
            </w:pPr>
            <w:r>
              <w:rPr>
                <w:rFonts w:hint="eastAsia"/>
                <w:lang w:eastAsia="zh-CN"/>
              </w:rPr>
              <w:t>响应</w:t>
            </w:r>
            <w:r>
              <w:rPr>
                <w:rFonts w:hint="eastAsia"/>
              </w:rPr>
              <w:t>报价（人民币）</w:t>
            </w:r>
          </w:p>
          <w:p>
            <w:pPr>
              <w:spacing w:line="440" w:lineRule="exact"/>
              <w:jc w:val="center"/>
              <w:rPr>
                <w:rFonts w:hint="eastAsia" w:eastAsia="宋体"/>
                <w:lang w:eastAsia="zh-CN"/>
              </w:rPr>
            </w:pPr>
          </w:p>
        </w:tc>
        <w:tc>
          <w:tcPr>
            <w:tcW w:w="6825" w:type="dxa"/>
            <w:tcBorders>
              <w:top w:val="single" w:color="auto" w:sz="4" w:space="0"/>
              <w:left w:val="single" w:color="auto" w:sz="4" w:space="0"/>
              <w:bottom w:val="single" w:color="auto" w:sz="4" w:space="0"/>
              <w:right w:val="single" w:color="auto" w:sz="4" w:space="0"/>
            </w:tcBorders>
            <w:vAlign w:val="center"/>
          </w:tcPr>
          <w:p>
            <w:pPr>
              <w:pStyle w:val="17"/>
              <w:ind w:left="0" w:leftChars="0" w:firstLine="0" w:firstLineChars="0"/>
              <w:rPr>
                <w:rFonts w:hint="default"/>
                <w:highlight w:val="none"/>
                <w:lang w:val="en-US" w:eastAsia="zh-CN"/>
              </w:rPr>
            </w:pPr>
            <w:r>
              <w:rPr>
                <w:rFonts w:hint="eastAsia"/>
                <w:highlight w:val="none"/>
                <w:lang w:eastAsia="zh-CN"/>
              </w:rPr>
              <w:t>小写：</w:t>
            </w:r>
            <w:r>
              <w:rPr>
                <w:rFonts w:hint="eastAsia"/>
                <w:highlight w:val="none"/>
                <w:lang w:val="en-US" w:eastAsia="zh-CN"/>
              </w:rPr>
              <w:t xml:space="preserve">                      元</w:t>
            </w:r>
          </w:p>
          <w:p>
            <w:pPr>
              <w:pStyle w:val="17"/>
              <w:ind w:left="0" w:leftChars="0" w:firstLine="0" w:firstLineChars="0"/>
              <w:rPr>
                <w:rFonts w:hint="eastAsia"/>
                <w:highlight w:val="none"/>
                <w:lang w:val="en-US" w:eastAsia="zh-CN"/>
              </w:rPr>
            </w:pPr>
            <w:r>
              <w:rPr>
                <w:rFonts w:hint="eastAsia"/>
                <w:highlight w:val="none"/>
                <w:lang w:val="en-US" w:eastAsia="zh-CN"/>
              </w:rPr>
              <w:t>大写：                      元</w:t>
            </w:r>
          </w:p>
          <w:p>
            <w:pPr>
              <w:pStyle w:val="17"/>
              <w:ind w:left="0" w:leftChars="0" w:firstLine="0" w:firstLineChars="0"/>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eastAsia="宋体" w:cs="宋体"/>
                <w:b/>
                <w:color w:val="auto"/>
                <w:kern w:val="2"/>
                <w:sz w:val="21"/>
                <w:szCs w:val="21"/>
                <w:highlight w:val="none"/>
                <w:lang w:val="en-US" w:eastAsia="zh-CN" w:bidi="ar-SA"/>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0" w:type="auto"/>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p>
        </w:tc>
        <w:tc>
          <w:tcPr>
            <w:tcW w:w="0" w:type="auto"/>
            <w:vAlign w:val="center"/>
          </w:tcPr>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w:t>
      </w:r>
    </w:p>
    <w:p>
      <w:pPr>
        <w:widowControl/>
        <w:numPr>
          <w:ilvl w:val="0"/>
          <w:numId w:val="0"/>
        </w:numPr>
        <w:adjustRightInd w:val="0"/>
        <w:snapToGrid w:val="0"/>
        <w:spacing w:line="320" w:lineRule="auto"/>
        <w:ind w:leftChars="0" w:firstLine="420" w:firstLineChars="200"/>
        <w:jc w:val="left"/>
        <w:rPr>
          <w:rFonts w:hint="default" w:ascii="宋体" w:hAnsi="宋体" w:eastAsia="宋体" w:cs="宋体"/>
          <w:bCs/>
          <w:color w:val="auto"/>
          <w:kern w:val="2"/>
          <w:sz w:val="21"/>
          <w:szCs w:val="21"/>
          <w:highlight w:val="none"/>
          <w:lang w:val="en-US" w:eastAsia="zh-CN" w:bidi="ar-SA"/>
        </w:rPr>
      </w:pP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本《项目报价书》中如存在大写金额与小写金额不一致的，投标人须以大写金额为准进行修正；总价金额与依据单价计算出的结果不一致的，须以单价金额为准进行修正，除单价金额小数点有明显错误。</w:t>
      </w:r>
    </w:p>
    <w:p>
      <w:pPr>
        <w:pStyle w:val="17"/>
        <w:numPr>
          <w:ilvl w:val="0"/>
          <w:numId w:val="0"/>
        </w:numPr>
        <w:ind w:leftChars="0"/>
        <w:rPr>
          <w:rFonts w:hint="default"/>
          <w:lang w:val="en-US" w:eastAsia="zh-CN"/>
        </w:rPr>
      </w:pP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（公章）：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highlight w:val="none"/>
        </w:rPr>
      </w:pPr>
      <w:r>
        <w:rPr>
          <w:rFonts w:hint="eastAsia" w:ascii="宋体" w:hAnsi="宋体" w:cs="宋体"/>
          <w:color w:val="auto"/>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28"/>
          <w:szCs w:val="28"/>
          <w:highlight w:val="none"/>
          <w:lang w:val="en-US" w:eastAsia="zh-CN"/>
          <w14:textFill>
            <w14:solidFill>
              <w14:schemeClr w14:val="tx1"/>
            </w14:solidFill>
          </w14:textFill>
        </w:rPr>
      </w:pPr>
      <w:r>
        <w:rPr>
          <w:rFonts w:hint="eastAsia" w:ascii="宋体" w:hAnsi="宋体" w:cs="宋体"/>
          <w:b/>
          <w:color w:val="000000" w:themeColor="text1"/>
          <w:sz w:val="28"/>
          <w:szCs w:val="28"/>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3"/>
        <w:gridCol w:w="1395"/>
        <w:gridCol w:w="1395"/>
        <w:gridCol w:w="1410"/>
        <w:gridCol w:w="1125"/>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20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型号</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单位</w:t>
            </w:r>
          </w:p>
        </w:tc>
        <w:tc>
          <w:tcPr>
            <w:tcW w:w="14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12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单价（元）</w:t>
            </w:r>
          </w:p>
        </w:tc>
        <w:tc>
          <w:tcPr>
            <w:tcW w:w="149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207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jc w:val="both"/>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207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pStyle w:val="18"/>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合计</w:t>
            </w:r>
            <w:r>
              <w:rPr>
                <w:rFonts w:hint="eastAsia" w:ascii="Times New Roman" w:hAnsi="Times New Roman" w:eastAsia="宋体" w:cs="Times New Roman"/>
                <w:kern w:val="2"/>
                <w:sz w:val="21"/>
                <w:szCs w:val="20"/>
                <w:lang w:val="en-US" w:eastAsia="zh-CN" w:bidi="ar-SA"/>
              </w:rPr>
              <w:t>报价：       元</w:t>
            </w:r>
          </w:p>
          <w:p>
            <w:pPr>
              <w:rPr>
                <w:rFonts w:hint="default"/>
                <w:lang w:val="en-US" w:eastAsia="zh-CN"/>
              </w:rPr>
            </w:pP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备注：请供应商按以上格式认真填写，不得随意更改</w:t>
      </w:r>
      <w:r>
        <w:rPr>
          <w:rFonts w:hint="eastAsia" w:ascii="宋体" w:hAnsi="宋体" w:cs="宋体"/>
          <w:color w:val="000000" w:themeColor="text1"/>
          <w:sz w:val="21"/>
          <w:szCs w:val="21"/>
          <w:highlight w:val="none"/>
          <w:lang w:eastAsia="zh-CN"/>
          <w14:textFill>
            <w14:solidFill>
              <w14:schemeClr w14:val="tx1"/>
            </w14:solidFill>
          </w14:textFill>
        </w:rPr>
        <w:t>采购需求</w:t>
      </w:r>
      <w:r>
        <w:rPr>
          <w:rFonts w:hint="eastAsia" w:ascii="宋体" w:hAnsi="宋体" w:eastAsia="宋体" w:cs="宋体"/>
          <w:color w:val="000000" w:themeColor="text1"/>
          <w:sz w:val="21"/>
          <w:szCs w:val="21"/>
          <w:highlight w:val="none"/>
          <w14:textFill>
            <w14:solidFill>
              <w14:schemeClr w14:val="tx1"/>
            </w14:solidFill>
          </w14:textFill>
        </w:rPr>
        <w:t>，如填写错误以</w:t>
      </w:r>
      <w:r>
        <w:rPr>
          <w:rFonts w:hint="eastAsia" w:ascii="宋体" w:hAnsi="宋体" w:cs="宋体"/>
          <w:color w:val="000000" w:themeColor="text1"/>
          <w:sz w:val="21"/>
          <w:szCs w:val="21"/>
          <w:highlight w:val="none"/>
          <w:lang w:eastAsia="zh-CN"/>
          <w14:textFill>
            <w14:solidFill>
              <w14:schemeClr w14:val="tx1"/>
            </w14:solidFill>
          </w14:textFill>
        </w:rPr>
        <w:t>询价</w:t>
      </w:r>
      <w:r>
        <w:rPr>
          <w:rFonts w:hint="eastAsia" w:ascii="宋体" w:hAnsi="宋体" w:eastAsia="宋体" w:cs="宋体"/>
          <w:color w:val="000000" w:themeColor="text1"/>
          <w:sz w:val="21"/>
          <w:szCs w:val="21"/>
          <w:highlight w:val="none"/>
          <w14:textFill>
            <w14:solidFill>
              <w14:schemeClr w14:val="tx1"/>
            </w14:solidFill>
          </w14:textFill>
        </w:rPr>
        <w:t>文件要求为准。</w:t>
      </w:r>
      <w:r>
        <w:rPr>
          <w:rFonts w:hint="eastAsia" w:ascii="宋体" w:hAnsi="宋体" w:eastAsia="宋体" w:cs="宋体"/>
          <w:color w:val="000000" w:themeColor="text1"/>
          <w:sz w:val="21"/>
          <w:szCs w:val="21"/>
          <w:highlight w:val="none"/>
          <w:lang w:eastAsia="zh-CN"/>
          <w14:textFill>
            <w14:solidFill>
              <w14:schemeClr w14:val="tx1"/>
            </w14:solidFill>
          </w14:textFill>
        </w:rPr>
        <w:t>供应商参考工程量清单项目特征描述按照采购需求</w:t>
      </w:r>
      <w:r>
        <w:rPr>
          <w:rFonts w:hint="eastAsia" w:ascii="宋体" w:hAnsi="宋体" w:cs="宋体"/>
          <w:color w:val="000000" w:themeColor="text1"/>
          <w:sz w:val="21"/>
          <w:szCs w:val="21"/>
          <w:highlight w:val="none"/>
          <w:lang w:eastAsia="zh-CN"/>
          <w14:textFill>
            <w14:solidFill>
              <w14:schemeClr w14:val="tx1"/>
            </w14:solidFill>
          </w14:textFill>
        </w:rPr>
        <w:t>及采购清单分项报价并</w:t>
      </w:r>
      <w:r>
        <w:rPr>
          <w:rFonts w:hint="eastAsia" w:ascii="宋体" w:hAnsi="宋体" w:eastAsia="宋体" w:cs="宋体"/>
          <w:color w:val="000000" w:themeColor="text1"/>
          <w:sz w:val="21"/>
          <w:szCs w:val="21"/>
          <w:highlight w:val="none"/>
          <w:lang w:eastAsia="zh-CN"/>
          <w14:textFill>
            <w14:solidFill>
              <w14:schemeClr w14:val="tx1"/>
            </w14:solidFill>
          </w14:textFill>
        </w:rPr>
        <w:t>汇总</w:t>
      </w:r>
      <w:r>
        <w:rPr>
          <w:rFonts w:hint="eastAsia" w:ascii="宋体" w:hAnsi="宋体" w:cs="宋体"/>
          <w:color w:val="auto"/>
          <w:sz w:val="24"/>
          <w:szCs w:val="24"/>
          <w:highlight w:val="none"/>
          <w:lang w:eastAsia="zh-CN"/>
        </w:rPr>
        <w:t>。</w:t>
      </w:r>
    </w:p>
    <w:p>
      <w:pPr>
        <w:pStyle w:val="17"/>
        <w:rPr>
          <w:rFonts w:hint="eastAsia"/>
          <w:highlight w:val="none"/>
          <w:lang w:eastAsia="zh-CN"/>
        </w:rPr>
      </w:pPr>
    </w:p>
    <w:p>
      <w:pPr>
        <w:pStyle w:val="17"/>
        <w:ind w:left="0" w:leftChars="0" w:firstLine="0" w:firstLineChars="0"/>
        <w:rPr>
          <w:rFonts w:hint="eastAsia"/>
          <w:highlight w:val="none"/>
          <w:lang w:eastAsia="zh-CN"/>
        </w:rPr>
      </w:pP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2"/>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3"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hint="eastAsia" w:ascii="宋体" w:hAnsi="宋体" w:eastAsia="宋体" w:cs="宋体"/>
          <w:color w:val="auto"/>
          <w:sz w:val="21"/>
          <w:szCs w:val="21"/>
          <w:highlight w:val="none"/>
        </w:rPr>
      </w:pPr>
      <w:r>
        <w:rPr>
          <w:rFonts w:hint="eastAsia" w:ascii="宋体" w:hAnsi="宋体"/>
          <w:b/>
          <w:color w:val="auto"/>
          <w:sz w:val="21"/>
          <w:szCs w:val="21"/>
          <w:highlight w:val="none"/>
        </w:rPr>
        <w:t>（格式自定）</w:t>
      </w:r>
      <w:bookmarkStart w:id="74" w:name="_Toc27705"/>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p>
    <w:p>
      <w:pPr>
        <w:pStyle w:val="17"/>
        <w:rPr>
          <w:rFonts w:hint="eastAsia"/>
        </w:rPr>
      </w:pP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74"/>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75" w:name="_Toc1950_WPSOffice_Level1"/>
      <w:r>
        <w:rPr>
          <w:rFonts w:hint="eastAsia"/>
          <w:b/>
          <w:bCs/>
          <w:color w:val="auto"/>
          <w:sz w:val="28"/>
          <w:szCs w:val="28"/>
          <w:highlight w:val="none"/>
          <w:lang w:val="zh-CN"/>
        </w:rPr>
        <w:t>询价文件要求和供应商认为需要提供的其它说明和资料</w:t>
      </w:r>
      <w:bookmarkEnd w:id="75"/>
    </w:p>
    <w:p>
      <w:pPr>
        <w:tabs>
          <w:tab w:val="left" w:pos="4620"/>
        </w:tabs>
        <w:spacing w:line="560" w:lineRule="exact"/>
        <w:jc w:val="center"/>
        <w:rPr>
          <w:rStyle w:val="42"/>
          <w:rFonts w:hint="default"/>
          <w:color w:val="auto"/>
          <w:sz w:val="28"/>
          <w:szCs w:val="28"/>
          <w:highlight w:val="none"/>
          <w:lang w:val="en-US" w:eastAsia="zh-CN"/>
        </w:rPr>
      </w:pPr>
      <w:bookmarkStart w:id="76" w:name="_Toc19844_WPSOffice_Level1"/>
      <w:bookmarkStart w:id="77" w:name="_Toc3085"/>
      <w:r>
        <w:rPr>
          <w:rStyle w:val="42"/>
          <w:rFonts w:hint="eastAsia"/>
          <w:color w:val="auto"/>
          <w:sz w:val="28"/>
          <w:szCs w:val="28"/>
          <w:highlight w:val="none"/>
          <w:lang w:val="en-US" w:eastAsia="zh-CN"/>
        </w:rPr>
        <w:t>（如投标人业绩等）</w:t>
      </w:r>
    </w:p>
    <w:p>
      <w:pPr>
        <w:tabs>
          <w:tab w:val="left" w:pos="4620"/>
        </w:tabs>
        <w:spacing w:line="560" w:lineRule="exact"/>
        <w:jc w:val="left"/>
        <w:rPr>
          <w:rStyle w:val="42"/>
          <w:rFonts w:hint="eastAsia"/>
          <w:color w:val="auto"/>
          <w:sz w:val="21"/>
          <w:szCs w:val="21"/>
          <w:highlight w:val="none"/>
          <w:lang w:val="en-US" w:eastAsia="zh-CN"/>
        </w:rPr>
      </w:pPr>
    </w:p>
    <w:bookmarkEnd w:id="76"/>
    <w:bookmarkEnd w:id="77"/>
    <w:p>
      <w:pPr>
        <w:spacing w:line="440" w:lineRule="exact"/>
        <w:rPr>
          <w:rFonts w:hint="eastAsia" w:ascii="宋体" w:hAnsi="宋体" w:cs="宋体"/>
          <w:b/>
          <w:bCs/>
          <w:color w:val="auto"/>
          <w:sz w:val="24"/>
          <w:szCs w:val="24"/>
          <w:highlight w:val="none"/>
        </w:rPr>
      </w:pPr>
      <w:bookmarkStart w:id="78" w:name="_Toc16902_WPSOffice_Level1"/>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78"/>
      <w:r>
        <w:rPr>
          <w:rFonts w:hint="eastAsia" w:ascii="宋体" w:hAnsi="宋体" w:eastAsia="宋体" w:cs="宋体"/>
          <w:color w:val="auto"/>
          <w:sz w:val="21"/>
          <w:szCs w:val="21"/>
          <w:highlight w:val="none"/>
          <w:lang w:eastAsia="zh-CN"/>
        </w:rPr>
        <w:t>九</w:t>
      </w:r>
    </w:p>
    <w:p>
      <w:pPr>
        <w:spacing w:line="400" w:lineRule="exact"/>
        <w:jc w:val="center"/>
        <w:rPr>
          <w:rFonts w:hint="default" w:ascii="宋体" w:hAnsi="宋体" w:eastAsia="宋体" w:cs="宋体"/>
          <w:b/>
          <w:color w:val="auto"/>
          <w:sz w:val="28"/>
          <w:szCs w:val="28"/>
          <w:highlight w:val="none"/>
          <w:shd w:val="clear" w:color="auto" w:fill="FFFFFF"/>
          <w:lang w:val="en-US" w:eastAsia="zh-CN"/>
        </w:rPr>
      </w:pPr>
      <w:bookmarkStart w:id="79"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w:t>
      </w:r>
      <w:bookmarkEnd w:id="79"/>
      <w:r>
        <w:rPr>
          <w:rFonts w:hint="eastAsia" w:ascii="宋体" w:hAnsi="宋体" w:cs="宋体"/>
          <w:b/>
          <w:color w:val="auto"/>
          <w:sz w:val="28"/>
          <w:szCs w:val="28"/>
          <w:highlight w:val="none"/>
          <w:shd w:val="clear" w:color="auto" w:fill="FFFFFF"/>
          <w:lang w:val="en-US" w:eastAsia="zh-CN"/>
        </w:rPr>
        <w:t>公示</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0" w:name="_Toc3059_WPSOffice_Level1"/>
      <w:r>
        <w:rPr>
          <w:rFonts w:hint="eastAsia" w:ascii="宋体" w:hAnsi="宋体" w:cs="宋体"/>
          <w:bCs/>
          <w:color w:val="auto"/>
          <w:highlight w:val="none"/>
          <w:shd w:val="clear" w:color="auto" w:fill="FFFFFF"/>
        </w:rPr>
        <w:t>一、项目相关情况</w:t>
      </w:r>
      <w:bookmarkEnd w:id="80"/>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期限：      年     月      日至      年     月     日</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霍山县国投大厦，一隆路与霍山大道交叉口</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Times New Roman"/>
          <w:bCs/>
          <w:color w:val="auto"/>
          <w:sz w:val="21"/>
          <w:szCs w:val="21"/>
          <w:highlight w:val="none"/>
          <w:lang w:val="en-US" w:eastAsia="zh-CN"/>
        </w:rPr>
        <w:t>霍山县农业农村局</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1" w:name="_Toc21327_WPSOffice_Level1"/>
      <w:r>
        <w:rPr>
          <w:rFonts w:hint="eastAsia" w:ascii="宋体" w:hAnsi="宋体" w:cs="宋体"/>
          <w:bCs/>
          <w:color w:val="auto"/>
          <w:highlight w:val="none"/>
          <w:shd w:val="clear" w:color="auto" w:fill="FFFFFF"/>
        </w:rPr>
        <w:t>二、质疑提起的条件及不予受理的情形</w:t>
      </w:r>
      <w:bookmarkEnd w:id="81"/>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eastAsia="宋体" w:cs="宋体"/>
          <w:bCs/>
          <w:color w:val="auto"/>
          <w:highlight w:val="none"/>
          <w:shd w:val="clear" w:color="auto" w:fill="FFFFFF"/>
          <w:lang w:val="en-US" w:eastAsia="zh-CN"/>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r>
        <w:rPr>
          <w:rFonts w:hint="eastAsia" w:ascii="宋体" w:hAnsi="宋体" w:cs="宋体"/>
          <w:bCs/>
          <w:color w:val="auto"/>
          <w:highlight w:val="none"/>
          <w:shd w:val="clear" w:color="auto" w:fill="FFFFFF"/>
          <w:lang w:eastAsia="zh-CN"/>
        </w:rPr>
        <w:t>。</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2" w:name="_Toc17685_WPSOffice_Level1"/>
      <w:r>
        <w:rPr>
          <w:rFonts w:hint="eastAsia" w:ascii="宋体" w:hAnsi="宋体" w:cs="宋体"/>
          <w:bCs/>
          <w:color w:val="auto"/>
          <w:highlight w:val="none"/>
          <w:shd w:val="clear" w:color="auto" w:fill="FFFFFF"/>
        </w:rPr>
        <w:t>三、其他</w:t>
      </w:r>
      <w:bookmarkEnd w:id="82"/>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83"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附件十</w:t>
      </w:r>
      <w:bookmarkEnd w:id="83"/>
    </w:p>
    <w:p>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ascii="宋体" w:hAnsi="宋体" w:cs="宋体"/>
          <w:b/>
          <w:bCs/>
          <w:color w:val="000000"/>
          <w:sz w:val="24"/>
          <w:szCs w:val="24"/>
          <w:highlight w:val="none"/>
          <w:lang w:eastAsia="zh-CN"/>
        </w:rPr>
      </w:pPr>
      <w:r>
        <w:rPr>
          <w:rFonts w:hint="eastAsia"/>
          <w:b/>
          <w:bCs/>
          <w:highlight w:val="none"/>
          <w:lang w:val="en-US" w:eastAsia="zh-CN"/>
        </w:rPr>
        <w:t>备注：</w:t>
      </w:r>
      <w:r>
        <w:rPr>
          <w:rFonts w:hint="eastAsia" w:ascii="宋体" w:hAnsi="宋体" w:cs="宋体"/>
          <w:b/>
          <w:bCs/>
          <w:color w:val="000000"/>
          <w:sz w:val="24"/>
          <w:szCs w:val="24"/>
          <w:highlight w:val="none"/>
          <w:lang w:eastAsia="zh-CN"/>
        </w:rPr>
        <w:t>参照财政部</w:t>
      </w:r>
      <w:r>
        <w:rPr>
          <w:rFonts w:hint="eastAsia" w:ascii="宋体" w:hAnsi="宋体" w:cs="宋体"/>
          <w:b/>
          <w:bCs/>
          <w:color w:val="000000"/>
          <w:sz w:val="24"/>
          <w:szCs w:val="24"/>
          <w:highlight w:val="none"/>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p>
      <w:pPr>
        <w:pStyle w:val="7"/>
        <w:rPr>
          <w:rFonts w:hint="eastAsia"/>
          <w:lang w:val="en-US" w:eastAsia="zh-CN"/>
        </w:rPr>
      </w:pPr>
    </w:p>
    <w:sectPr>
      <w:footerReference r:id="rId5"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Plotter">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AE82"/>
    <w:multiLevelType w:val="singleLevel"/>
    <w:tmpl w:val="9C44AE8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YmRmNDdhZjY0ZjMyZjEyODNmNDgzNjAxNjAyYzYifQ=="/>
  </w:docVars>
  <w:rsids>
    <w:rsidRoot w:val="2F1C57A5"/>
    <w:rsid w:val="0003708B"/>
    <w:rsid w:val="00255FB5"/>
    <w:rsid w:val="00292389"/>
    <w:rsid w:val="00847D88"/>
    <w:rsid w:val="00B03C56"/>
    <w:rsid w:val="00B17BC8"/>
    <w:rsid w:val="00EB626F"/>
    <w:rsid w:val="00FB35BB"/>
    <w:rsid w:val="01256BF4"/>
    <w:rsid w:val="01362665"/>
    <w:rsid w:val="01454703"/>
    <w:rsid w:val="020F0B04"/>
    <w:rsid w:val="021B0238"/>
    <w:rsid w:val="02302F18"/>
    <w:rsid w:val="02433DDB"/>
    <w:rsid w:val="025D2311"/>
    <w:rsid w:val="02A369FE"/>
    <w:rsid w:val="02A8574F"/>
    <w:rsid w:val="02AA1EE6"/>
    <w:rsid w:val="02AF769C"/>
    <w:rsid w:val="02C764A5"/>
    <w:rsid w:val="02CE2947"/>
    <w:rsid w:val="02E515F7"/>
    <w:rsid w:val="02F712E8"/>
    <w:rsid w:val="0311413E"/>
    <w:rsid w:val="03150F8F"/>
    <w:rsid w:val="03276947"/>
    <w:rsid w:val="033864A3"/>
    <w:rsid w:val="034743F7"/>
    <w:rsid w:val="038111D3"/>
    <w:rsid w:val="039474F8"/>
    <w:rsid w:val="039759F3"/>
    <w:rsid w:val="03D20CD2"/>
    <w:rsid w:val="0409688B"/>
    <w:rsid w:val="04715B28"/>
    <w:rsid w:val="049E2DCE"/>
    <w:rsid w:val="04A711DB"/>
    <w:rsid w:val="04A855AB"/>
    <w:rsid w:val="04C358F1"/>
    <w:rsid w:val="04C6213A"/>
    <w:rsid w:val="04D66BFE"/>
    <w:rsid w:val="05033D45"/>
    <w:rsid w:val="05355A4A"/>
    <w:rsid w:val="059C0CBD"/>
    <w:rsid w:val="05DA6AE0"/>
    <w:rsid w:val="061F1F65"/>
    <w:rsid w:val="0644344B"/>
    <w:rsid w:val="065734CB"/>
    <w:rsid w:val="066160FD"/>
    <w:rsid w:val="06803458"/>
    <w:rsid w:val="06BE48F4"/>
    <w:rsid w:val="06F41F43"/>
    <w:rsid w:val="07002AD7"/>
    <w:rsid w:val="071C02A2"/>
    <w:rsid w:val="07472F16"/>
    <w:rsid w:val="07500CD8"/>
    <w:rsid w:val="07640C17"/>
    <w:rsid w:val="076B107D"/>
    <w:rsid w:val="077D0881"/>
    <w:rsid w:val="079B0714"/>
    <w:rsid w:val="07D1735E"/>
    <w:rsid w:val="07D74BAD"/>
    <w:rsid w:val="07FC120D"/>
    <w:rsid w:val="08067398"/>
    <w:rsid w:val="08626E29"/>
    <w:rsid w:val="08791A00"/>
    <w:rsid w:val="088902E8"/>
    <w:rsid w:val="08A270C9"/>
    <w:rsid w:val="08B63F10"/>
    <w:rsid w:val="08D02756"/>
    <w:rsid w:val="08FF0187"/>
    <w:rsid w:val="092B641B"/>
    <w:rsid w:val="09310546"/>
    <w:rsid w:val="093B68B5"/>
    <w:rsid w:val="095C368B"/>
    <w:rsid w:val="09F429FB"/>
    <w:rsid w:val="0A1332DE"/>
    <w:rsid w:val="0A337DC1"/>
    <w:rsid w:val="0A3D5525"/>
    <w:rsid w:val="0A563B9E"/>
    <w:rsid w:val="0A967446"/>
    <w:rsid w:val="0AD92462"/>
    <w:rsid w:val="0ADA7309"/>
    <w:rsid w:val="0AF952A0"/>
    <w:rsid w:val="0B0C64E8"/>
    <w:rsid w:val="0B241117"/>
    <w:rsid w:val="0BBF6800"/>
    <w:rsid w:val="0BCF23F7"/>
    <w:rsid w:val="0BF7193F"/>
    <w:rsid w:val="0C013EAE"/>
    <w:rsid w:val="0C1C1BA2"/>
    <w:rsid w:val="0C3831B2"/>
    <w:rsid w:val="0C516258"/>
    <w:rsid w:val="0C5D10F3"/>
    <w:rsid w:val="0C8B3F0F"/>
    <w:rsid w:val="0C974471"/>
    <w:rsid w:val="0CB13FF3"/>
    <w:rsid w:val="0CB1489A"/>
    <w:rsid w:val="0CBE1F8E"/>
    <w:rsid w:val="0CCB2D8A"/>
    <w:rsid w:val="0CE51BA4"/>
    <w:rsid w:val="0D4A538B"/>
    <w:rsid w:val="0D5C0F8B"/>
    <w:rsid w:val="0DA718AA"/>
    <w:rsid w:val="0DDC5214"/>
    <w:rsid w:val="0E7B6D74"/>
    <w:rsid w:val="0EB23F58"/>
    <w:rsid w:val="0EBC729E"/>
    <w:rsid w:val="0EC811A0"/>
    <w:rsid w:val="0ECB3223"/>
    <w:rsid w:val="0ECB46E0"/>
    <w:rsid w:val="0EFD1C75"/>
    <w:rsid w:val="0F2B7E44"/>
    <w:rsid w:val="0F5A2EA7"/>
    <w:rsid w:val="0F8661C9"/>
    <w:rsid w:val="0FFF2314"/>
    <w:rsid w:val="10630F5B"/>
    <w:rsid w:val="10665F88"/>
    <w:rsid w:val="10B4685A"/>
    <w:rsid w:val="10B47EDD"/>
    <w:rsid w:val="11013491"/>
    <w:rsid w:val="11470880"/>
    <w:rsid w:val="1152104B"/>
    <w:rsid w:val="115A5F8B"/>
    <w:rsid w:val="11B04EDA"/>
    <w:rsid w:val="11C96427"/>
    <w:rsid w:val="12256160"/>
    <w:rsid w:val="12323E29"/>
    <w:rsid w:val="124C51BC"/>
    <w:rsid w:val="124E58FE"/>
    <w:rsid w:val="126536EF"/>
    <w:rsid w:val="12AC536E"/>
    <w:rsid w:val="12C04EAF"/>
    <w:rsid w:val="12CB3379"/>
    <w:rsid w:val="12EE2750"/>
    <w:rsid w:val="12F368B1"/>
    <w:rsid w:val="13215B42"/>
    <w:rsid w:val="13592465"/>
    <w:rsid w:val="1364532D"/>
    <w:rsid w:val="13A85112"/>
    <w:rsid w:val="13DF6F4F"/>
    <w:rsid w:val="14051CA6"/>
    <w:rsid w:val="1414601F"/>
    <w:rsid w:val="14255A7F"/>
    <w:rsid w:val="147737A7"/>
    <w:rsid w:val="14827BCA"/>
    <w:rsid w:val="148D56A6"/>
    <w:rsid w:val="14A55891"/>
    <w:rsid w:val="14CD5969"/>
    <w:rsid w:val="15055C7F"/>
    <w:rsid w:val="15081ED3"/>
    <w:rsid w:val="15773C44"/>
    <w:rsid w:val="159267B6"/>
    <w:rsid w:val="159C3FF8"/>
    <w:rsid w:val="15EF0346"/>
    <w:rsid w:val="15FF31D8"/>
    <w:rsid w:val="16141DB7"/>
    <w:rsid w:val="161D1882"/>
    <w:rsid w:val="16832F64"/>
    <w:rsid w:val="168C1381"/>
    <w:rsid w:val="16921440"/>
    <w:rsid w:val="16C41FE1"/>
    <w:rsid w:val="16D8450A"/>
    <w:rsid w:val="16E90795"/>
    <w:rsid w:val="174E2B31"/>
    <w:rsid w:val="174F1F7C"/>
    <w:rsid w:val="1803013C"/>
    <w:rsid w:val="18096263"/>
    <w:rsid w:val="18483FB1"/>
    <w:rsid w:val="184D663F"/>
    <w:rsid w:val="18B06CB8"/>
    <w:rsid w:val="18BB4963"/>
    <w:rsid w:val="18C74C4E"/>
    <w:rsid w:val="18FB5F6E"/>
    <w:rsid w:val="1902112B"/>
    <w:rsid w:val="191D49AE"/>
    <w:rsid w:val="19A110E6"/>
    <w:rsid w:val="19BD767D"/>
    <w:rsid w:val="19E22D40"/>
    <w:rsid w:val="1A017B00"/>
    <w:rsid w:val="1A1D00D5"/>
    <w:rsid w:val="1A2C3E5B"/>
    <w:rsid w:val="1A322377"/>
    <w:rsid w:val="1A331B52"/>
    <w:rsid w:val="1A423C53"/>
    <w:rsid w:val="1A495C86"/>
    <w:rsid w:val="1A530AF8"/>
    <w:rsid w:val="1A7B7184"/>
    <w:rsid w:val="1A966D2E"/>
    <w:rsid w:val="1AC96F92"/>
    <w:rsid w:val="1AF96F59"/>
    <w:rsid w:val="1B1A2101"/>
    <w:rsid w:val="1B2C7140"/>
    <w:rsid w:val="1B8850A8"/>
    <w:rsid w:val="1B9F2CD7"/>
    <w:rsid w:val="1BD82076"/>
    <w:rsid w:val="1BE82701"/>
    <w:rsid w:val="1BF95358"/>
    <w:rsid w:val="1BFD7962"/>
    <w:rsid w:val="1C230B2D"/>
    <w:rsid w:val="1C321E98"/>
    <w:rsid w:val="1C3A2A9E"/>
    <w:rsid w:val="1C452BAA"/>
    <w:rsid w:val="1C7A583D"/>
    <w:rsid w:val="1C7E28A8"/>
    <w:rsid w:val="1C996F6B"/>
    <w:rsid w:val="1CEF5655"/>
    <w:rsid w:val="1D16290A"/>
    <w:rsid w:val="1D217AE8"/>
    <w:rsid w:val="1D452350"/>
    <w:rsid w:val="1D4A399E"/>
    <w:rsid w:val="1D7F1AF1"/>
    <w:rsid w:val="1D85340C"/>
    <w:rsid w:val="1DB56372"/>
    <w:rsid w:val="1DC0444F"/>
    <w:rsid w:val="1DE42D56"/>
    <w:rsid w:val="1E54325B"/>
    <w:rsid w:val="1E755173"/>
    <w:rsid w:val="1EB61656"/>
    <w:rsid w:val="1EBA5E2B"/>
    <w:rsid w:val="1EE37ED0"/>
    <w:rsid w:val="1F305B4D"/>
    <w:rsid w:val="1FE443E7"/>
    <w:rsid w:val="20047356"/>
    <w:rsid w:val="203F7955"/>
    <w:rsid w:val="207B1AB3"/>
    <w:rsid w:val="20C31AC7"/>
    <w:rsid w:val="213E721E"/>
    <w:rsid w:val="215167E4"/>
    <w:rsid w:val="216A6125"/>
    <w:rsid w:val="21B843D9"/>
    <w:rsid w:val="21EA62EB"/>
    <w:rsid w:val="22083E51"/>
    <w:rsid w:val="221377C9"/>
    <w:rsid w:val="221A7232"/>
    <w:rsid w:val="221B322D"/>
    <w:rsid w:val="22316A8B"/>
    <w:rsid w:val="224042CD"/>
    <w:rsid w:val="224A368B"/>
    <w:rsid w:val="228355CA"/>
    <w:rsid w:val="22BE48E0"/>
    <w:rsid w:val="22E763E7"/>
    <w:rsid w:val="2302564C"/>
    <w:rsid w:val="23146CA5"/>
    <w:rsid w:val="234A74A5"/>
    <w:rsid w:val="23681488"/>
    <w:rsid w:val="236C589C"/>
    <w:rsid w:val="23791DFB"/>
    <w:rsid w:val="239337B6"/>
    <w:rsid w:val="23A9417A"/>
    <w:rsid w:val="23B7280F"/>
    <w:rsid w:val="23F9346F"/>
    <w:rsid w:val="242A13D4"/>
    <w:rsid w:val="249C4D10"/>
    <w:rsid w:val="24DC6041"/>
    <w:rsid w:val="24EE2270"/>
    <w:rsid w:val="24F02BC1"/>
    <w:rsid w:val="24FF6042"/>
    <w:rsid w:val="2511704C"/>
    <w:rsid w:val="252F4101"/>
    <w:rsid w:val="252F4627"/>
    <w:rsid w:val="252F6154"/>
    <w:rsid w:val="25656A25"/>
    <w:rsid w:val="2567784B"/>
    <w:rsid w:val="257E6E58"/>
    <w:rsid w:val="25816870"/>
    <w:rsid w:val="258D7931"/>
    <w:rsid w:val="25991012"/>
    <w:rsid w:val="25A355D1"/>
    <w:rsid w:val="25DF344B"/>
    <w:rsid w:val="260D2BCC"/>
    <w:rsid w:val="269272BA"/>
    <w:rsid w:val="269B7E31"/>
    <w:rsid w:val="26B64AC7"/>
    <w:rsid w:val="26E26F1B"/>
    <w:rsid w:val="26FF3DC4"/>
    <w:rsid w:val="27051EFA"/>
    <w:rsid w:val="2756117E"/>
    <w:rsid w:val="282C5FBE"/>
    <w:rsid w:val="282F3B79"/>
    <w:rsid w:val="283956A8"/>
    <w:rsid w:val="283B7736"/>
    <w:rsid w:val="28552F45"/>
    <w:rsid w:val="28721659"/>
    <w:rsid w:val="28925148"/>
    <w:rsid w:val="28B95567"/>
    <w:rsid w:val="29101C48"/>
    <w:rsid w:val="297D3AB0"/>
    <w:rsid w:val="29A04C57"/>
    <w:rsid w:val="29A95C2E"/>
    <w:rsid w:val="29D81534"/>
    <w:rsid w:val="2A4B2692"/>
    <w:rsid w:val="2A5D4158"/>
    <w:rsid w:val="2A7C099F"/>
    <w:rsid w:val="2A987BB9"/>
    <w:rsid w:val="2AA60C6A"/>
    <w:rsid w:val="2AAD5454"/>
    <w:rsid w:val="2AE476F0"/>
    <w:rsid w:val="2AFB27A6"/>
    <w:rsid w:val="2B1C14C3"/>
    <w:rsid w:val="2B28612B"/>
    <w:rsid w:val="2B2B5A34"/>
    <w:rsid w:val="2B393F0C"/>
    <w:rsid w:val="2B520E96"/>
    <w:rsid w:val="2B73385E"/>
    <w:rsid w:val="2B761914"/>
    <w:rsid w:val="2BA25F45"/>
    <w:rsid w:val="2BAB3BDA"/>
    <w:rsid w:val="2BB052E5"/>
    <w:rsid w:val="2BFA20F2"/>
    <w:rsid w:val="2C131622"/>
    <w:rsid w:val="2C147130"/>
    <w:rsid w:val="2C683917"/>
    <w:rsid w:val="2CE52FBD"/>
    <w:rsid w:val="2D254D25"/>
    <w:rsid w:val="2D8557DD"/>
    <w:rsid w:val="2DA03CE2"/>
    <w:rsid w:val="2DD01CB0"/>
    <w:rsid w:val="2DD57ECD"/>
    <w:rsid w:val="2E054178"/>
    <w:rsid w:val="2E485C02"/>
    <w:rsid w:val="2E603E9A"/>
    <w:rsid w:val="2E7442AA"/>
    <w:rsid w:val="2E812FF3"/>
    <w:rsid w:val="2EA15DC8"/>
    <w:rsid w:val="2EB87831"/>
    <w:rsid w:val="2ED51A6E"/>
    <w:rsid w:val="2EE44F12"/>
    <w:rsid w:val="2F1C57A5"/>
    <w:rsid w:val="2FA7707A"/>
    <w:rsid w:val="30091271"/>
    <w:rsid w:val="300E7853"/>
    <w:rsid w:val="30365FB7"/>
    <w:rsid w:val="3047517C"/>
    <w:rsid w:val="304F440F"/>
    <w:rsid w:val="308F5B79"/>
    <w:rsid w:val="30C308AC"/>
    <w:rsid w:val="30DB4096"/>
    <w:rsid w:val="30E913A6"/>
    <w:rsid w:val="31127973"/>
    <w:rsid w:val="311F0538"/>
    <w:rsid w:val="31306CB2"/>
    <w:rsid w:val="319B067F"/>
    <w:rsid w:val="31AB79A4"/>
    <w:rsid w:val="31C418C9"/>
    <w:rsid w:val="31F37003"/>
    <w:rsid w:val="31F70B57"/>
    <w:rsid w:val="31F9233C"/>
    <w:rsid w:val="324F0800"/>
    <w:rsid w:val="32554E2E"/>
    <w:rsid w:val="3262580A"/>
    <w:rsid w:val="32661595"/>
    <w:rsid w:val="32784055"/>
    <w:rsid w:val="327F2242"/>
    <w:rsid w:val="328C72C2"/>
    <w:rsid w:val="3305611D"/>
    <w:rsid w:val="33122EA7"/>
    <w:rsid w:val="33882EA3"/>
    <w:rsid w:val="33B14FB2"/>
    <w:rsid w:val="340E6C58"/>
    <w:rsid w:val="341C2F63"/>
    <w:rsid w:val="34382116"/>
    <w:rsid w:val="34506F6B"/>
    <w:rsid w:val="34545DD8"/>
    <w:rsid w:val="34681E37"/>
    <w:rsid w:val="349B21BE"/>
    <w:rsid w:val="34B83670"/>
    <w:rsid w:val="34D536C4"/>
    <w:rsid w:val="34DC531C"/>
    <w:rsid w:val="35614940"/>
    <w:rsid w:val="35680E1A"/>
    <w:rsid w:val="35854C2E"/>
    <w:rsid w:val="35984BA7"/>
    <w:rsid w:val="35DC3C62"/>
    <w:rsid w:val="35EE6CA1"/>
    <w:rsid w:val="35F542BD"/>
    <w:rsid w:val="36355848"/>
    <w:rsid w:val="363F4FAA"/>
    <w:rsid w:val="36955D99"/>
    <w:rsid w:val="36CE5C1C"/>
    <w:rsid w:val="36EC6B02"/>
    <w:rsid w:val="37500C05"/>
    <w:rsid w:val="376406C6"/>
    <w:rsid w:val="37681B83"/>
    <w:rsid w:val="378E5E01"/>
    <w:rsid w:val="37E01B24"/>
    <w:rsid w:val="38210BA8"/>
    <w:rsid w:val="38312E6C"/>
    <w:rsid w:val="38B45EFC"/>
    <w:rsid w:val="38D036A4"/>
    <w:rsid w:val="38FA3EAE"/>
    <w:rsid w:val="38FC1F15"/>
    <w:rsid w:val="39792C93"/>
    <w:rsid w:val="398D0AC5"/>
    <w:rsid w:val="399D3133"/>
    <w:rsid w:val="39AF31BE"/>
    <w:rsid w:val="39CB06F7"/>
    <w:rsid w:val="39E723D3"/>
    <w:rsid w:val="3A776491"/>
    <w:rsid w:val="3A8E3775"/>
    <w:rsid w:val="3A9369B8"/>
    <w:rsid w:val="3ABA2B52"/>
    <w:rsid w:val="3ADD407B"/>
    <w:rsid w:val="3AE97D6B"/>
    <w:rsid w:val="3B187EF4"/>
    <w:rsid w:val="3B264B22"/>
    <w:rsid w:val="3B2D31FB"/>
    <w:rsid w:val="3B2E26A9"/>
    <w:rsid w:val="3B8E3C6C"/>
    <w:rsid w:val="3B9C4230"/>
    <w:rsid w:val="3C1C5FDB"/>
    <w:rsid w:val="3C422011"/>
    <w:rsid w:val="3C4E4BA9"/>
    <w:rsid w:val="3C795128"/>
    <w:rsid w:val="3C7D3CB0"/>
    <w:rsid w:val="3C945444"/>
    <w:rsid w:val="3C967255"/>
    <w:rsid w:val="3CEF665D"/>
    <w:rsid w:val="3CF70FDA"/>
    <w:rsid w:val="3D336A2D"/>
    <w:rsid w:val="3D457CC8"/>
    <w:rsid w:val="3D531014"/>
    <w:rsid w:val="3D5C50E1"/>
    <w:rsid w:val="3D64203D"/>
    <w:rsid w:val="3DC61E40"/>
    <w:rsid w:val="3E046DF3"/>
    <w:rsid w:val="3E714ACE"/>
    <w:rsid w:val="3E765A8E"/>
    <w:rsid w:val="3E8D145E"/>
    <w:rsid w:val="3E9720C5"/>
    <w:rsid w:val="3E9D780F"/>
    <w:rsid w:val="3EBB4A08"/>
    <w:rsid w:val="3F3275E2"/>
    <w:rsid w:val="3F3D2AEC"/>
    <w:rsid w:val="3FE111C3"/>
    <w:rsid w:val="40223343"/>
    <w:rsid w:val="403E06F0"/>
    <w:rsid w:val="405E2328"/>
    <w:rsid w:val="40B4502A"/>
    <w:rsid w:val="40B85AAA"/>
    <w:rsid w:val="40BE6619"/>
    <w:rsid w:val="40D413F9"/>
    <w:rsid w:val="40FE59B1"/>
    <w:rsid w:val="413F63EF"/>
    <w:rsid w:val="415B5DA1"/>
    <w:rsid w:val="41666DD5"/>
    <w:rsid w:val="416E350A"/>
    <w:rsid w:val="418055AE"/>
    <w:rsid w:val="419903CA"/>
    <w:rsid w:val="41B64A78"/>
    <w:rsid w:val="41B8516B"/>
    <w:rsid w:val="41DD49C0"/>
    <w:rsid w:val="41FC0550"/>
    <w:rsid w:val="42265CA1"/>
    <w:rsid w:val="42B2150D"/>
    <w:rsid w:val="42B7677D"/>
    <w:rsid w:val="42BC355E"/>
    <w:rsid w:val="42BD701F"/>
    <w:rsid w:val="431D644D"/>
    <w:rsid w:val="43592917"/>
    <w:rsid w:val="437A0AD7"/>
    <w:rsid w:val="43CC1B19"/>
    <w:rsid w:val="43DD6A08"/>
    <w:rsid w:val="43F75005"/>
    <w:rsid w:val="44147686"/>
    <w:rsid w:val="442A0FF7"/>
    <w:rsid w:val="44595EFE"/>
    <w:rsid w:val="44A83992"/>
    <w:rsid w:val="44F41C1A"/>
    <w:rsid w:val="455D6192"/>
    <w:rsid w:val="457573C4"/>
    <w:rsid w:val="45FC1F89"/>
    <w:rsid w:val="46447AD0"/>
    <w:rsid w:val="4667667C"/>
    <w:rsid w:val="46AA52FF"/>
    <w:rsid w:val="46B9747D"/>
    <w:rsid w:val="46F751BF"/>
    <w:rsid w:val="46FE1966"/>
    <w:rsid w:val="474D3E16"/>
    <w:rsid w:val="47A0155D"/>
    <w:rsid w:val="47AD1197"/>
    <w:rsid w:val="47D0027D"/>
    <w:rsid w:val="47E710FB"/>
    <w:rsid w:val="47ED349E"/>
    <w:rsid w:val="484A6384"/>
    <w:rsid w:val="48A736AC"/>
    <w:rsid w:val="48AA6358"/>
    <w:rsid w:val="48C10F7C"/>
    <w:rsid w:val="48D30C8F"/>
    <w:rsid w:val="48F93679"/>
    <w:rsid w:val="49064491"/>
    <w:rsid w:val="49151A34"/>
    <w:rsid w:val="493E0515"/>
    <w:rsid w:val="49665DCB"/>
    <w:rsid w:val="49755BE2"/>
    <w:rsid w:val="499317B2"/>
    <w:rsid w:val="49974E74"/>
    <w:rsid w:val="4A405D23"/>
    <w:rsid w:val="4A4D2829"/>
    <w:rsid w:val="4AF10804"/>
    <w:rsid w:val="4B5F6A4E"/>
    <w:rsid w:val="4B8E56C3"/>
    <w:rsid w:val="4BC26AB1"/>
    <w:rsid w:val="4BC60A62"/>
    <w:rsid w:val="4BF054CF"/>
    <w:rsid w:val="4C256976"/>
    <w:rsid w:val="4C4D6998"/>
    <w:rsid w:val="4CAE2606"/>
    <w:rsid w:val="4CE63047"/>
    <w:rsid w:val="4D18297E"/>
    <w:rsid w:val="4D1C536A"/>
    <w:rsid w:val="4D634E6D"/>
    <w:rsid w:val="4D757618"/>
    <w:rsid w:val="4DB4225E"/>
    <w:rsid w:val="4DCB06A1"/>
    <w:rsid w:val="4DD8672F"/>
    <w:rsid w:val="4DEC6549"/>
    <w:rsid w:val="4DED2F93"/>
    <w:rsid w:val="4E066D6F"/>
    <w:rsid w:val="4E0F558F"/>
    <w:rsid w:val="4E126F73"/>
    <w:rsid w:val="4E4F40EB"/>
    <w:rsid w:val="4EA40C4E"/>
    <w:rsid w:val="4F1C43FC"/>
    <w:rsid w:val="4F490783"/>
    <w:rsid w:val="4F6D0B44"/>
    <w:rsid w:val="4F833E54"/>
    <w:rsid w:val="4F9010E9"/>
    <w:rsid w:val="4FB10EBA"/>
    <w:rsid w:val="50345C2D"/>
    <w:rsid w:val="505E2BEF"/>
    <w:rsid w:val="50692AA8"/>
    <w:rsid w:val="50780873"/>
    <w:rsid w:val="50A81AB3"/>
    <w:rsid w:val="50B46B12"/>
    <w:rsid w:val="50B60C68"/>
    <w:rsid w:val="50D12CB7"/>
    <w:rsid w:val="51373F3D"/>
    <w:rsid w:val="5146779C"/>
    <w:rsid w:val="519B18BA"/>
    <w:rsid w:val="51A572CF"/>
    <w:rsid w:val="52251CDC"/>
    <w:rsid w:val="52AD691E"/>
    <w:rsid w:val="53303C26"/>
    <w:rsid w:val="53371E29"/>
    <w:rsid w:val="533B4B7B"/>
    <w:rsid w:val="53402AB0"/>
    <w:rsid w:val="53A51F4E"/>
    <w:rsid w:val="54156484"/>
    <w:rsid w:val="54A309A3"/>
    <w:rsid w:val="54B56A54"/>
    <w:rsid w:val="54D53CF9"/>
    <w:rsid w:val="54F04A8C"/>
    <w:rsid w:val="55122095"/>
    <w:rsid w:val="552175DB"/>
    <w:rsid w:val="553923F2"/>
    <w:rsid w:val="553A0B70"/>
    <w:rsid w:val="55581881"/>
    <w:rsid w:val="555B511B"/>
    <w:rsid w:val="558001AF"/>
    <w:rsid w:val="55820C74"/>
    <w:rsid w:val="55881C3C"/>
    <w:rsid w:val="559C563E"/>
    <w:rsid w:val="55AF28BB"/>
    <w:rsid w:val="55AF453B"/>
    <w:rsid w:val="55DB79C3"/>
    <w:rsid w:val="55E15654"/>
    <w:rsid w:val="55FB7588"/>
    <w:rsid w:val="55FD58E3"/>
    <w:rsid w:val="56024BA5"/>
    <w:rsid w:val="564101F4"/>
    <w:rsid w:val="56485B07"/>
    <w:rsid w:val="572F1107"/>
    <w:rsid w:val="57351C2A"/>
    <w:rsid w:val="573804ED"/>
    <w:rsid w:val="57562B24"/>
    <w:rsid w:val="575E648A"/>
    <w:rsid w:val="57F80AD4"/>
    <w:rsid w:val="580C06C3"/>
    <w:rsid w:val="581B40F7"/>
    <w:rsid w:val="58212024"/>
    <w:rsid w:val="58565344"/>
    <w:rsid w:val="58695F8B"/>
    <w:rsid w:val="589543F5"/>
    <w:rsid w:val="589B2E3D"/>
    <w:rsid w:val="58FF419C"/>
    <w:rsid w:val="59E473B7"/>
    <w:rsid w:val="5A4C1882"/>
    <w:rsid w:val="5A9B3313"/>
    <w:rsid w:val="5AC75529"/>
    <w:rsid w:val="5AF22F7E"/>
    <w:rsid w:val="5AFB32E9"/>
    <w:rsid w:val="5B163AB7"/>
    <w:rsid w:val="5BA07BB6"/>
    <w:rsid w:val="5BBE35F6"/>
    <w:rsid w:val="5BC3182F"/>
    <w:rsid w:val="5BF46E77"/>
    <w:rsid w:val="5C0B1CE7"/>
    <w:rsid w:val="5C3D28FB"/>
    <w:rsid w:val="5C3E5A4E"/>
    <w:rsid w:val="5C5A7D01"/>
    <w:rsid w:val="5C6504C2"/>
    <w:rsid w:val="5CA4442A"/>
    <w:rsid w:val="5CC81B5D"/>
    <w:rsid w:val="5CFA0810"/>
    <w:rsid w:val="5D04395F"/>
    <w:rsid w:val="5D273630"/>
    <w:rsid w:val="5D603CFB"/>
    <w:rsid w:val="5DCE7713"/>
    <w:rsid w:val="5DF16C05"/>
    <w:rsid w:val="5EB3743D"/>
    <w:rsid w:val="5EF2010E"/>
    <w:rsid w:val="5EFB6C0F"/>
    <w:rsid w:val="5F2B66BC"/>
    <w:rsid w:val="5F7C69AE"/>
    <w:rsid w:val="5FE5038D"/>
    <w:rsid w:val="5FFA05F2"/>
    <w:rsid w:val="60746409"/>
    <w:rsid w:val="6083129C"/>
    <w:rsid w:val="610604C2"/>
    <w:rsid w:val="613578D2"/>
    <w:rsid w:val="616F4630"/>
    <w:rsid w:val="61755069"/>
    <w:rsid w:val="618D0E1A"/>
    <w:rsid w:val="619726CA"/>
    <w:rsid w:val="619C1CA6"/>
    <w:rsid w:val="62087795"/>
    <w:rsid w:val="62127CF0"/>
    <w:rsid w:val="62990BC5"/>
    <w:rsid w:val="629D1B22"/>
    <w:rsid w:val="62B76201"/>
    <w:rsid w:val="630E6F66"/>
    <w:rsid w:val="63377DE5"/>
    <w:rsid w:val="63637DD7"/>
    <w:rsid w:val="636A4CC5"/>
    <w:rsid w:val="639C65AB"/>
    <w:rsid w:val="63A50FB0"/>
    <w:rsid w:val="63B36BB8"/>
    <w:rsid w:val="63CE30A4"/>
    <w:rsid w:val="6407165B"/>
    <w:rsid w:val="640B7184"/>
    <w:rsid w:val="6422350D"/>
    <w:rsid w:val="64655912"/>
    <w:rsid w:val="646B39F5"/>
    <w:rsid w:val="64925F66"/>
    <w:rsid w:val="64A34846"/>
    <w:rsid w:val="64CF131C"/>
    <w:rsid w:val="64EB3E8B"/>
    <w:rsid w:val="651971E4"/>
    <w:rsid w:val="65395C11"/>
    <w:rsid w:val="65502555"/>
    <w:rsid w:val="656C3ACF"/>
    <w:rsid w:val="65771F5A"/>
    <w:rsid w:val="657F4878"/>
    <w:rsid w:val="659623AE"/>
    <w:rsid w:val="65D76095"/>
    <w:rsid w:val="66357CC3"/>
    <w:rsid w:val="66567ECF"/>
    <w:rsid w:val="66F918C9"/>
    <w:rsid w:val="67510120"/>
    <w:rsid w:val="675D5DDD"/>
    <w:rsid w:val="676F2D16"/>
    <w:rsid w:val="678154B0"/>
    <w:rsid w:val="679270B1"/>
    <w:rsid w:val="67C938D3"/>
    <w:rsid w:val="67FB2AC4"/>
    <w:rsid w:val="681A3FD0"/>
    <w:rsid w:val="68560087"/>
    <w:rsid w:val="68706A96"/>
    <w:rsid w:val="68A736CF"/>
    <w:rsid w:val="68BA3798"/>
    <w:rsid w:val="690D0368"/>
    <w:rsid w:val="692F6410"/>
    <w:rsid w:val="696206A1"/>
    <w:rsid w:val="699F11FC"/>
    <w:rsid w:val="69AE7355"/>
    <w:rsid w:val="69B073A7"/>
    <w:rsid w:val="69FF7CBD"/>
    <w:rsid w:val="6A1F2DBC"/>
    <w:rsid w:val="6A1F7487"/>
    <w:rsid w:val="6A47529D"/>
    <w:rsid w:val="6A5A6DA2"/>
    <w:rsid w:val="6AB102D8"/>
    <w:rsid w:val="6AB67BD1"/>
    <w:rsid w:val="6AF61310"/>
    <w:rsid w:val="6B185E57"/>
    <w:rsid w:val="6B1F0F58"/>
    <w:rsid w:val="6B225547"/>
    <w:rsid w:val="6B413A50"/>
    <w:rsid w:val="6B4B2819"/>
    <w:rsid w:val="6B4E468F"/>
    <w:rsid w:val="6B7364E7"/>
    <w:rsid w:val="6B9F4B52"/>
    <w:rsid w:val="6BBE1FFB"/>
    <w:rsid w:val="6BC270A7"/>
    <w:rsid w:val="6BD94BEF"/>
    <w:rsid w:val="6BEE750B"/>
    <w:rsid w:val="6C0040EC"/>
    <w:rsid w:val="6C106630"/>
    <w:rsid w:val="6C44161C"/>
    <w:rsid w:val="6C555DCE"/>
    <w:rsid w:val="6C640C01"/>
    <w:rsid w:val="6C6727E7"/>
    <w:rsid w:val="6CC25408"/>
    <w:rsid w:val="6CD771B7"/>
    <w:rsid w:val="6DA52666"/>
    <w:rsid w:val="6DB0368A"/>
    <w:rsid w:val="6E0E48E8"/>
    <w:rsid w:val="6E5957F8"/>
    <w:rsid w:val="6E5B6713"/>
    <w:rsid w:val="6E745C87"/>
    <w:rsid w:val="6E91041D"/>
    <w:rsid w:val="6EA37E0E"/>
    <w:rsid w:val="6F082A05"/>
    <w:rsid w:val="6F24244B"/>
    <w:rsid w:val="6F5632F9"/>
    <w:rsid w:val="6F6D34BB"/>
    <w:rsid w:val="6FAD572A"/>
    <w:rsid w:val="6FB45A58"/>
    <w:rsid w:val="6FDC2C2E"/>
    <w:rsid w:val="6FF91E82"/>
    <w:rsid w:val="705333AE"/>
    <w:rsid w:val="70707FBB"/>
    <w:rsid w:val="70AD37B3"/>
    <w:rsid w:val="70C06C6D"/>
    <w:rsid w:val="70DA6CC6"/>
    <w:rsid w:val="7114337A"/>
    <w:rsid w:val="712E0A5D"/>
    <w:rsid w:val="7174769D"/>
    <w:rsid w:val="7233340C"/>
    <w:rsid w:val="732B5D85"/>
    <w:rsid w:val="732F6BCB"/>
    <w:rsid w:val="73426175"/>
    <w:rsid w:val="73551588"/>
    <w:rsid w:val="73683760"/>
    <w:rsid w:val="73882121"/>
    <w:rsid w:val="73D81B5D"/>
    <w:rsid w:val="73E31C2F"/>
    <w:rsid w:val="741719F8"/>
    <w:rsid w:val="74832F2C"/>
    <w:rsid w:val="75455E62"/>
    <w:rsid w:val="7557332E"/>
    <w:rsid w:val="7594440B"/>
    <w:rsid w:val="7597473F"/>
    <w:rsid w:val="76A1003E"/>
    <w:rsid w:val="76A65BE9"/>
    <w:rsid w:val="76E250EE"/>
    <w:rsid w:val="76EE7804"/>
    <w:rsid w:val="76F76032"/>
    <w:rsid w:val="773D2732"/>
    <w:rsid w:val="775C7F94"/>
    <w:rsid w:val="77B32B86"/>
    <w:rsid w:val="77BE293A"/>
    <w:rsid w:val="77DD305B"/>
    <w:rsid w:val="78397A44"/>
    <w:rsid w:val="78601282"/>
    <w:rsid w:val="789C2226"/>
    <w:rsid w:val="78EA0FC2"/>
    <w:rsid w:val="78F92F7D"/>
    <w:rsid w:val="7916292F"/>
    <w:rsid w:val="791647E8"/>
    <w:rsid w:val="795B2256"/>
    <w:rsid w:val="79F628A4"/>
    <w:rsid w:val="7A1A522E"/>
    <w:rsid w:val="7A650A81"/>
    <w:rsid w:val="7A686D7F"/>
    <w:rsid w:val="7A7D7D68"/>
    <w:rsid w:val="7AA81F8D"/>
    <w:rsid w:val="7B53443D"/>
    <w:rsid w:val="7B5B16CF"/>
    <w:rsid w:val="7BB17143"/>
    <w:rsid w:val="7C1203A8"/>
    <w:rsid w:val="7C3F2CC5"/>
    <w:rsid w:val="7C531E48"/>
    <w:rsid w:val="7C9114C5"/>
    <w:rsid w:val="7C9D280E"/>
    <w:rsid w:val="7CFD7685"/>
    <w:rsid w:val="7D0C3BC9"/>
    <w:rsid w:val="7D196BB9"/>
    <w:rsid w:val="7D6A6C42"/>
    <w:rsid w:val="7D7C004F"/>
    <w:rsid w:val="7D8F0802"/>
    <w:rsid w:val="7D9267F6"/>
    <w:rsid w:val="7E1629E2"/>
    <w:rsid w:val="7E283795"/>
    <w:rsid w:val="7E456548"/>
    <w:rsid w:val="7E597058"/>
    <w:rsid w:val="7E867872"/>
    <w:rsid w:val="7EA14EF3"/>
    <w:rsid w:val="7ECD4F81"/>
    <w:rsid w:val="7EF1633B"/>
    <w:rsid w:val="7F3313DA"/>
    <w:rsid w:val="7F60327F"/>
    <w:rsid w:val="7F9B51B5"/>
    <w:rsid w:val="7FAB1D9B"/>
    <w:rsid w:val="7FBA11AD"/>
    <w:rsid w:val="7FC5019C"/>
    <w:rsid w:val="7FE557EA"/>
    <w:rsid w:val="7FE8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4">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5">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customStyle="1" w:styleId="7">
    <w:name w:val="Default"/>
    <w:next w:val="8"/>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8">
    <w:name w:val="表格文字"/>
    <w:basedOn w:val="1"/>
    <w:qFormat/>
    <w:uiPriority w:val="0"/>
    <w:pPr>
      <w:spacing w:line="360" w:lineRule="exact"/>
      <w:jc w:val="center"/>
    </w:pPr>
    <w:rPr>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Block Text"/>
    <w:basedOn w:val="1"/>
    <w:qFormat/>
    <w:uiPriority w:val="0"/>
    <w:pPr>
      <w:spacing w:line="300" w:lineRule="auto"/>
      <w:ind w:left="29" w:leftChars="12" w:right="6" w:firstLine="560" w:firstLineChars="200"/>
      <w:jc w:val="both"/>
    </w:pPr>
    <w:rPr>
      <w:rFonts w:ascii="Times New Roman"/>
      <w:sz w:val="28"/>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6"/>
    <w:qFormat/>
    <w:uiPriority w:val="0"/>
    <w:pPr>
      <w:spacing w:line="400" w:lineRule="atLeast"/>
      <w:ind w:firstLine="426"/>
    </w:pPr>
    <w:rPr>
      <w:rFonts w:ascii="Times New Roman" w:hAnsi="Times New Roman"/>
      <w:sz w:val="24"/>
      <w:szCs w:val="20"/>
    </w:rPr>
  </w:style>
  <w:style w:type="paragraph" w:styleId="18">
    <w:name w:val="Body Text First Indent 2"/>
    <w:basedOn w:val="9"/>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4"/>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5"/>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font01"/>
    <w:basedOn w:val="21"/>
    <w:qFormat/>
    <w:uiPriority w:val="0"/>
    <w:rPr>
      <w:rFonts w:hint="eastAsia" w:ascii="宋体" w:hAnsi="宋体" w:eastAsia="宋体" w:cs="宋体"/>
      <w:color w:val="000000"/>
      <w:sz w:val="22"/>
      <w:szCs w:val="22"/>
      <w:u w:val="none"/>
    </w:rPr>
  </w:style>
  <w:style w:type="character" w:customStyle="1" w:styleId="52">
    <w:name w:val="font21"/>
    <w:basedOn w:val="21"/>
    <w:qFormat/>
    <w:uiPriority w:val="0"/>
    <w:rPr>
      <w:rFonts w:ascii="宋体" w:hAnsi="宋体" w:eastAsia="宋体" w:cs="宋体"/>
      <w:color w:val="000000"/>
      <w:sz w:val="22"/>
      <w:szCs w:val="22"/>
      <w:u w:val="none"/>
    </w:rPr>
  </w:style>
  <w:style w:type="character" w:customStyle="1" w:styleId="53">
    <w:name w:val="font41"/>
    <w:basedOn w:val="21"/>
    <w:qFormat/>
    <w:uiPriority w:val="0"/>
    <w:rPr>
      <w:rFonts w:ascii="宋体" w:hAnsi="宋体" w:eastAsia="宋体" w:cs="宋体"/>
      <w:color w:val="000000"/>
      <w:sz w:val="22"/>
      <w:szCs w:val="22"/>
      <w:u w:val="none"/>
    </w:rPr>
  </w:style>
  <w:style w:type="character" w:customStyle="1" w:styleId="5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10907</Words>
  <Characters>11514</Characters>
  <Lines>0</Lines>
  <Paragraphs>0</Paragraphs>
  <TotalTime>2</TotalTime>
  <ScaleCrop>false</ScaleCrop>
  <LinksUpToDate>false</LinksUpToDate>
  <CharactersWithSpaces>12546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2022-09-26T08:41:20Z</cp:lastPrinted>
  <dcterms:modified xsi:type="dcterms:W3CDTF">2022-09-26T09:41:14Z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77F1D4C8BB0F4B44B05FB03224F627F8</vt:lpwstr>
  </property>
  <property fmtid="{D5CDD505-2E9C-101B-9397-08002B2CF9AE}" pid="4" name="commondata">
    <vt:lpwstr>eyJoZGlkIjoiOTNiYmRmNDdhZjY0ZjMyZjEyODNmNDgzNjAxNjAyYzYifQ==</vt:lpwstr>
  </property>
</Properties>
</file>