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ind w:left="0" w:leftChars="0" w:firstLine="0" w:firstLineChars="0"/>
        <w:rPr>
          <w:rFonts w:hint="eastAsia"/>
          <w:lang w:val="en-US" w:eastAsia="zh-CN"/>
        </w:rPr>
      </w:pPr>
    </w:p>
    <w:p>
      <w:pPr>
        <w:pStyle w:val="18"/>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6"/>
        <w:jc w:val="center"/>
        <w:rPr>
          <w:rFonts w:hint="eastAsia"/>
        </w:rPr>
      </w:pPr>
      <w:r>
        <w:rPr>
          <w:rFonts w:ascii="宋体" w:hAnsi="宋体" w:eastAsia="宋体" w:cs="宋体"/>
          <w:kern w:val="0"/>
          <w:sz w:val="24"/>
          <w:szCs w:val="24"/>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9"/>
        <w:jc w:val="center"/>
        <w:rPr>
          <w:rFonts w:hint="eastAsia" w:ascii="宋体" w:hAnsi="等线" w:eastAsia="宋体" w:cs="Times New Roman"/>
          <w:b/>
          <w:bCs/>
          <w:color w:val="auto"/>
          <w:spacing w:val="20"/>
          <w:kern w:val="0"/>
          <w:sz w:val="32"/>
          <w:szCs w:val="32"/>
        </w:rPr>
      </w:pPr>
    </w:p>
    <w:p>
      <w:pPr>
        <w:pStyle w:val="19"/>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244" w:leftChars="304" w:right="0" w:rightChars="0" w:hanging="1606" w:hangingChars="500"/>
        <w:jc w:val="both"/>
        <w:textAlignment w:val="auto"/>
        <w:outlineLvl w:val="9"/>
        <w:rPr>
          <w:rFonts w:hint="default"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霍山东淠河候鸟迁徙重点野生动植物保护</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DBSCG-2022-</w:t>
      </w:r>
      <w:r>
        <w:rPr>
          <w:rFonts w:hint="eastAsia" w:ascii="宋体" w:hAnsi="等线" w:cs="Times New Roman"/>
          <w:b/>
          <w:bCs/>
          <w:color w:val="auto"/>
          <w:spacing w:val="0"/>
          <w:kern w:val="0"/>
          <w:sz w:val="32"/>
          <w:szCs w:val="32"/>
          <w:lang w:val="en-US" w:eastAsia="zh-CN"/>
        </w:rPr>
        <w:t>115</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霍山县林业局</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二二</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九</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9"/>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cs="宋体"/>
          <w:color w:val="000000"/>
          <w:szCs w:val="21"/>
          <w:lang w:val="en-US" w:eastAsia="zh-CN"/>
        </w:rPr>
        <w:t>1</w:t>
      </w:r>
      <w:r>
        <w:rPr>
          <w:rFonts w:hint="eastAsia" w:ascii="宋体" w:hAnsi="宋体" w:eastAsia="宋体" w:cs="宋体"/>
          <w:color w:val="000000"/>
          <w:szCs w:val="21"/>
        </w:rPr>
        <w:t>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9"/>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6"/>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8"/>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8"/>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8"/>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1</w:t>
      </w:r>
    </w:p>
    <w:p>
      <w:pPr>
        <w:pStyle w:val="38"/>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2</w:t>
      </w:r>
      <w:r>
        <w:rPr>
          <w:rFonts w:hint="eastAsia" w:ascii="宋体" w:hAnsi="宋体" w:eastAsia="宋体" w:cs="宋体"/>
          <w:color w:val="auto"/>
          <w:sz w:val="28"/>
          <w:szCs w:val="28"/>
        </w:rPr>
        <w:fldChar w:fldCharType="end"/>
      </w:r>
    </w:p>
    <w:p>
      <w:pPr>
        <w:pStyle w:val="38"/>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eastAsia="宋体" w:cs="宋体"/>
          <w:b/>
          <w:bCs/>
          <w:color w:val="auto"/>
          <w:kern w:val="0"/>
          <w:sz w:val="30"/>
          <w:szCs w:val="30"/>
          <w:lang w:val="en-US" w:eastAsia="zh-CN" w:bidi="ar-SA"/>
        </w:rPr>
        <w:t>霍山东淠河候鸟迁徙重点野生动植物保护询价公告</w:t>
      </w:r>
      <w:bookmarkEnd w:id="6"/>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68" w:beforeAutospacing="0" w:after="268" w:afterAutospacing="0" w:line="495" w:lineRule="atLeast"/>
        <w:ind w:left="0" w:right="0" w:firstLine="420"/>
        <w:jc w:val="left"/>
        <w:rPr>
          <w:rFonts w:hint="eastAsia" w:ascii="宋体" w:hAnsi="宋体" w:cs="宋体"/>
          <w:i w:val="0"/>
          <w:caps w:val="0"/>
          <w:color w:val="auto"/>
          <w:spacing w:val="0"/>
          <w:sz w:val="21"/>
          <w:szCs w:val="21"/>
          <w:shd w:val="clear" w:color="auto" w:fill="FFFFFF"/>
          <w:lang w:eastAsia="zh-CN"/>
        </w:rPr>
      </w:pPr>
      <w:r>
        <w:rPr>
          <w:rFonts w:hint="eastAsia" w:ascii="宋体" w:hAnsi="宋体" w:cs="宋体"/>
          <w:color w:val="auto"/>
          <w:kern w:val="2"/>
          <w:sz w:val="21"/>
          <w:szCs w:val="21"/>
          <w:u w:val="single"/>
          <w:lang w:val="en-US" w:eastAsia="zh-CN" w:bidi="ar-SA"/>
        </w:rPr>
        <w:t>霍山东淠河候鸟迁徙重点野生动植物保护</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采购人批准</w:t>
      </w:r>
      <w:r>
        <w:rPr>
          <w:rFonts w:hint="eastAsia" w:ascii="宋体" w:hAnsi="宋体" w:eastAsia="宋体" w:cs="宋体"/>
          <w:color w:val="auto"/>
          <w:kern w:val="2"/>
          <w:sz w:val="21"/>
          <w:szCs w:val="21"/>
          <w:lang w:val="en-US" w:eastAsia="zh-CN" w:bidi="ar-SA"/>
        </w:rPr>
        <w:t>，根据《安徽省2022年政府集中采购目录及标准》的通知</w:t>
      </w:r>
      <w:r>
        <w:rPr>
          <w:rFonts w:hint="eastAsia" w:ascii="宋体" w:hAnsi="宋体" w:cs="宋体"/>
          <w:color w:val="auto"/>
          <w:kern w:val="2"/>
          <w:sz w:val="21"/>
          <w:szCs w:val="21"/>
          <w:lang w:val="en-US" w:eastAsia="zh-CN" w:bidi="ar-SA"/>
        </w:rPr>
        <w:t>，</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霍山县林业局</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eastAsia="宋体" w:cs="宋体"/>
          <w:i w:val="0"/>
          <w:caps w:val="0"/>
          <w:color w:val="auto"/>
          <w:spacing w:val="0"/>
          <w:sz w:val="21"/>
          <w:szCs w:val="21"/>
          <w:u w:val="single"/>
          <w:shd w:val="clear" w:color="auto" w:fill="FFFFFF"/>
          <w:lang w:val="en-US" w:eastAsia="zh-CN"/>
        </w:rPr>
        <w:t>霍山东淠河候鸟迁徙重点野生动植物保护</w:t>
      </w:r>
      <w:r>
        <w:rPr>
          <w:rFonts w:hint="eastAsia" w:ascii="宋体" w:hAnsi="宋体" w:eastAsia="宋体" w:cs="宋体"/>
          <w:i w:val="0"/>
          <w:caps w:val="0"/>
          <w:color w:val="auto"/>
          <w:spacing w:val="0"/>
          <w:sz w:val="21"/>
          <w:szCs w:val="21"/>
          <w:shd w:val="clear" w:color="auto" w:fill="FFFFFF"/>
        </w:rPr>
        <w:t>进行询价</w:t>
      </w:r>
      <w:r>
        <w:rPr>
          <w:rFonts w:hint="eastAsia" w:ascii="宋体" w:hAnsi="宋体" w:cs="宋体"/>
          <w:i w:val="0"/>
          <w:caps w:val="0"/>
          <w:color w:val="auto"/>
          <w:spacing w:val="0"/>
          <w:sz w:val="21"/>
          <w:szCs w:val="21"/>
          <w:shd w:val="clear" w:color="auto" w:fill="FFFFFF"/>
          <w:lang w:val="en-US" w:eastAsia="zh-CN"/>
        </w:rPr>
        <w:t>方式</w:t>
      </w:r>
      <w:r>
        <w:rPr>
          <w:rFonts w:hint="eastAsia" w:ascii="宋体" w:hAnsi="宋体" w:eastAsia="宋体" w:cs="宋体"/>
          <w:i w:val="0"/>
          <w:caps w:val="0"/>
          <w:color w:val="auto"/>
          <w:spacing w:val="0"/>
          <w:sz w:val="21"/>
          <w:szCs w:val="21"/>
          <w:shd w:val="clear" w:color="auto" w:fill="FFFFFF"/>
        </w:rPr>
        <w:t>采购</w:t>
      </w:r>
      <w:r>
        <w:rPr>
          <w:rFonts w:hint="eastAsia" w:ascii="宋体" w:hAnsi="宋体" w:cs="宋体"/>
          <w:i w:val="0"/>
          <w:caps w:val="0"/>
          <w:color w:val="auto"/>
          <w:spacing w:val="0"/>
          <w:sz w:val="21"/>
          <w:szCs w:val="21"/>
          <w:shd w:val="clear" w:color="auto" w:fill="FFFFFF"/>
          <w:lang w:val="en-US" w:eastAsia="zh-CN"/>
        </w:rPr>
        <w:t>，</w:t>
      </w:r>
      <w:r>
        <w:rPr>
          <w:rFonts w:hint="eastAsia" w:ascii="宋体" w:hAnsi="宋体" w:cs="宋体"/>
          <w:color w:val="auto"/>
          <w:kern w:val="2"/>
          <w:sz w:val="21"/>
          <w:szCs w:val="21"/>
          <w:lang w:val="en-US" w:eastAsia="zh-CN" w:bidi="ar-SA"/>
        </w:rPr>
        <w:t>欢</w:t>
      </w:r>
      <w:r>
        <w:rPr>
          <w:rFonts w:hint="eastAsia" w:ascii="宋体" w:hAnsi="宋体" w:eastAsia="宋体" w:cs="宋体"/>
          <w:color w:val="auto"/>
          <w:kern w:val="2"/>
          <w:sz w:val="21"/>
          <w:szCs w:val="21"/>
          <w:lang w:val="en-US" w:eastAsia="zh-CN" w:bidi="ar-SA"/>
        </w:rPr>
        <w:t>迎具备条件的国内供应商参加询价。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eastAsia="宋体" w:cs="宋体"/>
          <w:i w:val="0"/>
          <w:caps w:val="0"/>
          <w:color w:val="auto"/>
          <w:spacing w:val="0"/>
          <w:sz w:val="21"/>
          <w:szCs w:val="21"/>
          <w:u w:val="none"/>
          <w:shd w:val="clear" w:color="auto" w:fill="FFFFFF"/>
          <w:lang w:val="en-US" w:eastAsia="zh-CN"/>
        </w:rPr>
        <w:t>霍山东淠河候鸟迁徙重点野生动植物保护</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DBSCG-2022-115</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霍山县林业局</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163000.00元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7、项目最高限价：163000.00元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val="en-US" w:eastAsia="zh-CN"/>
        </w:rPr>
        <w:t>供货（服务）</w:t>
      </w:r>
      <w:r>
        <w:rPr>
          <w:rFonts w:hint="eastAsia" w:ascii="宋体" w:hAnsi="宋体"/>
          <w:color w:val="000000"/>
          <w:sz w:val="21"/>
          <w:szCs w:val="21"/>
          <w:lang w:eastAsia="zh-CN"/>
        </w:rPr>
        <w:t>期</w:t>
      </w:r>
      <w:r>
        <w:rPr>
          <w:rFonts w:hint="eastAsia" w:ascii="宋体" w:hAnsi="宋体"/>
          <w:color w:val="000000"/>
          <w:sz w:val="21"/>
          <w:szCs w:val="21"/>
        </w:rPr>
        <w:t>：</w:t>
      </w:r>
      <w:r>
        <w:rPr>
          <w:rFonts w:hint="eastAsia" w:ascii="宋体" w:hAnsi="宋体" w:eastAsia="宋体" w:cs="宋体"/>
          <w:i w:val="0"/>
          <w:caps w:val="0"/>
          <w:color w:val="auto"/>
          <w:spacing w:val="0"/>
          <w:sz w:val="21"/>
          <w:szCs w:val="21"/>
          <w:u w:val="none"/>
          <w:shd w:val="clear" w:color="auto" w:fill="FFFFFF"/>
          <w:lang w:val="en-US" w:eastAsia="zh-CN"/>
        </w:rPr>
        <w:t xml:space="preserve">从签订合同之日起至2022年12月31日 </w:t>
      </w:r>
      <w:r>
        <w:rPr>
          <w:rFonts w:hint="eastAsia" w:ascii="宋体" w:hAnsi="宋体"/>
          <w:color w:val="000000"/>
          <w:sz w:val="21"/>
          <w:szCs w:val="21"/>
          <w:lang w:val="en-US" w:eastAsia="zh-CN"/>
        </w:rPr>
        <w:t xml:space="preserve"> </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w:t>
      </w:r>
      <w:r>
        <w:rPr>
          <w:rFonts w:hint="eastAsia" w:ascii="宋体" w:hAnsi="宋体" w:eastAsia="宋体" w:cs="宋体"/>
          <w:i w:val="0"/>
          <w:caps w:val="0"/>
          <w:color w:val="auto"/>
          <w:spacing w:val="0"/>
          <w:sz w:val="21"/>
          <w:szCs w:val="21"/>
          <w:u w:val="none"/>
          <w:shd w:val="clear" w:color="auto" w:fill="FFFFFF"/>
          <w:lang w:val="en-US" w:eastAsia="zh-CN"/>
        </w:rPr>
        <w:t>霍山东淠河候鸟迁徙重点野生动植物保护</w:t>
      </w:r>
      <w:r>
        <w:rPr>
          <w:rFonts w:hint="eastAsia" w:ascii="宋体" w:hAnsi="宋体"/>
          <w:color w:val="000000"/>
          <w:sz w:val="21"/>
          <w:szCs w:val="21"/>
          <w:lang w:val="en-US" w:eastAsia="zh-CN"/>
        </w:rPr>
        <w:t>(详见采购需求清单)。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1、满足《中华人民共和国政府采购法》第二十二条有关要求；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2、本项目的特定资格要求：营业执照须有相关经营范围；</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3、本项目不接受联合体参与投标；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4、供应商存在以下不良信用记录情形之一的，不得推荐为成交候选供应商，不得确定为成交供应商（仅以下述渠道查询结果为准，其他网站无效）：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val="en-US" w:eastAsia="zh-CN"/>
        </w:rPr>
        <w:t>2022年9月20日。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w:t>
      </w:r>
      <w:r>
        <w:rPr>
          <w:rFonts w:hint="eastAsia" w:ascii="宋体" w:hAnsi="宋体" w:cs="宋体"/>
          <w:i w:val="0"/>
          <w:caps w:val="0"/>
          <w:color w:val="auto"/>
          <w:spacing w:val="0"/>
          <w:sz w:val="21"/>
          <w:szCs w:val="21"/>
          <w:shd w:val="clear" w:color="auto" w:fill="FFFFFF"/>
          <w:lang w:val="en-US" w:eastAsia="zh-CN"/>
        </w:rPr>
        <w:t>自行下载</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至2022</w:t>
      </w:r>
      <w:r>
        <w:rPr>
          <w:rFonts w:hint="eastAsia" w:ascii="宋体" w:hAnsi="宋体" w:cs="宋体"/>
          <w:i w:val="0"/>
          <w:caps w:val="0"/>
          <w:color w:val="auto"/>
          <w:spacing w:val="0"/>
          <w:sz w:val="21"/>
          <w:szCs w:val="21"/>
          <w:u w:val="single"/>
          <w:shd w:val="clear" w:color="auto" w:fill="FFFFFF"/>
          <w:lang w:val="en-US" w:eastAsia="zh-CN"/>
        </w:rPr>
        <w:t>年9月23日</w:t>
      </w:r>
      <w:r>
        <w:rPr>
          <w:rFonts w:hint="eastAsia" w:ascii="宋体" w:hAnsi="宋体" w:cs="宋体"/>
          <w:i w:val="0"/>
          <w:caps w:val="0"/>
          <w:color w:val="auto"/>
          <w:spacing w:val="0"/>
          <w:sz w:val="21"/>
          <w:szCs w:val="21"/>
          <w:u w:val="single"/>
          <w:shd w:val="clear" w:color="auto" w:fill="FFFFFF"/>
          <w:lang w:eastAsia="zh-CN"/>
        </w:rPr>
        <w:t>1</w:t>
      </w:r>
      <w:r>
        <w:rPr>
          <w:rFonts w:hint="eastAsia" w:ascii="宋体" w:hAnsi="宋体" w:cs="宋体"/>
          <w:i w:val="0"/>
          <w:caps w:val="0"/>
          <w:color w:val="auto"/>
          <w:spacing w:val="0"/>
          <w:sz w:val="21"/>
          <w:szCs w:val="21"/>
          <w:u w:val="single"/>
          <w:shd w:val="clear" w:color="auto" w:fill="FFFFFF"/>
          <w:lang w:val="en-US" w:eastAsia="zh-CN"/>
        </w:rPr>
        <w:t>5</w:t>
      </w:r>
      <w:r>
        <w:rPr>
          <w:rFonts w:hint="eastAsia" w:ascii="宋体" w:hAnsi="宋体" w:cs="宋体"/>
          <w:i w:val="0"/>
          <w:caps w:val="0"/>
          <w:color w:val="auto"/>
          <w:spacing w:val="0"/>
          <w:sz w:val="21"/>
          <w:szCs w:val="21"/>
          <w:u w:val="single"/>
          <w:shd w:val="clear" w:color="auto" w:fill="FFFFFF"/>
          <w:lang w:eastAsia="zh-CN"/>
        </w:rPr>
        <w:t>时00分</w:t>
      </w:r>
      <w:r>
        <w:rPr>
          <w:rFonts w:hint="eastAsia" w:ascii="宋体" w:hAnsi="宋体" w:cs="宋体"/>
          <w:i w:val="0"/>
          <w:caps w:val="0"/>
          <w:color w:val="auto"/>
          <w:spacing w:val="0"/>
          <w:sz w:val="21"/>
          <w:szCs w:val="21"/>
          <w:u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安徽大别山工程咨询有限公司二楼第一</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（201室）。</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val="en-US" w:eastAsia="zh-CN"/>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cs="宋体"/>
          <w:b/>
          <w:i w:val="0"/>
          <w:caps w:val="0"/>
          <w:color w:val="auto"/>
          <w:spacing w:val="0"/>
          <w:sz w:val="21"/>
          <w:szCs w:val="21"/>
          <w:shd w:val="clear" w:color="auto" w:fill="FFFFFF"/>
          <w:lang w:val="en-US" w:eastAsia="zh-CN"/>
        </w:rPr>
        <w:t>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霍山县林业局</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eastAsia="zh-CN"/>
        </w:rPr>
        <w:t>地</w:t>
      </w:r>
      <w:r>
        <w:rPr>
          <w:rFonts w:hint="eastAsia" w:ascii="宋体" w:hAnsi="宋体" w:eastAsia="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lang w:eastAsia="zh-CN"/>
        </w:rPr>
        <w:t>址：</w:t>
      </w:r>
      <w:r>
        <w:rPr>
          <w:rFonts w:hint="eastAsia" w:ascii="宋体" w:hAnsi="宋体" w:cs="宋体"/>
          <w:i w:val="0"/>
          <w:caps w:val="0"/>
          <w:color w:val="auto"/>
          <w:spacing w:val="0"/>
          <w:sz w:val="21"/>
          <w:szCs w:val="21"/>
          <w:shd w:val="clear" w:color="auto" w:fill="FFFFFF"/>
          <w:lang w:val="en-US" w:eastAsia="zh-CN"/>
        </w:rPr>
        <w:t>霍山县政务区</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刘女士</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18156417555</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邵女士</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20033，18256408443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霍山县林业局</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w:t>
      </w: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cs="宋体"/>
          <w:i w:val="0"/>
          <w:caps w:val="0"/>
          <w:color w:val="auto"/>
          <w:spacing w:val="0"/>
          <w:sz w:val="21"/>
          <w:szCs w:val="21"/>
          <w:shd w:val="clear" w:color="auto" w:fill="FFFFFF"/>
          <w:lang w:eastAsia="zh-CN"/>
        </w:rPr>
        <w:t>年</w:t>
      </w:r>
      <w:r>
        <w:rPr>
          <w:rFonts w:hint="eastAsia" w:ascii="宋体" w:hAnsi="宋体" w:cs="宋体"/>
          <w:i w:val="0"/>
          <w:caps w:val="0"/>
          <w:color w:val="auto"/>
          <w:spacing w:val="0"/>
          <w:sz w:val="21"/>
          <w:szCs w:val="21"/>
          <w:shd w:val="clear" w:color="auto" w:fill="FFFFFF"/>
          <w:lang w:val="en-US" w:eastAsia="zh-CN"/>
        </w:rPr>
        <w:t>9月20</w:t>
      </w:r>
      <w:r>
        <w:rPr>
          <w:rFonts w:hint="eastAsia" w:ascii="宋体" w:hAnsi="宋体" w:cs="宋体"/>
          <w:i w:val="0"/>
          <w:caps w:val="0"/>
          <w:color w:val="auto"/>
          <w:spacing w:val="0"/>
          <w:sz w:val="21"/>
          <w:szCs w:val="21"/>
          <w:shd w:val="clear" w:color="auto" w:fill="FFFFFF"/>
          <w:lang w:eastAsia="zh-CN"/>
        </w:rPr>
        <w:t>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20"/>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9"/>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9"/>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cs="宋体"/>
                <w:i w:val="0"/>
                <w:caps w:val="0"/>
                <w:color w:val="auto"/>
                <w:spacing w:val="0"/>
                <w:sz w:val="21"/>
                <w:szCs w:val="21"/>
                <w:highlight w:val="none"/>
                <w:shd w:val="clear" w:color="auto" w:fill="FFFFFF"/>
                <w:lang w:val="en-US" w:eastAsia="zh-CN"/>
              </w:rPr>
              <w:t>霍山县林业局</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eastAsia="zh-CN"/>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cs="宋体"/>
                <w:i w:val="0"/>
                <w:caps w:val="0"/>
                <w:color w:val="auto"/>
                <w:spacing w:val="0"/>
                <w:sz w:val="21"/>
                <w:szCs w:val="21"/>
                <w:highlight w:val="none"/>
                <w:shd w:val="clear" w:color="auto" w:fill="FFFFFF"/>
                <w:lang w:eastAsia="zh-CN"/>
              </w:rPr>
              <w:t>址：</w:t>
            </w:r>
            <w:r>
              <w:rPr>
                <w:rFonts w:hint="eastAsia" w:ascii="宋体" w:hAnsi="宋体" w:cs="宋体"/>
                <w:i w:val="0"/>
                <w:caps w:val="0"/>
                <w:color w:val="auto"/>
                <w:spacing w:val="0"/>
                <w:sz w:val="21"/>
                <w:szCs w:val="21"/>
                <w:highlight w:val="none"/>
                <w:shd w:val="clear" w:color="auto" w:fill="FFFFFF"/>
                <w:lang w:val="en-US" w:eastAsia="zh-CN"/>
              </w:rPr>
              <w:t>霍山县政务区</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eastAsia="zh-CN"/>
              </w:rPr>
              <w:t>联系人：</w:t>
            </w:r>
            <w:r>
              <w:rPr>
                <w:rFonts w:hint="eastAsia" w:ascii="宋体" w:hAnsi="宋体" w:cs="宋体"/>
                <w:i w:val="0"/>
                <w:caps w:val="0"/>
                <w:color w:val="auto"/>
                <w:spacing w:val="0"/>
                <w:sz w:val="21"/>
                <w:szCs w:val="21"/>
                <w:highlight w:val="none"/>
                <w:shd w:val="clear" w:color="auto" w:fill="FFFFFF"/>
                <w:lang w:val="en-US" w:eastAsia="zh-CN"/>
              </w:rPr>
              <w:t>刘女士</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bCs/>
                <w:color w:val="auto"/>
                <w:szCs w:val="21"/>
                <w:highlight w:val="none"/>
                <w:lang w:val="en-US" w:eastAsia="zh-CN"/>
              </w:rPr>
            </w:pPr>
            <w:r>
              <w:rPr>
                <w:rFonts w:hint="eastAsia" w:ascii="宋体" w:hAnsi="宋体" w:cs="宋体"/>
                <w:i w:val="0"/>
                <w:caps w:val="0"/>
                <w:color w:val="auto"/>
                <w:spacing w:val="0"/>
                <w:sz w:val="21"/>
                <w:szCs w:val="21"/>
                <w:highlight w:val="none"/>
                <w:shd w:val="clear" w:color="auto" w:fill="FFFFFF"/>
                <w:lang w:eastAsia="zh-CN"/>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cs="宋体"/>
                <w:i w:val="0"/>
                <w:caps w:val="0"/>
                <w:color w:val="auto"/>
                <w:spacing w:val="0"/>
                <w:sz w:val="21"/>
                <w:szCs w:val="21"/>
                <w:highlight w:val="none"/>
                <w:shd w:val="clear" w:color="auto" w:fill="FFFFFF"/>
                <w:lang w:eastAsia="zh-CN"/>
              </w:rPr>
              <w:t>话：</w:t>
            </w:r>
            <w:r>
              <w:rPr>
                <w:rFonts w:hint="eastAsia" w:ascii="宋体" w:hAnsi="宋体" w:cs="宋体"/>
                <w:i w:val="0"/>
                <w:caps w:val="0"/>
                <w:color w:val="auto"/>
                <w:spacing w:val="0"/>
                <w:sz w:val="21"/>
                <w:szCs w:val="21"/>
                <w:highlight w:val="none"/>
                <w:shd w:val="clear" w:color="auto" w:fill="FFFFFF"/>
                <w:lang w:val="en-US" w:eastAsia="zh-CN"/>
              </w:rPr>
              <w:t>18156417555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邵女士</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20033、18256408443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9"/>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40"/>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ascii="宋体" w:hAnsi="宋体" w:eastAsia="宋体" w:cs="宋体"/>
                <w:b w:val="0"/>
                <w:bCs/>
                <w:color w:val="auto"/>
                <w:kern w:val="2"/>
                <w:sz w:val="21"/>
                <w:szCs w:val="21"/>
                <w:highlight w:val="none"/>
                <w:u w:val="none"/>
                <w:lang w:val="en-US" w:eastAsia="zh-CN" w:bidi="ar-SA"/>
              </w:rPr>
              <w:t>霍山东淠河候鸟迁徙重点野生动植物保护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0" w:type="dxa"/>
            <w:vAlign w:val="center"/>
          </w:tcPr>
          <w:p>
            <w:pPr>
              <w:pStyle w:val="39"/>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40"/>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DBSCG-2022-</w:t>
            </w:r>
            <w:r>
              <w:rPr>
                <w:rFonts w:hint="eastAsia" w:cs="宋体"/>
                <w:b/>
                <w:bCs w:val="0"/>
                <w:color w:val="auto"/>
                <w:kern w:val="2"/>
                <w:sz w:val="21"/>
                <w:szCs w:val="21"/>
                <w:highlight w:val="none"/>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40"/>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壹拾陆万叁仟元整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163000.00元</w:t>
            </w:r>
            <w:r>
              <w:rPr>
                <w:rFonts w:hint="eastAsia" w:ascii="宋体" w:hAnsi="宋体" w:eastAsia="宋体" w:cs="宋体"/>
                <w:b/>
                <w:bCs/>
                <w:color w:val="auto"/>
                <w:sz w:val="21"/>
                <w:szCs w:val="21"/>
                <w:highlight w:val="none"/>
              </w:rPr>
              <w:t>）</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color w:val="auto"/>
                <w:szCs w:val="21"/>
                <w:highlight w:val="none"/>
                <w:u w:val="none"/>
                <w:lang w:val="en-US" w:eastAsia="zh-CN"/>
              </w:rPr>
              <w:t>30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b/>
                <w:bCs/>
                <w:color w:val="auto"/>
                <w:kern w:val="0"/>
                <w:sz w:val="21"/>
                <w:szCs w:val="21"/>
                <w:highlight w:val="none"/>
                <w:shd w:val="clear" w:color="auto" w:fill="FFFFFF"/>
                <w:lang w:val="en-US" w:eastAsia="zh-CN" w:bidi="ar-SA"/>
              </w:rPr>
              <w:t>项目中标签约后，预付合同金额60%，验收合格后，2022年12月31日以前付清余款。（</w:t>
            </w:r>
            <w:r>
              <w:rPr>
                <w:rFonts w:hint="eastAsia" w:ascii="宋体" w:hAnsi="宋体" w:cs="宋体"/>
                <w:b/>
                <w:bCs/>
                <w:color w:val="auto"/>
                <w:kern w:val="0"/>
                <w:sz w:val="21"/>
                <w:szCs w:val="21"/>
                <w:highlight w:val="none"/>
                <w:shd w:val="clear" w:color="auto" w:fill="FFFFFF"/>
                <w:lang w:val="en-US" w:eastAsia="zh-CN" w:bidi="ar-SA"/>
              </w:rPr>
              <w:t>投标单位</w:t>
            </w:r>
            <w:r>
              <w:rPr>
                <w:rFonts w:hint="eastAsia" w:ascii="宋体" w:hAnsi="宋体" w:eastAsia="宋体" w:cs="宋体"/>
                <w:b/>
                <w:bCs/>
                <w:color w:val="auto"/>
                <w:kern w:val="0"/>
                <w:sz w:val="21"/>
                <w:szCs w:val="21"/>
                <w:highlight w:val="none"/>
                <w:shd w:val="clear" w:color="auto" w:fill="FFFFFF"/>
                <w:lang w:val="en-US" w:eastAsia="zh-CN" w:bidi="ar-SA"/>
              </w:rPr>
              <w:t>提交的相应文件中如有关于付款条件的表述与文件规定不符，将被视为实质性不响应，将导致响应无效）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服务</w:t>
            </w:r>
            <w:r>
              <w:rPr>
                <w:rFonts w:hint="eastAsia" w:ascii="宋体" w:hAnsi="宋体" w:eastAsia="宋体" w:cs="宋体"/>
                <w:b w:val="0"/>
                <w:bCs w:val="0"/>
                <w:color w:val="auto"/>
                <w:szCs w:val="21"/>
                <w:highlight w:val="none"/>
              </w:rPr>
              <w:t>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供货（服务）</w:t>
            </w:r>
            <w:r>
              <w:rPr>
                <w:rFonts w:hint="eastAsia" w:ascii="宋体" w:hAnsi="宋体"/>
                <w:color w:val="000000"/>
                <w:sz w:val="21"/>
                <w:szCs w:val="21"/>
                <w:lang w:eastAsia="zh-CN"/>
              </w:rPr>
              <w:t>期</w:t>
            </w:r>
          </w:p>
        </w:tc>
        <w:tc>
          <w:tcPr>
            <w:tcW w:w="7568" w:type="dxa"/>
            <w:vAlign w:val="top"/>
          </w:tcPr>
          <w:p>
            <w:pPr>
              <w:adjustRightInd w:val="0"/>
              <w:snapToGrid w:val="0"/>
              <w:spacing w:line="320" w:lineRule="exact"/>
              <w:rPr>
                <w:rFonts w:hint="default"/>
                <w:lang w:val="en-US"/>
              </w:rPr>
            </w:pPr>
            <w:r>
              <w:rPr>
                <w:rFonts w:hint="eastAsia" w:ascii="宋体" w:hAnsi="宋体" w:eastAsia="宋体" w:cs="宋体"/>
                <w:b w:val="0"/>
                <w:bCs w:val="0"/>
                <w:color w:val="auto"/>
                <w:szCs w:val="21"/>
                <w:highlight w:val="none"/>
              </w:rPr>
              <w:t>从签订合同之日起至</w:t>
            </w:r>
            <w:r>
              <w:rPr>
                <w:rFonts w:hint="eastAsia" w:ascii="宋体" w:hAnsi="宋体" w:eastAsia="宋体" w:cs="宋体"/>
                <w:b w:val="0"/>
                <w:bCs w:val="0"/>
                <w:color w:val="auto"/>
                <w:szCs w:val="21"/>
                <w:highlight w:val="none"/>
                <w:lang w:val="en-US" w:eastAsia="zh-CN"/>
              </w:rPr>
              <w:t>2022年12月31日。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none"/>
                <w:lang w:eastAsia="zh-CN"/>
              </w:rPr>
              <w:t>2022</w:t>
            </w:r>
            <w:r>
              <w:rPr>
                <w:rFonts w:hint="eastAsia" w:ascii="宋体" w:hAnsi="宋体" w:eastAsia="宋体" w:cs="宋体"/>
                <w:b/>
                <w:color w:val="auto"/>
                <w:sz w:val="21"/>
                <w:szCs w:val="21"/>
                <w:highlight w:val="none"/>
                <w:u w:val="none"/>
                <w:lang w:val="en-US" w:eastAsia="zh-CN"/>
              </w:rPr>
              <w:t>年9月23日</w:t>
            </w:r>
            <w:r>
              <w:rPr>
                <w:rFonts w:hint="eastAsia" w:ascii="宋体" w:hAnsi="宋体" w:eastAsia="宋体" w:cs="宋体"/>
                <w:b/>
                <w:color w:val="auto"/>
                <w:sz w:val="21"/>
                <w:szCs w:val="21"/>
                <w:highlight w:val="none"/>
                <w:u w:val="none"/>
                <w:lang w:eastAsia="zh-CN"/>
              </w:rPr>
              <w:t>1</w:t>
            </w:r>
            <w:r>
              <w:rPr>
                <w:rFonts w:hint="eastAsia" w:ascii="宋体" w:hAnsi="宋体" w:eastAsia="宋体" w:cs="宋体"/>
                <w:b/>
                <w:color w:val="auto"/>
                <w:sz w:val="21"/>
                <w:szCs w:val="21"/>
                <w:highlight w:val="none"/>
                <w:u w:val="none"/>
                <w:lang w:val="en-US" w:eastAsia="zh-CN"/>
              </w:rPr>
              <w:t>5</w:t>
            </w:r>
            <w:r>
              <w:rPr>
                <w:rFonts w:hint="eastAsia" w:ascii="宋体" w:hAnsi="宋体" w:eastAsia="宋体" w:cs="宋体"/>
                <w:b/>
                <w:color w:val="auto"/>
                <w:sz w:val="21"/>
                <w:szCs w:val="21"/>
                <w:highlight w:val="none"/>
                <w:u w:val="none"/>
                <w:lang w:eastAsia="zh-CN"/>
              </w:rPr>
              <w:t>时00分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w:t>
            </w:r>
            <w:r>
              <w:rPr>
                <w:rFonts w:hint="eastAsia" w:ascii="宋体" w:hAnsi="宋体" w:cs="宋体"/>
                <w:b/>
                <w:color w:val="auto"/>
                <w:sz w:val="21"/>
                <w:szCs w:val="21"/>
                <w:highlight w:val="none"/>
                <w:lang w:val="en-US" w:eastAsia="zh-CN"/>
              </w:rPr>
              <w:t>二</w:t>
            </w:r>
            <w:r>
              <w:rPr>
                <w:rFonts w:hint="eastAsia" w:ascii="宋体" w:hAnsi="宋体" w:cs="宋体"/>
                <w:b/>
                <w:color w:val="auto"/>
                <w:sz w:val="21"/>
                <w:szCs w:val="21"/>
                <w:highlight w:val="none"/>
                <w:lang w:eastAsia="zh-CN"/>
              </w:rPr>
              <w:t>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i w:val="0"/>
                <w:caps w:val="0"/>
                <w:color w:val="auto"/>
                <w:spacing w:val="0"/>
                <w:sz w:val="21"/>
                <w:szCs w:val="21"/>
                <w:shd w:val="clear" w:color="auto" w:fill="FFFFFF"/>
                <w:lang w:val="en-US" w:eastAsia="zh-CN"/>
              </w:rPr>
              <w:t>安徽大别山工程咨询有限公司二楼第一</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（201室）</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hint="eastAsia" w:ascii="宋体" w:hAnsi="宋体" w:cs="宋体"/>
                <w:color w:val="auto"/>
                <w:highlight w:val="none"/>
                <w:lang w:val="en-US" w:eastAsia="zh-CN"/>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1468373323</w:t>
            </w:r>
            <w:r>
              <w:rPr>
                <w:rFonts w:hint="eastAsia" w:ascii="宋体" w:hAnsi="宋体" w:eastAsia="宋体" w:cs="宋体"/>
                <w:color w:val="auto"/>
                <w:sz w:val="21"/>
                <w:szCs w:val="21"/>
                <w:highlight w:val="none"/>
                <w:lang w:val="en-US" w:eastAsia="zh-CN"/>
              </w:rPr>
              <w:t>@qq.com。逾期不予受理（不得署名）。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1468373323</w:t>
            </w:r>
            <w:r>
              <w:rPr>
                <w:rFonts w:hint="eastAsia" w:ascii="宋体" w:hAnsi="宋体" w:eastAsia="宋体" w:cs="宋体"/>
                <w:color w:val="auto"/>
                <w:sz w:val="21"/>
                <w:szCs w:val="21"/>
                <w:highlight w:val="none"/>
                <w:lang w:val="en-US" w:eastAsia="zh-CN"/>
              </w:rPr>
              <w:t>@qq.com邮箱。质疑须在开标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ind w:firstLine="420" w:firstLineChars="200"/>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cs="宋体"/>
                <w:bCs/>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41"/>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41"/>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41"/>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41"/>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FF0000"/>
                <w:highlight w:val="none"/>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后在领取成交通知书前缴纳采购代理服务费</w:t>
            </w:r>
            <w:r>
              <w:rPr>
                <w:rFonts w:hint="eastAsia" w:ascii="宋体" w:hAnsi="宋体" w:cs="宋体"/>
                <w:b/>
                <w:bCs/>
                <w:color w:val="000000"/>
                <w:highlight w:val="none"/>
                <w:lang w:val="en-US" w:eastAsia="zh-CN"/>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42"/>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12806"/>
      <w:bookmarkStart w:id="14" w:name="_Toc363199266"/>
      <w:bookmarkStart w:id="15" w:name="_Toc216158625"/>
      <w:bookmarkStart w:id="16" w:name="_Toc438648662"/>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color w:val="auto"/>
          <w:sz w:val="21"/>
          <w:szCs w:val="21"/>
          <w:lang w:eastAsia="zh-CN"/>
        </w:rPr>
      </w:pPr>
      <w:r>
        <w:rPr>
          <w:rFonts w:hint="eastAsia"/>
          <w:color w:val="auto"/>
          <w:sz w:val="21"/>
          <w:szCs w:val="21"/>
          <w:lang w:val="en-US" w:eastAsia="zh-CN"/>
        </w:rPr>
        <w:t>6、</w:t>
      </w:r>
      <w:r>
        <w:rPr>
          <w:rFonts w:hint="eastAsia"/>
          <w:color w:val="auto"/>
          <w:sz w:val="21"/>
          <w:szCs w:val="21"/>
          <w:lang w:eastAsia="zh-CN"/>
        </w:rPr>
        <w:t>响应</w:t>
      </w:r>
      <w:r>
        <w:rPr>
          <w:rFonts w:hint="eastAsia"/>
          <w:color w:val="auto"/>
          <w:sz w:val="21"/>
          <w:szCs w:val="21"/>
        </w:rPr>
        <w:t>报价书</w:t>
      </w:r>
      <w:r>
        <w:rPr>
          <w:rFonts w:hint="eastAsi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color w:val="auto"/>
          <w:sz w:val="21"/>
          <w:szCs w:val="21"/>
          <w:lang w:eastAsia="zh-CN"/>
        </w:rPr>
      </w:pPr>
      <w:r>
        <w:rPr>
          <w:rFonts w:hint="eastAsia"/>
          <w:color w:val="auto"/>
          <w:sz w:val="21"/>
          <w:szCs w:val="21"/>
          <w:lang w:val="en-US" w:eastAsia="zh-CN"/>
        </w:rPr>
        <w:t>7、相关服务承诺函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9、中小企业声明函等</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霍山县</w:t>
      </w:r>
      <w:r>
        <w:rPr>
          <w:rFonts w:hint="eastAsia" w:ascii="宋体" w:hAnsi="宋体" w:cs="宋体"/>
          <w:color w:val="auto"/>
          <w:szCs w:val="21"/>
          <w:u w:val="single"/>
          <w:lang w:val="en-US" w:eastAsia="zh-CN"/>
        </w:rPr>
        <w:t>林业局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lang w:eastAsia="zh-CN"/>
        </w:rPr>
        <w:t>参照《政府采购法》</w:t>
      </w:r>
      <w:r>
        <w:rPr>
          <w:rFonts w:hint="eastAsia" w:ascii="宋体" w:hAnsi="宋体"/>
          <w:b/>
          <w:bCs/>
          <w:color w:val="auto"/>
          <w:sz w:val="21"/>
          <w:szCs w:val="21"/>
        </w:rPr>
        <w:t>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val="en-US" w:eastAsia="zh-CN"/>
        </w:rPr>
        <w:t>货物</w:t>
      </w:r>
      <w:r>
        <w:rPr>
          <w:rFonts w:hint="eastAsia" w:ascii="宋体" w:hAnsi="宋体"/>
          <w:color w:val="auto"/>
          <w:sz w:val="21"/>
          <w:szCs w:val="21"/>
        </w:rPr>
        <w:t>必须是合法生产的符合国家有关要求的</w:t>
      </w:r>
      <w:r>
        <w:rPr>
          <w:rFonts w:hint="eastAsia" w:ascii="宋体" w:hAnsi="宋体"/>
          <w:color w:val="auto"/>
          <w:sz w:val="21"/>
          <w:szCs w:val="21"/>
          <w:lang w:val="en-US" w:eastAsia="zh-CN"/>
        </w:rPr>
        <w:t>货物</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val="en-US" w:eastAsia="zh-CN"/>
        </w:rPr>
        <w:t>货物</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val="en-US" w:eastAsia="zh-CN"/>
        </w:rPr>
        <w:t>货物</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val="en-US" w:eastAsia="zh-CN"/>
        </w:rPr>
        <w:t>货物</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val="en-US" w:eastAsia="zh-CN"/>
        </w:rPr>
        <w:t>霍山县林业局</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霍山县财政局</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bookmarkEnd w:id="19"/>
    <w:p>
      <w:pPr>
        <w:pStyle w:val="42"/>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12757"/>
      <w:bookmarkStart w:id="33" w:name="_Toc16484_WPSOffice_Level1"/>
      <w:bookmarkStart w:id="34" w:name="_Toc363199273"/>
      <w:r>
        <w:rPr>
          <w:rFonts w:hint="eastAsia"/>
          <w:color w:val="auto"/>
          <w:sz w:val="28"/>
          <w:szCs w:val="28"/>
        </w:rPr>
        <w:t>采购合同</w:t>
      </w:r>
    </w:p>
    <w:p>
      <w:pPr>
        <w:pStyle w:val="42"/>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32"/>
          <w:szCs w:val="32"/>
        </w:rPr>
      </w:pPr>
      <w:r>
        <w:rPr>
          <w:rFonts w:hint="eastAsia"/>
          <w:color w:val="auto"/>
          <w:sz w:val="32"/>
          <w:szCs w:val="32"/>
        </w:rPr>
        <w:t>（</w:t>
      </w:r>
      <w:r>
        <w:rPr>
          <w:rFonts w:hint="eastAsia"/>
          <w:b/>
          <w:bCs/>
          <w:sz w:val="28"/>
          <w:szCs w:val="28"/>
        </w:rPr>
        <w:t>甲乙双方自行拟定</w:t>
      </w:r>
      <w:r>
        <w:rPr>
          <w:rFonts w:hint="eastAsia" w:ascii="Times New Roman" w:hAnsi="Times New Roman" w:eastAsia="宋体" w:cs="Times New Roman"/>
          <w:b/>
          <w:bCs/>
          <w:sz w:val="28"/>
          <w:szCs w:val="28"/>
          <w:lang w:eastAsia="zh-CN"/>
        </w:rPr>
        <w:t>，</w:t>
      </w:r>
      <w:r>
        <w:rPr>
          <w:rFonts w:hint="eastAsia" w:ascii="Times New Roman" w:hAnsi="Times New Roman" w:eastAsia="宋体" w:cs="Times New Roman"/>
          <w:b/>
          <w:bCs/>
          <w:sz w:val="28"/>
          <w:szCs w:val="28"/>
          <w:lang w:val="en-US" w:eastAsia="zh-CN"/>
        </w:rPr>
        <w:t>但不得有违背采购文件精神的条款。</w:t>
      </w:r>
      <w:r>
        <w:rPr>
          <w:rFonts w:hint="eastAsia"/>
          <w:color w:val="auto"/>
          <w:sz w:val="32"/>
          <w:szCs w:val="32"/>
        </w:rPr>
        <w:t>）</w:t>
      </w:r>
    </w:p>
    <w:p>
      <w:pPr>
        <w:pStyle w:val="18"/>
        <w:jc w:val="center"/>
        <w:rPr>
          <w:rFonts w:hint="eastAsia" w:cs="宋体"/>
          <w:b/>
          <w:color w:val="auto"/>
          <w:kern w:val="0"/>
          <w:sz w:val="32"/>
          <w:szCs w:val="32"/>
          <w:lang w:val="en-US" w:eastAsia="zh-CN" w:bidi="ar-SA"/>
        </w:rPr>
      </w:pPr>
      <w:r>
        <w:rPr>
          <w:rFonts w:hint="eastAsia" w:cs="宋体"/>
          <w:b/>
          <w:color w:val="auto"/>
          <w:kern w:val="0"/>
          <w:sz w:val="32"/>
          <w:szCs w:val="32"/>
          <w:lang w:val="en-US" w:eastAsia="zh-CN" w:bidi="ar-SA"/>
        </w:rPr>
        <w:tab/>
      </w:r>
    </w:p>
    <w:p>
      <w:pPr>
        <w:rPr>
          <w:rFonts w:hint="eastAsia" w:cs="宋体"/>
          <w:b/>
          <w:color w:val="auto"/>
          <w:kern w:val="0"/>
          <w:sz w:val="32"/>
          <w:szCs w:val="32"/>
          <w:lang w:val="en-US" w:eastAsia="zh-CN" w:bidi="ar-SA"/>
        </w:rPr>
      </w:pPr>
      <w:r>
        <w:rPr>
          <w:rFonts w:hint="eastAsia" w:cs="宋体"/>
          <w:b/>
          <w:color w:val="auto"/>
          <w:kern w:val="0"/>
          <w:sz w:val="32"/>
          <w:szCs w:val="32"/>
          <w:lang w:val="en-US" w:eastAsia="zh-CN" w:bidi="ar-SA"/>
        </w:rPr>
        <w:br w:type="page"/>
      </w:r>
    </w:p>
    <w:bookmarkEnd w:id="32"/>
    <w:bookmarkEnd w:id="33"/>
    <w:p>
      <w:pPr>
        <w:numPr>
          <w:ilvl w:val="0"/>
          <w:numId w:val="2"/>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w:t>
      </w: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 xml:space="preserve">采购内容 </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lang w:eastAsia="zh-CN"/>
        </w:rPr>
        <w:t xml:space="preserve">. </w:t>
      </w:r>
      <w:r>
        <w:rPr>
          <w:rFonts w:hint="eastAsia" w:asciiTheme="minorEastAsia" w:hAnsiTheme="minorEastAsia" w:eastAsiaTheme="minorEastAsia" w:cstheme="minorEastAsia"/>
          <w:b/>
          <w:bCs/>
          <w:sz w:val="24"/>
          <w:szCs w:val="24"/>
        </w:rPr>
        <w:t>项目名称：</w:t>
      </w:r>
      <w:r>
        <w:rPr>
          <w:rFonts w:hint="eastAsia" w:asciiTheme="minorEastAsia" w:hAnsiTheme="minorEastAsia" w:eastAsiaTheme="minorEastAsia" w:cstheme="minorEastAsia"/>
          <w:sz w:val="24"/>
          <w:szCs w:val="24"/>
        </w:rPr>
        <w:t>霍山东淠河候鸟迁徙重点野生动植物保护。</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rPr>
        <w:t>2</w:t>
      </w:r>
      <w:r>
        <w:rPr>
          <w:rFonts w:hint="eastAsia" w:asciiTheme="minorEastAsia" w:hAnsiTheme="minorEastAsia" w:eastAsiaTheme="minorEastAsia" w:cstheme="minorEastAsia"/>
          <w:b/>
          <w:bCs/>
          <w:sz w:val="24"/>
          <w:szCs w:val="24"/>
          <w:lang w:eastAsia="zh-CN"/>
        </w:rPr>
        <w:t xml:space="preserve">. </w:t>
      </w:r>
      <w:r>
        <w:rPr>
          <w:rFonts w:hint="eastAsia" w:asciiTheme="minorEastAsia" w:hAnsiTheme="minorEastAsia" w:eastAsiaTheme="minorEastAsia" w:cstheme="minorEastAsia"/>
          <w:b/>
          <w:bCs/>
          <w:sz w:val="24"/>
          <w:szCs w:val="24"/>
        </w:rPr>
        <w:t>项目内容</w:t>
      </w: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sz w:val="24"/>
          <w:szCs w:val="24"/>
          <w:lang w:val="en-US" w:eastAsia="zh-CN"/>
        </w:rPr>
        <w:t>东淠河迁徙候鸟保护监控巡护设备建设</w:t>
      </w:r>
      <w:r>
        <w:rPr>
          <w:rFonts w:hint="eastAsia" w:asciiTheme="minorEastAsia" w:hAnsiTheme="minorEastAsia" w:cstheme="minorEastAsia"/>
          <w:sz w:val="24"/>
          <w:szCs w:val="24"/>
          <w:lang w:val="en-US" w:eastAsia="zh-CN"/>
        </w:rPr>
        <w:t>（A、B、C、D）</w:t>
      </w:r>
    </w:p>
    <w:p>
      <w:pPr>
        <w:ind w:firstLine="482" w:firstLineChars="200"/>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bCs/>
          <w:sz w:val="24"/>
          <w:szCs w:val="24"/>
          <w:lang w:val="en-US" w:eastAsia="zh-CN"/>
        </w:rPr>
        <w:t>A</w:t>
      </w:r>
      <w:r>
        <w:rPr>
          <w:rFonts w:hint="eastAsia" w:asciiTheme="minorEastAsia" w:hAnsiTheme="minorEastAsia" w:eastAsiaTheme="minorEastAsia" w:cstheme="minorEastAsia"/>
          <w:b/>
          <w:bCs/>
          <w:sz w:val="24"/>
          <w:szCs w:val="24"/>
          <w:lang w:val="en-US" w:eastAsia="zh-CN"/>
        </w:rPr>
        <w:t>、</w:t>
      </w:r>
      <w:r>
        <w:rPr>
          <w:rFonts w:hint="eastAsia" w:asciiTheme="minorEastAsia" w:hAnsiTheme="minorEastAsia" w:eastAsiaTheme="minorEastAsia" w:cstheme="minorEastAsia"/>
          <w:sz w:val="24"/>
          <w:szCs w:val="24"/>
          <w:lang w:val="en-US" w:eastAsia="zh-CN"/>
        </w:rPr>
        <w:t>候鸟重点栖息区安装</w:t>
      </w:r>
      <w:r>
        <w:rPr>
          <w:rFonts w:hint="eastAsia" w:asciiTheme="minorEastAsia" w:hAnsiTheme="minorEastAsia" w:eastAsiaTheme="minorEastAsia" w:cstheme="minorEastAsia"/>
          <w:b w:val="0"/>
          <w:bCs w:val="0"/>
          <w:sz w:val="24"/>
          <w:szCs w:val="24"/>
          <w:lang w:val="en-US" w:eastAsia="zh-CN"/>
        </w:rPr>
        <w:t>270°</w:t>
      </w:r>
      <w:r>
        <w:rPr>
          <w:rFonts w:hint="eastAsia" w:asciiTheme="minorEastAsia" w:hAnsiTheme="minorEastAsia" w:eastAsiaTheme="minorEastAsia" w:cstheme="minorEastAsia"/>
          <w:sz w:val="24"/>
          <w:szCs w:val="24"/>
        </w:rPr>
        <w:t>全景网络高清智能</w:t>
      </w:r>
      <w:r>
        <w:rPr>
          <w:rFonts w:hint="eastAsia" w:asciiTheme="minorEastAsia" w:hAnsiTheme="minorEastAsia" w:eastAsiaTheme="minorEastAsia" w:cstheme="minorEastAsia"/>
          <w:sz w:val="24"/>
          <w:szCs w:val="24"/>
          <w:lang w:val="en-US" w:eastAsia="zh-CN"/>
        </w:rPr>
        <w:t>2-3公里覆盖监控</w:t>
      </w:r>
      <w:r>
        <w:rPr>
          <w:rFonts w:hint="eastAsia" w:asciiTheme="minorEastAsia" w:hAnsiTheme="minorEastAsia" w:eastAsiaTheme="minorEastAsia" w:cstheme="minorEastAsia"/>
          <w:sz w:val="24"/>
          <w:szCs w:val="24"/>
        </w:rPr>
        <w:t>球机</w:t>
      </w:r>
      <w:r>
        <w:rPr>
          <w:rFonts w:hint="eastAsia" w:asciiTheme="minorEastAsia" w:hAnsiTheme="minorEastAsia" w:eastAsiaTheme="minorEastAsia" w:cstheme="minorEastAsia"/>
          <w:b w:val="0"/>
          <w:bCs w:val="0"/>
          <w:sz w:val="24"/>
          <w:szCs w:val="24"/>
          <w:lang w:val="en-US" w:eastAsia="zh-CN"/>
        </w:rPr>
        <w:t>1套（包括铁塔、网、电、配套设备、安装及服务等，能兼容“海康”设备防火监控平台</w:t>
      </w:r>
      <w:r>
        <w:rPr>
          <w:rFonts w:hint="eastAsia" w:asciiTheme="minorEastAsia" w:hAnsiTheme="minorEastAsia" w:cstheme="minorEastAsia"/>
          <w:b w:val="0"/>
          <w:bCs w:val="0"/>
          <w:sz w:val="24"/>
          <w:szCs w:val="24"/>
          <w:lang w:val="en-US" w:eastAsia="zh-CN"/>
        </w:rPr>
        <w:t>。</w:t>
      </w:r>
      <w:r>
        <w:rPr>
          <w:rFonts w:hint="eastAsia" w:asciiTheme="minorEastAsia" w:hAnsiTheme="minorEastAsia" w:eastAsiaTheme="minorEastAsia" w:cstheme="minorEastAsia"/>
          <w:b w:val="0"/>
          <w:bCs w:val="0"/>
          <w:sz w:val="24"/>
          <w:szCs w:val="24"/>
          <w:lang w:val="en-US" w:eastAsia="zh-CN"/>
        </w:rPr>
        <w:t>产品参数</w:t>
      </w:r>
      <w:r>
        <w:rPr>
          <w:rFonts w:hint="eastAsia" w:asciiTheme="minorEastAsia" w:hAnsiTheme="minorEastAsia" w:cstheme="minorEastAsia"/>
          <w:b w:val="0"/>
          <w:bCs w:val="0"/>
          <w:sz w:val="24"/>
          <w:szCs w:val="24"/>
          <w:lang w:val="en-US" w:eastAsia="zh-CN"/>
        </w:rPr>
        <w:t>不低于</w:t>
      </w:r>
      <w:r>
        <w:rPr>
          <w:rFonts w:hint="eastAsia" w:asciiTheme="minorEastAsia" w:hAnsiTheme="minorEastAsia" w:eastAsiaTheme="minorEastAsia" w:cstheme="minorEastAsia"/>
          <w:b w:val="0"/>
          <w:bCs w:val="0"/>
          <w:sz w:val="24"/>
          <w:szCs w:val="24"/>
          <w:lang w:val="en-US" w:eastAsia="zh-CN"/>
        </w:rPr>
        <w:t>海康【2400万270°四代AR球型鹰眼】</w:t>
      </w:r>
      <w:r>
        <w:rPr>
          <w:rFonts w:hint="eastAsia" w:asciiTheme="minorEastAsia" w:hAnsiTheme="minorEastAsia" w:cstheme="minorEastAsia"/>
          <w:b w:val="0"/>
          <w:bCs w:val="0"/>
          <w:sz w:val="24"/>
          <w:szCs w:val="24"/>
          <w:lang w:val="en-US" w:eastAsia="zh-CN"/>
        </w:rPr>
        <w:t>）。</w:t>
      </w:r>
    </w:p>
    <w:p>
      <w:pPr>
        <w:pStyle w:val="2"/>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①高清视频监测球机1台；</w:t>
      </w:r>
    </w:p>
    <w:p>
      <w:pPr>
        <w:pStyle w:val="2"/>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②视频监测钢构塔1架；</w:t>
      </w:r>
    </w:p>
    <w:p>
      <w:pPr>
        <w:pStyle w:val="2"/>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③接入交换机1台；二合一防雷器1个；</w:t>
      </w:r>
    </w:p>
    <w:p>
      <w:pPr>
        <w:pStyle w:val="2"/>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④室外防护箱1个；</w:t>
      </w:r>
    </w:p>
    <w:p>
      <w:pPr>
        <w:pStyle w:val="2"/>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⑤超5类室外网线1箱；</w:t>
      </w:r>
    </w:p>
    <w:p>
      <w:pPr>
        <w:pStyle w:val="2"/>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⑥电源线1批；</w:t>
      </w:r>
    </w:p>
    <w:p>
      <w:pPr>
        <w:pStyle w:val="2"/>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⑦PVC套管1批；</w:t>
      </w:r>
    </w:p>
    <w:p>
      <w:pPr>
        <w:pStyle w:val="2"/>
        <w:rPr>
          <w:rFonts w:hint="default"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⑧施工费、辅材、光缆、市电1项；</w:t>
      </w:r>
    </w:p>
    <w:p>
      <w:pPr>
        <w:ind w:left="479" w:leftChars="228" w:firstLine="0" w:firstLineChars="0"/>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bCs/>
          <w:sz w:val="24"/>
          <w:szCs w:val="24"/>
          <w:lang w:val="en-US" w:eastAsia="zh-CN"/>
        </w:rPr>
        <w:t>产品参考参数为：</w:t>
      </w:r>
    </w:p>
    <w:p>
      <w:pPr>
        <w:ind w:left="479" w:leftChars="228"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景网络高清智能球机，一体化设计，单产品可同时提供全景与特写画面，兼顾全景与细节。其中全景画面由6个传感器拼接而成，实现270度的全景监控，全景画面可支持关注区域畸变矫正；一体化机芯和高速云台设计，在全景监控的同时提供快速细节定位功能。</w:t>
      </w:r>
      <w:r>
        <w:rPr>
          <w:rFonts w:hint="eastAsia" w:asciiTheme="minorEastAsia" w:hAnsiTheme="minorEastAsia" w:eastAsiaTheme="minorEastAsia" w:cstheme="minorEastAsia"/>
          <w:sz w:val="24"/>
          <w:szCs w:val="24"/>
          <w:lang w:eastAsia="zh-CN"/>
        </w:rPr>
        <w:t>有</w:t>
      </w:r>
      <w:r>
        <w:rPr>
          <w:rFonts w:hint="eastAsia" w:asciiTheme="minorEastAsia" w:hAnsiTheme="minorEastAsia" w:eastAsiaTheme="minorEastAsia" w:cstheme="minorEastAsia"/>
          <w:sz w:val="24"/>
          <w:szCs w:val="24"/>
        </w:rPr>
        <w:t>集成先进的视频分析算法和多目标跟踪算法程序，可实现自动或手动对全景区域内的多个目标进行区域入侵、越界、进入区域、离开区域行为的检测，并可输出报警信号和联动云台跟踪，满足高等级要求的安保需求。</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支持基于行业平台实现AR立体防控</w:t>
      </w:r>
    </w:p>
    <w:p>
      <w:pPr>
        <w:ind w:left="479" w:leftChars="228"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支持移动标签相关功能，包括但不限于单兵、稽查车辆、低空布控车辆等具有GPS信号的目标，可以在监控画面上实时显示并展开业务应用</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支持全景和细节的标签映射，同一目标只需标定一次</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支持GB35114安全加密</w:t>
      </w:r>
    </w:p>
    <w:p>
      <w:pPr>
        <w:ind w:left="479" w:leftChars="228"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传感器类型: 【全景】1/1.8＂progressive scan CMOS，【细节】1/1.8＂progressive scan CMOS</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最低照度: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【全景】0.0005 Lux/F1.0（彩色），0.0001 Lux/F1.0（黑白）</w:t>
      </w:r>
    </w:p>
    <w:p>
      <w:pPr>
        <w:ind w:left="479" w:leftChars="228"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【细节】星光级超低照度，0.0005 Lux/F1.5（彩色），0.0001 Lux/F1.5（黑白），0 Lux with IR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宽动态: 【全景】不支持，【细节】支持120 dB超宽动态</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光学变倍: 45倍</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焦距: 【全景】2.8 mm；【细节】7.1~320 mm</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视场角: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水平视场角：60°~1.96°</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垂直视场角：35.8°~1.11°</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对角线视场角：67°~2.23°</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红外照射距离: 500 m</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防补光过曝: 支持</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水平范围: 360°</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垂直范围: -15°~90°（自动翻转）</w:t>
      </w:r>
    </w:p>
    <w:p>
      <w:pPr>
        <w:ind w:left="479" w:leftChars="228"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水平速度: 水平键控速度：0.1°~210°/s，速度可设；水平预置点速度：240°/s</w:t>
      </w:r>
    </w:p>
    <w:p>
      <w:pPr>
        <w:ind w:left="479" w:leftChars="228"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垂直速度: 垂直键控速度：0.1°~150°/s，速度可设；垂直预置点速度：200°/s</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主码流帧率分辨率: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【全景】50 Hz：25 fps（8160 × 2400）；60 Hz：30 fps（8160 × 2400）</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【细节】50 Hz：25 fps（3840 × 2160） ；60 Hz：24 fps（3840 × 2160） </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视频压缩标准: H.265，H.264，MJPEG</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网络存储: NAS（NFS，SMB/CIFS），ANR</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网络接口: RJ45网口，自适应10 M/100 M/1000 M网络数据</w:t>
      </w:r>
    </w:p>
    <w:p>
      <w:pPr>
        <w:ind w:left="479" w:leftChars="228"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光纤接口: FC接口，内置光纤模块，1000 M网络数据，波长TX1310/RX1550 nm，单模单纤，20 km传输距离</w:t>
      </w:r>
    </w:p>
    <w:p>
      <w:pPr>
        <w:ind w:left="959" w:leftChars="228" w:hanging="480" w:hangingChars="200"/>
        <w:rPr>
          <w:rFonts w:hint="eastAsia" w:asciiTheme="minorEastAsia" w:hAnsiTheme="minorEastAsia" w:cstheme="minorEastAsia"/>
          <w:sz w:val="24"/>
          <w:szCs w:val="24"/>
          <w:lang w:eastAsia="zh-CN"/>
        </w:rPr>
      </w:pPr>
      <w:r>
        <w:rPr>
          <w:rFonts w:hint="eastAsia" w:asciiTheme="minorEastAsia" w:hAnsiTheme="minorEastAsia" w:eastAsiaTheme="minorEastAsia" w:cstheme="minorEastAsia"/>
          <w:sz w:val="24"/>
          <w:szCs w:val="24"/>
        </w:rPr>
        <w:t>SD卡扩展: 支持MicroSD(即TF卡)/Micr SDHC/MicroSDXC卡，最大支</w:t>
      </w:r>
      <w:r>
        <w:rPr>
          <w:rFonts w:hint="eastAsia" w:asciiTheme="minorEastAsia" w:hAnsiTheme="minorEastAsia" w:cstheme="minorEastAsia"/>
          <w:sz w:val="24"/>
          <w:szCs w:val="24"/>
          <w:lang w:eastAsia="zh-CN"/>
        </w:rPr>
        <w:t>持</w:t>
      </w:r>
    </w:p>
    <w:p>
      <w:pPr>
        <w:ind w:left="959" w:leftChars="228" w:hanging="480" w:hanging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GB</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报警输入: 7路报警输入</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报警输出: 2路报警输出</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音频输入: 1路音频输入</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音频输出: 1路音频输出</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具有RS485接口</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供电方式: DC36 V</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设备功耗: 最大功耗：135 W（其中红外灯最大功耗：12 W）</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工作温湿度: -40 ℃~70 ℃，湿度小于90%</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恢复出厂设置: 支持</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除雾: 支持</w:t>
      </w:r>
    </w:p>
    <w:p>
      <w:pPr>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尺寸: Ø433.5 × 430.4 mm</w:t>
      </w:r>
    </w:p>
    <w:p>
      <w:pPr>
        <w:ind w:firstLine="480" w:firstLineChars="200"/>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sz w:val="24"/>
          <w:szCs w:val="24"/>
        </w:rPr>
        <w:t>重量: 18 kg</w:t>
      </w:r>
      <w:r>
        <w:rPr>
          <w:rFonts w:hint="eastAsia" w:asciiTheme="minorEastAsia" w:hAnsiTheme="minorEastAsia" w:eastAsiaTheme="minorEastAsia" w:cstheme="minorEastAsia"/>
          <w:b w:val="0"/>
          <w:bCs w:val="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cstheme="minorEastAsia"/>
          <w:b/>
          <w:bCs/>
          <w:sz w:val="24"/>
          <w:szCs w:val="24"/>
          <w:lang w:val="en-US" w:eastAsia="zh-CN"/>
        </w:rPr>
        <w:t>B、</w:t>
      </w:r>
      <w:r>
        <w:rPr>
          <w:rFonts w:hint="eastAsia" w:asciiTheme="minorEastAsia" w:hAnsiTheme="minorEastAsia" w:eastAsiaTheme="minorEastAsia" w:cstheme="minorEastAsia"/>
          <w:b w:val="0"/>
          <w:bCs w:val="0"/>
          <w:sz w:val="24"/>
          <w:szCs w:val="24"/>
          <w:lang w:val="en-US" w:eastAsia="zh-CN"/>
        </w:rPr>
        <w:t>一般栖息区安装监控红外相机10台（配备流量卡、SD卡、电池，产</w:t>
      </w:r>
      <w:r>
        <w:rPr>
          <w:rFonts w:hint="eastAsia" w:asciiTheme="minorEastAsia" w:hAnsiTheme="minorEastAsia" w:cstheme="minorEastAsia"/>
          <w:b w:val="0"/>
          <w:bCs w:val="0"/>
          <w:sz w:val="24"/>
          <w:szCs w:val="24"/>
          <w:lang w:val="en-US" w:eastAsia="zh-CN"/>
        </w:rPr>
        <w:t>品</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Theme="minorEastAsia" w:hAnsi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参数不低于优威UVM5P1</w:t>
      </w:r>
      <w:r>
        <w:rPr>
          <w:rFonts w:hint="eastAsia" w:asciiTheme="minorEastAsia" w:hAnsiTheme="minorEastAsia" w:cstheme="minorEastAsia"/>
          <w:b w:val="0"/>
          <w:bCs w:val="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产品参考参数为：</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▲带4G通讯功能，支持移动，电信，联通、广电网络</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▲支持云端图像存储，支持远程控制修改参数</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▲支持视频直播功能，能远程实时看到现场画面</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▲可远程查看设备工作状态信息，包括电量、SD卡容量、信号强度、流量卡流量、GPS、服务器空间容量等信息，可对接第三方信息化系统</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▲支持上传原文件、压缩视频，缩略图可选，并支持断点续传</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▲天线数量两根，以便有更好的信号</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xml:space="preserve">▲支持GPS自动定位 </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▲最大支持3K（2560*1920）有声视频，照片像素最大3200万</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▲2.4寸高清屏，且可旋转，安装时方便查看监测区域</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▲相机录像与拍照同步启动，启动时间小于0.5秒，完美解决录像中无动物问题</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▲相机录像时同时完成拍照，省去拍照工作时间，缩短相机每次启动的工作时长，从而节省功耗</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▲内置智能图像算法，自适应各种环境光线，自动调节远近距离曝光度</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▲支持类似换弹匣式的整体安装及更换电池方式，不受安装高度角度影响，更换电池不必趴地上或松绑带，也无需在户外一个电池一个电池拆装，更换电池方便快捷</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▲支持PIR+移动智能双重检测，有效避免误触发</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▲采用多区大感应面、高灵敏度、强抗干扰性PIR，多级信号放大过滤设计， 有效避免误触发</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▲兼容12AA电池及6节18650，各种电压电池均可使用，支持太阳能充电</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▲支持拍照、录像、拍照+录像的工作模式</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▲强抗冷热冲击性能，超强稳定性，IP68防水防尘设计，可进行5米以上深水浸泡试验</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▲镜头F=1.6大光圈镜头,FOV=65度，宽光谱兼容性，高低温无变焦</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▲超低功耗设计方案，100ua超低待机电流，白天整机工作电流小于180ma</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▲支持850nm灯,无红曝940nm灯，白光LED灯，补光灯数量60个</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▲内置耐低温钮扣电池保证断电或低温时时间不错乱</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▲高快门速度，有效抑制运动模糊</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▲PIR灵敏度可调节：高、一般、低</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▲一体式高稳定性IR-CUT日夜切换器，提升彩色与黑白图像质量</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▲最大可支持256GB SD存储卡，兼容各种品牌</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▲高品质录音设计，-38dB灵敏度MIC</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▲可显示丰富的照片信息,包括拍摄日期、时间、温度、月相、设备名称、经纬度等</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▲专利仿生迷彩，防划伤脱落，强抗紫外防氧化变色</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▲工作温度-30至+80摄氏度</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▲配套图像管理软件，具有图像人工识别、按组打标签、图像信息自动提取、查询分拣、批量重命名、批量打水印、批量修改拍摄时间、批量删除、相机管理、历史数据管理等功能；</w:t>
      </w:r>
    </w:p>
    <w:p>
      <w:pPr>
        <w:keepNext w:val="0"/>
        <w:keepLines w:val="0"/>
        <w:pageBreakBefore w:val="0"/>
        <w:widowControl w:val="0"/>
        <w:numPr>
          <w:ilvl w:val="0"/>
          <w:numId w:val="3"/>
        </w:numPr>
        <w:kinsoku/>
        <w:wordWrap/>
        <w:overflowPunct/>
        <w:topLinePunct w:val="0"/>
        <w:autoSpaceDE/>
        <w:autoSpaceDN/>
        <w:bidi w:val="0"/>
        <w:adjustRightInd/>
        <w:snapToGrid/>
        <w:ind w:left="630" w:leftChars="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sz w:val="24"/>
          <w:szCs w:val="24"/>
          <w:lang w:val="en-US" w:eastAsia="zh-CN"/>
        </w:rPr>
        <w:t>监控</w:t>
      </w:r>
      <w:r>
        <w:rPr>
          <w:rFonts w:hint="eastAsia" w:asciiTheme="minorEastAsia" w:hAnsiTheme="minorEastAsia" w:eastAsiaTheme="minorEastAsia" w:cstheme="minorEastAsia"/>
          <w:sz w:val="24"/>
          <w:szCs w:val="24"/>
        </w:rPr>
        <w:t>球机</w:t>
      </w:r>
      <w:r>
        <w:rPr>
          <w:rFonts w:hint="eastAsia" w:asciiTheme="minorEastAsia" w:hAnsiTheme="minorEastAsia" w:eastAsiaTheme="minorEastAsia" w:cstheme="minorEastAsia"/>
          <w:sz w:val="24"/>
          <w:szCs w:val="24"/>
          <w:lang w:val="en-US" w:eastAsia="zh-CN"/>
        </w:rPr>
        <w:t>及红外相机</w:t>
      </w:r>
      <w:r>
        <w:rPr>
          <w:rFonts w:hint="eastAsia" w:asciiTheme="minorEastAsia" w:hAnsiTheme="minorEastAsia" w:eastAsiaTheme="minorEastAsia" w:cstheme="minorEastAsia"/>
          <w:sz w:val="24"/>
          <w:szCs w:val="24"/>
        </w:rPr>
        <w:t>网络高清</w:t>
      </w:r>
      <w:r>
        <w:rPr>
          <w:rFonts w:hint="eastAsia" w:asciiTheme="minorEastAsia" w:hAnsiTheme="minorEastAsia" w:eastAsiaTheme="minorEastAsia" w:cstheme="minorEastAsia"/>
          <w:sz w:val="24"/>
          <w:szCs w:val="24"/>
          <w:lang w:val="en-US" w:eastAsia="zh-CN"/>
        </w:rPr>
        <w:t>实时传输监控手持终端3部</w:t>
      </w:r>
      <w:r>
        <w:rPr>
          <w:rFonts w:hint="eastAsia" w:asciiTheme="minorEastAsia" w:hAnsiTheme="minorEastAsia" w:eastAsiaTheme="minorEastAsia" w:cstheme="minorEastAsia"/>
          <w:b w:val="0"/>
          <w:bCs w:val="0"/>
          <w:sz w:val="24"/>
          <w:szCs w:val="24"/>
          <w:lang w:val="en-US" w:eastAsia="zh-CN"/>
        </w:rPr>
        <w:t>（</w:t>
      </w:r>
      <w:r>
        <w:rPr>
          <w:rFonts w:hint="eastAsia" w:asciiTheme="minorEastAsia" w:hAnsiTheme="minorEastAsia" w:cstheme="minorEastAsia"/>
          <w:b w:val="0"/>
          <w:bCs w:val="0"/>
          <w:sz w:val="24"/>
          <w:szCs w:val="24"/>
          <w:lang w:val="en-US" w:eastAsia="zh-CN"/>
        </w:rPr>
        <w:t>需</w:t>
      </w:r>
      <w:r>
        <w:rPr>
          <w:rFonts w:hint="eastAsia" w:asciiTheme="minorEastAsia" w:hAnsiTheme="minorEastAsia" w:eastAsiaTheme="minorEastAsia" w:cstheme="minorEastAsia"/>
          <w:b w:val="0"/>
          <w:bCs w:val="0"/>
          <w:sz w:val="24"/>
          <w:szCs w:val="24"/>
          <w:lang w:val="en-US" w:eastAsia="zh-CN"/>
        </w:rPr>
        <w:t>安装GIS</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val="0"/>
          <w:bCs w:val="0"/>
          <w:sz w:val="24"/>
          <w:szCs w:val="24"/>
          <w:lang w:val="en-US" w:eastAsia="zh-CN"/>
        </w:rPr>
        <w:t>数据采集软件）</w:t>
      </w:r>
      <w:r>
        <w:rPr>
          <w:rFonts w:hint="eastAsia" w:asciiTheme="minorEastAsia" w:hAnsiTheme="minorEastAsia" w:cstheme="minorEastAsia"/>
          <w:b w:val="0"/>
          <w:bCs w:val="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bCs/>
          <w:sz w:val="24"/>
          <w:szCs w:val="24"/>
          <w:lang w:val="en-US" w:eastAsia="zh-CN"/>
        </w:rPr>
        <w:t>产品参考参数为：</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val="0"/>
          <w:bCs w:val="0"/>
          <w:sz w:val="24"/>
          <w:szCs w:val="24"/>
          <w:lang w:val="en-US" w:eastAsia="zh-CN"/>
        </w:rPr>
        <w:t>8GB+256GB</w:t>
      </w:r>
      <w:r>
        <w:rPr>
          <w:rFonts w:hint="eastAsia" w:asciiTheme="minorEastAsia" w:hAnsiTheme="minorEastAsia" w:cstheme="minorEastAsia"/>
          <w:b w:val="0"/>
          <w:bCs w:val="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630" w:leftChars="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cstheme="minorEastAsia"/>
          <w:b/>
          <w:bCs/>
          <w:sz w:val="24"/>
          <w:szCs w:val="24"/>
          <w:lang w:val="en-US" w:eastAsia="zh-CN"/>
        </w:rPr>
        <w:t>D、</w:t>
      </w:r>
      <w:r>
        <w:rPr>
          <w:rFonts w:hint="eastAsia" w:asciiTheme="minorEastAsia" w:hAnsiTheme="minorEastAsia" w:eastAsiaTheme="minorEastAsia" w:cstheme="minorEastAsia"/>
          <w:sz w:val="24"/>
          <w:szCs w:val="24"/>
          <w:lang w:val="en-US" w:eastAsia="zh-CN"/>
        </w:rPr>
        <w:t>值班巡护望远镜8</w:t>
      </w:r>
      <w:r>
        <w:rPr>
          <w:rFonts w:hint="eastAsia" w:asciiTheme="minorEastAsia" w:hAnsiTheme="minorEastAsia" w:eastAsiaTheme="minorEastAsia" w:cstheme="minorEastAsia"/>
          <w:b w:val="0"/>
          <w:bCs w:val="0"/>
          <w:sz w:val="24"/>
          <w:szCs w:val="24"/>
          <w:lang w:val="en-US" w:eastAsia="zh-CN"/>
        </w:rPr>
        <w:t>付（</w:t>
      </w:r>
      <w:r>
        <w:rPr>
          <w:rFonts w:hint="eastAsia" w:asciiTheme="minorEastAsia" w:hAnsiTheme="minorEastAsia" w:cstheme="minorEastAsia"/>
          <w:b w:val="0"/>
          <w:bCs w:val="0"/>
          <w:sz w:val="24"/>
          <w:szCs w:val="24"/>
          <w:lang w:val="en-US" w:eastAsia="zh-CN"/>
        </w:rPr>
        <w:t>双筒</w:t>
      </w:r>
      <w:r>
        <w:rPr>
          <w:rFonts w:hint="eastAsia" w:asciiTheme="minorEastAsia" w:hAnsiTheme="minorEastAsia" w:eastAsiaTheme="minorEastAsia" w:cstheme="minorEastAsia"/>
          <w:b w:val="0"/>
          <w:bCs w:val="0"/>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720" w:leftChars="228" w:hanging="241" w:hangingChars="1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产品参考参数为：</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★物镜：2片XD萤石镜片</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xml:space="preserve">★镜身：镁合金镜身 </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★金属调焦旋钮</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倍率：10×</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有效直径：42mm</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最近对焦：1.8m</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视野大小：7.2°</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瞳距：4.2mm</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亮度：17.6</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黄昏因子：20.5</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出瞳距离：16.5mm</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千米视野：126m</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尺寸大小（全长×全宽×全高）：139×128×52.5mm</w:t>
      </w:r>
    </w:p>
    <w:p>
      <w:pPr>
        <w:keepNext w:val="0"/>
        <w:keepLines w:val="0"/>
        <w:pageBreakBefore w:val="0"/>
        <w:widowControl w:val="0"/>
        <w:numPr>
          <w:ilvl w:val="0"/>
          <w:numId w:val="0"/>
        </w:numPr>
        <w:kinsoku/>
        <w:wordWrap/>
        <w:overflowPunct/>
        <w:topLinePunct w:val="0"/>
        <w:autoSpaceDE/>
        <w:autoSpaceDN/>
        <w:bidi w:val="0"/>
        <w:adjustRightInd/>
        <w:snapToGrid/>
        <w:ind w:left="719" w:leftChars="228" w:hanging="240" w:hangingChars="100"/>
        <w:textAlignment w:val="auto"/>
        <w:rPr>
          <w:rFonts w:hint="eastAsia"/>
          <w:lang w:val="en-US" w:eastAsia="zh-CN"/>
        </w:rPr>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pPr>
      <w:r>
        <w:rPr>
          <w:rFonts w:hint="eastAsia" w:asciiTheme="minorEastAsia" w:hAnsiTheme="minorEastAsia" w:eastAsiaTheme="minorEastAsia" w:cstheme="minorEastAsia"/>
          <w:b w:val="0"/>
          <w:bCs w:val="0"/>
          <w:sz w:val="24"/>
          <w:szCs w:val="24"/>
          <w:lang w:val="en-US" w:eastAsia="zh-CN"/>
        </w:rPr>
        <w:t>重量：645g</w:t>
      </w:r>
    </w:p>
    <w:p>
      <w:pPr>
        <w:pStyle w:val="14"/>
        <w:ind w:left="0" w:leftChars="0" w:firstLine="0" w:firstLineChars="0"/>
        <w:rPr>
          <w:rFonts w:hint="eastAsia"/>
          <w:lang w:val="en-US" w:eastAsia="zh-CN"/>
        </w:rPr>
      </w:pPr>
    </w:p>
    <w:p>
      <w:pPr>
        <w:pStyle w:val="6"/>
        <w:jc w:val="center"/>
        <w:rPr>
          <w:rFonts w:hint="eastAsia"/>
        </w:rPr>
      </w:pPr>
      <w:bookmarkStart w:id="35" w:name="_Toc4288_WPSOffice_Level1"/>
      <w:bookmarkStart w:id="36" w:name="_Toc11297"/>
      <w:r>
        <w:rPr>
          <w:rFonts w:hint="eastAsia" w:ascii="宋体" w:hAnsi="宋体" w:eastAsia="宋体" w:cs="宋体"/>
          <w:b/>
          <w:color w:val="auto"/>
          <w:kern w:val="0"/>
          <w:sz w:val="32"/>
          <w:szCs w:val="32"/>
          <w:lang w:val="en-US" w:eastAsia="zh-CN" w:bidi="ar-SA"/>
        </w:rPr>
        <w:t>五、响应文件格式</w:t>
      </w:r>
      <w:bookmarkEnd w:id="35"/>
      <w:bookmarkEnd w:id="36"/>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7"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7"/>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8" w:name="_Toc12631_WPSOffice_Level1"/>
      <w:r>
        <w:rPr>
          <w:rFonts w:hint="eastAsia" w:ascii="宋体" w:hAnsi="宋体" w:eastAsia="宋体" w:cs="宋体"/>
          <w:b/>
          <w:color w:val="auto"/>
          <w:sz w:val="44"/>
          <w:szCs w:val="44"/>
        </w:rPr>
        <w:t>响</w:t>
      </w:r>
      <w:bookmarkEnd w:id="3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9" w:name="_Toc13194_WPSOffice_Level1"/>
      <w:r>
        <w:rPr>
          <w:rFonts w:hint="eastAsia" w:ascii="宋体" w:hAnsi="宋体" w:eastAsia="宋体" w:cs="宋体"/>
          <w:b/>
          <w:color w:val="auto"/>
          <w:sz w:val="44"/>
          <w:szCs w:val="44"/>
        </w:rPr>
        <w:t>应</w:t>
      </w:r>
      <w:bookmarkEnd w:id="3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0" w:name="_Toc28638_WPSOffice_Level1"/>
      <w:r>
        <w:rPr>
          <w:rFonts w:hint="eastAsia" w:ascii="宋体" w:hAnsi="宋体" w:eastAsia="宋体" w:cs="宋体"/>
          <w:b/>
          <w:color w:val="auto"/>
          <w:sz w:val="44"/>
          <w:szCs w:val="44"/>
        </w:rPr>
        <w:t>文</w:t>
      </w:r>
      <w:bookmarkEnd w:id="40"/>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1" w:name="_Toc21450_WPSOffice_Level1"/>
      <w:r>
        <w:rPr>
          <w:rFonts w:hint="eastAsia" w:ascii="宋体" w:hAnsi="宋体" w:eastAsia="宋体" w:cs="宋体"/>
          <w:b/>
          <w:color w:val="auto"/>
          <w:sz w:val="44"/>
          <w:szCs w:val="44"/>
        </w:rPr>
        <w:t>件</w:t>
      </w:r>
      <w:bookmarkEnd w:id="41"/>
    </w:p>
    <w:p>
      <w:pPr>
        <w:pStyle w:val="9"/>
        <w:jc w:val="center"/>
        <w:rPr>
          <w:rFonts w:ascii="黑体"/>
          <w:color w:val="auto"/>
          <w:sz w:val="44"/>
          <w:u w:val="single"/>
        </w:rPr>
      </w:pPr>
      <w:bookmarkStart w:id="42" w:name="_Toc30778_WPSOffice_Level1"/>
      <w:r>
        <w:rPr>
          <w:rFonts w:hint="eastAsia" w:ascii="黑体" w:hAnsi="Times New Roman" w:eastAsia="黑体"/>
          <w:color w:val="auto"/>
          <w:kern w:val="2"/>
          <w:sz w:val="32"/>
          <w:szCs w:val="22"/>
          <w:u w:val="single"/>
        </w:rPr>
        <w:t>正本（副本）</w:t>
      </w:r>
      <w:bookmarkEnd w:id="42"/>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3614" w:firstLineChars="1200"/>
        <w:jc w:val="both"/>
        <w:rPr>
          <w:rFonts w:hint="default" w:ascii="宋体" w:hAnsi="宋体" w:eastAsia="宋体" w:cs="宋体"/>
          <w:b/>
          <w:color w:val="auto"/>
          <w:sz w:val="30"/>
          <w:szCs w:val="30"/>
          <w:lang w:val="en-US"/>
        </w:rPr>
      </w:pPr>
      <w:bookmarkStart w:id="43"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3"/>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4"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4"/>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5"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5"/>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6"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6"/>
    </w:p>
    <w:p>
      <w:pPr>
        <w:jc w:val="center"/>
        <w:rPr>
          <w:rFonts w:hint="eastAsia"/>
          <w:b/>
          <w:bCs/>
          <w:color w:val="auto"/>
          <w:sz w:val="28"/>
          <w:szCs w:val="28"/>
        </w:rPr>
      </w:pPr>
      <w:bookmarkStart w:id="47" w:name="_Toc19469_WPSOffice_Level1"/>
    </w:p>
    <w:p>
      <w:pPr>
        <w:jc w:val="center"/>
        <w:rPr>
          <w:rFonts w:hint="eastAsia"/>
          <w:b/>
          <w:bCs/>
          <w:color w:val="auto"/>
          <w:sz w:val="28"/>
          <w:szCs w:val="28"/>
        </w:rPr>
      </w:pPr>
      <w:r>
        <w:rPr>
          <w:rFonts w:hint="eastAsia"/>
          <w:b/>
          <w:bCs/>
          <w:color w:val="auto"/>
          <w:sz w:val="28"/>
          <w:szCs w:val="28"/>
        </w:rPr>
        <w:t>响应文件资料清单</w:t>
      </w:r>
      <w:bookmarkEnd w:id="47"/>
    </w:p>
    <w:p>
      <w:pPr>
        <w:adjustRightInd w:val="0"/>
        <w:snapToGrid w:val="0"/>
        <w:spacing w:line="240" w:lineRule="exact"/>
        <w:jc w:val="center"/>
        <w:rPr>
          <w:rFonts w:hint="eastAsia" w:ascii="宋体" w:hAnsi="宋体" w:eastAsia="宋体" w:cs="宋体"/>
          <w:b/>
          <w:color w:val="auto"/>
          <w:sz w:val="24"/>
        </w:rPr>
      </w:pPr>
    </w:p>
    <w:tbl>
      <w:tblPr>
        <w:tblStyle w:val="20"/>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43"/>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43"/>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val="en-US" w:eastAsia="zh-CN"/>
              </w:rPr>
              <w:t>相关服务</w:t>
            </w:r>
            <w:r>
              <w:rPr>
                <w:rFonts w:hint="eastAsia" w:ascii="宋体" w:hAnsi="宋体"/>
                <w:color w:val="auto"/>
                <w:sz w:val="21"/>
                <w:szCs w:val="21"/>
              </w:rPr>
              <w:t>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p>
        </w:tc>
        <w:tc>
          <w:tcPr>
            <w:tcW w:w="5460" w:type="dxa"/>
            <w:vAlign w:val="center"/>
          </w:tcPr>
          <w:p>
            <w:pPr>
              <w:rPr>
                <w:rFonts w:hint="default" w:ascii="宋体" w:hAnsi="宋体" w:eastAsia="宋体" w:cs="宋体"/>
                <w:color w:val="auto"/>
                <w:sz w:val="21"/>
                <w:szCs w:val="21"/>
                <w:lang w:val="en-US" w:eastAsia="zh-CN"/>
              </w:rPr>
            </w:pP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4"/>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48" w:name="_Toc471299103"/>
      <w:bookmarkStart w:id="49" w:name="_Toc5932"/>
      <w:r>
        <w:rPr>
          <w:rFonts w:hint="eastAsia" w:ascii="宋体" w:hAnsi="宋体" w:eastAsia="宋体" w:cs="宋体"/>
          <w:color w:val="auto"/>
          <w:sz w:val="21"/>
          <w:szCs w:val="21"/>
        </w:rPr>
        <w:t>附件</w:t>
      </w:r>
      <w:bookmarkEnd w:id="48"/>
      <w:bookmarkEnd w:id="49"/>
      <w:r>
        <w:rPr>
          <w:rFonts w:hint="eastAsia" w:ascii="宋体" w:hAnsi="宋体" w:cs="宋体"/>
          <w:color w:val="auto"/>
          <w:sz w:val="21"/>
          <w:szCs w:val="21"/>
          <w:lang w:eastAsia="zh-CN"/>
        </w:rPr>
        <w:t>一</w:t>
      </w:r>
    </w:p>
    <w:p>
      <w:pPr>
        <w:jc w:val="center"/>
        <w:rPr>
          <w:rFonts w:hint="eastAsia"/>
          <w:b/>
          <w:bCs/>
          <w:color w:val="auto"/>
          <w:sz w:val="28"/>
          <w:szCs w:val="28"/>
        </w:rPr>
      </w:pPr>
      <w:bookmarkStart w:id="50" w:name="_Toc10142_WPSOffice_Level1"/>
      <w:r>
        <w:rPr>
          <w:rFonts w:hint="eastAsia"/>
          <w:b/>
          <w:bCs/>
          <w:color w:val="auto"/>
          <w:sz w:val="28"/>
          <w:szCs w:val="28"/>
        </w:rPr>
        <w:t>供应商基本信息</w:t>
      </w:r>
      <w:bookmarkEnd w:id="50"/>
    </w:p>
    <w:p>
      <w:pPr>
        <w:pStyle w:val="18"/>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1" w:name="_Toc5936_WPSOffice_Level1"/>
      <w:r>
        <w:rPr>
          <w:rFonts w:hint="eastAsia"/>
          <w:b/>
          <w:bCs/>
          <w:color w:val="auto"/>
          <w:sz w:val="28"/>
          <w:szCs w:val="28"/>
          <w:lang w:eastAsia="zh-CN"/>
        </w:rPr>
        <w:t>（格式自拟）</w:t>
      </w:r>
      <w:bookmarkEnd w:id="51"/>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2" w:name="_Toc31656"/>
      <w:bookmarkStart w:id="53" w:name="_Toc471299104"/>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二</w:t>
      </w:r>
    </w:p>
    <w:p>
      <w:pPr>
        <w:jc w:val="center"/>
        <w:rPr>
          <w:rFonts w:hint="eastAsia"/>
          <w:b/>
          <w:bCs/>
          <w:color w:val="auto"/>
          <w:sz w:val="28"/>
          <w:szCs w:val="28"/>
        </w:rPr>
      </w:pPr>
      <w:bookmarkStart w:id="54" w:name="_Toc8862_WPSOffice_Level1"/>
      <w:bookmarkStart w:id="55" w:name="_Toc471299105"/>
      <w:r>
        <w:rPr>
          <w:rFonts w:hint="eastAsia"/>
          <w:b/>
          <w:bCs/>
          <w:color w:val="auto"/>
          <w:sz w:val="28"/>
          <w:szCs w:val="28"/>
          <w:lang w:eastAsia="zh-CN"/>
        </w:rPr>
        <w:t>响应</w:t>
      </w:r>
      <w:r>
        <w:rPr>
          <w:rFonts w:hint="eastAsia"/>
          <w:b/>
          <w:bCs/>
          <w:color w:val="auto"/>
          <w:sz w:val="28"/>
          <w:szCs w:val="28"/>
        </w:rPr>
        <w:t>授权书</w:t>
      </w:r>
      <w:bookmarkEnd w:id="5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6" w:name="_Toc26907"/>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三</w:t>
      </w:r>
    </w:p>
    <w:p>
      <w:pPr>
        <w:jc w:val="center"/>
        <w:rPr>
          <w:rFonts w:hint="eastAsia"/>
          <w:b/>
          <w:bCs/>
          <w:color w:val="auto"/>
          <w:sz w:val="28"/>
          <w:szCs w:val="28"/>
        </w:rPr>
      </w:pPr>
      <w:bookmarkStart w:id="57" w:name="_Toc3858_WPSOffice_Level1"/>
      <w:bookmarkStart w:id="58" w:name="_Toc516969098"/>
      <w:bookmarkStart w:id="59" w:name="_Toc148501698"/>
      <w:r>
        <w:rPr>
          <w:rFonts w:hint="eastAsia"/>
          <w:b/>
          <w:bCs/>
          <w:color w:val="auto"/>
          <w:sz w:val="28"/>
          <w:szCs w:val="28"/>
        </w:rPr>
        <w:t>响应函</w:t>
      </w:r>
      <w:bookmarkEnd w:id="57"/>
      <w:bookmarkEnd w:id="58"/>
      <w:bookmarkEnd w:id="59"/>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0" w:name="_Toc30711"/>
      <w:bookmarkStart w:id="61" w:name="_Toc417045478"/>
      <w:bookmarkStart w:id="62" w:name="_Toc471299106"/>
      <w:r>
        <w:rPr>
          <w:rFonts w:hint="eastAsia" w:ascii="宋体" w:hAnsi="宋体" w:eastAsia="宋体" w:cs="宋体"/>
          <w:color w:val="auto"/>
          <w:sz w:val="21"/>
          <w:szCs w:val="21"/>
        </w:rPr>
        <w:t>附件</w:t>
      </w:r>
      <w:bookmarkEnd w:id="60"/>
      <w:bookmarkEnd w:id="61"/>
      <w:bookmarkEnd w:id="62"/>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3" w:name="_Toc1513_WPSOffice_Level1"/>
      <w:r>
        <w:rPr>
          <w:rFonts w:hint="eastAsia"/>
          <w:b/>
          <w:bCs/>
          <w:color w:val="auto"/>
          <w:sz w:val="28"/>
          <w:szCs w:val="28"/>
          <w:lang w:val="zh-CN"/>
        </w:rPr>
        <w:t>无重大违法记录声明函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4" w:name="_Toc29566_WPSOffice_Level1"/>
      <w:r>
        <w:rPr>
          <w:rFonts w:hint="eastAsia"/>
          <w:b/>
          <w:bCs/>
          <w:color w:val="auto"/>
          <w:sz w:val="28"/>
          <w:szCs w:val="28"/>
          <w:lang w:val="zh-CN"/>
        </w:rPr>
        <w:t>无不良信用记录承诺函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5"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6" w:name="_Toc471299107"/>
      <w:r>
        <w:rPr>
          <w:rFonts w:hint="eastAsia"/>
          <w:color w:val="auto"/>
          <w:sz w:val="24"/>
          <w:szCs w:val="24"/>
        </w:rPr>
        <w:br w:type="page"/>
      </w:r>
      <w:bookmarkStart w:id="67" w:name="_Toc3574"/>
      <w:r>
        <w:rPr>
          <w:rFonts w:hint="eastAsia" w:ascii="宋体" w:hAnsi="宋体" w:eastAsia="宋体" w:cs="宋体"/>
          <w:color w:val="auto"/>
          <w:sz w:val="21"/>
          <w:szCs w:val="21"/>
        </w:rPr>
        <w:t>附件</w:t>
      </w:r>
      <w:bookmarkEnd w:id="65"/>
      <w:bookmarkEnd w:id="66"/>
      <w:bookmarkEnd w:id="67"/>
      <w:r>
        <w:rPr>
          <w:rFonts w:hint="eastAsia" w:ascii="宋体" w:hAnsi="宋体" w:cs="宋体"/>
          <w:color w:val="auto"/>
          <w:sz w:val="21"/>
          <w:szCs w:val="21"/>
          <w:lang w:eastAsia="zh-CN"/>
        </w:rPr>
        <w:t>五</w:t>
      </w:r>
    </w:p>
    <w:p>
      <w:pPr>
        <w:pStyle w:val="6"/>
        <w:spacing w:before="0" w:after="0" w:line="560" w:lineRule="exact"/>
        <w:jc w:val="center"/>
        <w:rPr>
          <w:rFonts w:ascii="宋体" w:hAnsi="宋体" w:eastAsia="宋体" w:cs="宋体"/>
          <w:sz w:val="24"/>
          <w:szCs w:val="24"/>
          <w:lang w:val="zh-CN"/>
        </w:rPr>
      </w:pPr>
      <w:bookmarkStart w:id="68" w:name="_Toc18402"/>
      <w:bookmarkStart w:id="69" w:name="_Toc25238"/>
      <w:bookmarkStart w:id="70" w:name="_Toc30075"/>
      <w:r>
        <w:rPr>
          <w:rFonts w:hint="eastAsia" w:ascii="宋体" w:hAnsi="宋体" w:eastAsia="宋体" w:cs="宋体"/>
          <w:sz w:val="24"/>
          <w:szCs w:val="24"/>
          <w:lang w:val="zh-CN"/>
        </w:rPr>
        <w:t>响应情况表</w:t>
      </w:r>
      <w:bookmarkEnd w:id="68"/>
      <w:bookmarkEnd w:id="69"/>
      <w:bookmarkEnd w:id="70"/>
    </w:p>
    <w:p>
      <w:pPr>
        <w:jc w:val="center"/>
        <w:rPr>
          <w:rFonts w:ascii="宋体" w:hAnsi="宋体" w:cs="宋体"/>
          <w:bCs/>
          <w:sz w:val="24"/>
          <w:szCs w:val="24"/>
          <w:lang w:val="zh-CN"/>
        </w:rPr>
      </w:pP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noWrap w:val="0"/>
            <w:vAlign w:val="center"/>
          </w:tcPr>
          <w:p>
            <w:pPr>
              <w:jc w:val="center"/>
              <w:rPr>
                <w:rFonts w:ascii="宋体" w:hAnsi="宋体" w:cs="宋体"/>
                <w:b/>
                <w:sz w:val="24"/>
                <w:szCs w:val="21"/>
              </w:rPr>
            </w:pPr>
            <w:r>
              <w:rPr>
                <w:rFonts w:hint="eastAsia" w:ascii="宋体" w:hAnsi="宋体" w:cs="宋体"/>
                <w:b/>
                <w:sz w:val="24"/>
                <w:szCs w:val="21"/>
              </w:rPr>
              <w:t>按</w:t>
            </w:r>
            <w:r>
              <w:rPr>
                <w:rFonts w:hint="eastAsia" w:ascii="宋体" w:hAnsi="宋体" w:cs="宋体"/>
                <w:b/>
                <w:sz w:val="24"/>
                <w:szCs w:val="21"/>
                <w:lang w:val="en-US" w:eastAsia="zh-CN"/>
              </w:rPr>
              <w:t>询价</w:t>
            </w:r>
            <w:r>
              <w:rPr>
                <w:rFonts w:hint="eastAsia" w:ascii="宋体" w:hAnsi="宋体" w:cs="宋体"/>
                <w:b/>
                <w:sz w:val="24"/>
                <w:szCs w:val="21"/>
              </w:rPr>
              <w:t>文件规定填写</w:t>
            </w:r>
          </w:p>
        </w:tc>
        <w:tc>
          <w:tcPr>
            <w:tcW w:w="4200" w:type="dxa"/>
            <w:gridSpan w:val="2"/>
            <w:noWrap w:val="0"/>
            <w:vAlign w:val="center"/>
          </w:tcPr>
          <w:p>
            <w:pPr>
              <w:jc w:val="center"/>
              <w:rPr>
                <w:rFonts w:ascii="宋体" w:hAnsi="宋体" w:cs="宋体"/>
                <w:b/>
                <w:sz w:val="24"/>
                <w:szCs w:val="21"/>
              </w:rPr>
            </w:pPr>
            <w:r>
              <w:rPr>
                <w:rFonts w:hint="eastAsia" w:ascii="宋体" w:hAnsi="宋体" w:cs="宋体"/>
                <w:b/>
                <w:sz w:val="24"/>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noWrap w:val="0"/>
            <w:vAlign w:val="center"/>
          </w:tcPr>
          <w:p>
            <w:pPr>
              <w:jc w:val="center"/>
              <w:rPr>
                <w:rFonts w:ascii="宋体" w:hAnsi="宋体" w:cs="宋体"/>
                <w:b/>
                <w:sz w:val="24"/>
                <w:szCs w:val="21"/>
              </w:rPr>
            </w:pPr>
            <w:r>
              <w:rPr>
                <w:rFonts w:hint="eastAsia" w:ascii="宋体" w:hAnsi="宋体" w:cs="宋体"/>
                <w:b/>
                <w:sz w:val="24"/>
                <w:szCs w:val="21"/>
              </w:rPr>
              <w:t>序号</w:t>
            </w:r>
          </w:p>
        </w:tc>
        <w:tc>
          <w:tcPr>
            <w:tcW w:w="1794" w:type="dxa"/>
            <w:noWrap w:val="0"/>
            <w:vAlign w:val="center"/>
          </w:tcPr>
          <w:p>
            <w:pPr>
              <w:jc w:val="center"/>
              <w:rPr>
                <w:rFonts w:ascii="宋体" w:hAnsi="宋体" w:cs="宋体"/>
                <w:b/>
                <w:sz w:val="24"/>
                <w:szCs w:val="21"/>
              </w:rPr>
            </w:pPr>
            <w:r>
              <w:rPr>
                <w:rFonts w:hint="eastAsia" w:ascii="宋体" w:hAnsi="宋体" w:cs="宋体"/>
                <w:b/>
                <w:sz w:val="24"/>
                <w:szCs w:val="21"/>
              </w:rPr>
              <w:t>内容</w:t>
            </w:r>
          </w:p>
        </w:tc>
        <w:tc>
          <w:tcPr>
            <w:tcW w:w="2196" w:type="dxa"/>
            <w:noWrap w:val="0"/>
            <w:vAlign w:val="center"/>
          </w:tcPr>
          <w:p>
            <w:pPr>
              <w:jc w:val="center"/>
              <w:rPr>
                <w:rFonts w:ascii="宋体" w:hAnsi="宋体" w:cs="宋体"/>
                <w:b/>
                <w:sz w:val="24"/>
                <w:szCs w:val="21"/>
              </w:rPr>
            </w:pPr>
            <w:r>
              <w:rPr>
                <w:rFonts w:hint="eastAsia" w:ascii="宋体" w:hAnsi="宋体" w:cs="宋体"/>
                <w:b/>
                <w:sz w:val="24"/>
                <w:szCs w:val="21"/>
                <w:lang w:val="en-US" w:eastAsia="zh-CN"/>
              </w:rPr>
              <w:t>询价</w:t>
            </w:r>
            <w:r>
              <w:rPr>
                <w:rFonts w:hint="eastAsia" w:ascii="宋体" w:hAnsi="宋体" w:cs="宋体"/>
                <w:b/>
                <w:sz w:val="24"/>
                <w:szCs w:val="21"/>
              </w:rPr>
              <w:t>文件要求</w:t>
            </w:r>
          </w:p>
        </w:tc>
        <w:tc>
          <w:tcPr>
            <w:tcW w:w="2222" w:type="dxa"/>
            <w:noWrap w:val="0"/>
            <w:vAlign w:val="center"/>
          </w:tcPr>
          <w:p>
            <w:pPr>
              <w:jc w:val="center"/>
              <w:rPr>
                <w:rFonts w:ascii="宋体" w:hAnsi="宋体" w:cs="宋体"/>
                <w:b/>
                <w:sz w:val="24"/>
                <w:szCs w:val="21"/>
              </w:rPr>
            </w:pPr>
            <w:r>
              <w:rPr>
                <w:rFonts w:hint="eastAsia" w:ascii="宋体" w:hAnsi="宋体" w:cs="宋体"/>
                <w:b/>
                <w:sz w:val="24"/>
                <w:szCs w:val="21"/>
              </w:rPr>
              <w:t>响应承诺</w:t>
            </w:r>
          </w:p>
        </w:tc>
        <w:tc>
          <w:tcPr>
            <w:tcW w:w="1978" w:type="dxa"/>
            <w:noWrap w:val="0"/>
            <w:vAlign w:val="center"/>
          </w:tcPr>
          <w:p>
            <w:pPr>
              <w:jc w:val="center"/>
              <w:rPr>
                <w:rFonts w:ascii="宋体" w:hAnsi="宋体" w:cs="宋体"/>
                <w:b/>
                <w:sz w:val="24"/>
                <w:szCs w:val="21"/>
              </w:rPr>
            </w:pPr>
            <w:r>
              <w:rPr>
                <w:rFonts w:hint="eastAsia" w:ascii="宋体" w:hAnsi="宋体" w:cs="宋体"/>
                <w:b/>
                <w:sz w:val="24"/>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宋体" w:cs="宋体"/>
                <w:sz w:val="24"/>
                <w:szCs w:val="24"/>
              </w:rPr>
            </w:pPr>
            <w:r>
              <w:rPr>
                <w:rFonts w:hint="eastAsia" w:ascii="宋体" w:hAnsi="宋体" w:cs="宋体"/>
                <w:sz w:val="24"/>
                <w:szCs w:val="24"/>
              </w:rPr>
              <w:t>1</w:t>
            </w:r>
          </w:p>
        </w:tc>
        <w:tc>
          <w:tcPr>
            <w:tcW w:w="1794" w:type="dxa"/>
            <w:noWrap w:val="0"/>
            <w:vAlign w:val="center"/>
          </w:tcPr>
          <w:p>
            <w:pPr>
              <w:jc w:val="center"/>
              <w:rPr>
                <w:rFonts w:ascii="宋体" w:hAnsi="宋体" w:cs="宋体"/>
                <w:sz w:val="24"/>
                <w:szCs w:val="24"/>
              </w:rPr>
            </w:pPr>
            <w:r>
              <w:rPr>
                <w:rFonts w:hint="eastAsia" w:ascii="宋体" w:hAnsi="宋体" w:cs="宋体"/>
                <w:sz w:val="24"/>
                <w:szCs w:val="28"/>
              </w:rPr>
              <w:t>技术响应</w:t>
            </w:r>
          </w:p>
        </w:tc>
        <w:tc>
          <w:tcPr>
            <w:tcW w:w="2196" w:type="dxa"/>
            <w:noWrap w:val="0"/>
            <w:vAlign w:val="center"/>
          </w:tcPr>
          <w:p>
            <w:pPr>
              <w:rPr>
                <w:rFonts w:ascii="宋体" w:hAnsi="宋体" w:cs="宋体"/>
                <w:sz w:val="24"/>
                <w:szCs w:val="24"/>
              </w:rPr>
            </w:pPr>
          </w:p>
        </w:tc>
        <w:tc>
          <w:tcPr>
            <w:tcW w:w="2222" w:type="dxa"/>
            <w:noWrap w:val="0"/>
            <w:vAlign w:val="center"/>
          </w:tcPr>
          <w:p>
            <w:pPr>
              <w:rPr>
                <w:rFonts w:ascii="宋体" w:hAnsi="宋体" w:cs="宋体"/>
                <w:sz w:val="24"/>
                <w:szCs w:val="24"/>
              </w:rPr>
            </w:pPr>
          </w:p>
        </w:tc>
        <w:tc>
          <w:tcPr>
            <w:tcW w:w="1978" w:type="dxa"/>
            <w:noWrap w:val="0"/>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宋体" w:cs="宋体"/>
                <w:sz w:val="24"/>
                <w:szCs w:val="24"/>
              </w:rPr>
            </w:pPr>
            <w:r>
              <w:rPr>
                <w:rFonts w:hint="eastAsia" w:ascii="宋体" w:hAnsi="宋体" w:cs="宋体"/>
                <w:sz w:val="24"/>
                <w:szCs w:val="24"/>
              </w:rPr>
              <w:t>2</w:t>
            </w:r>
          </w:p>
        </w:tc>
        <w:tc>
          <w:tcPr>
            <w:tcW w:w="1794" w:type="dxa"/>
            <w:noWrap w:val="0"/>
            <w:vAlign w:val="center"/>
          </w:tcPr>
          <w:p>
            <w:pPr>
              <w:jc w:val="center"/>
              <w:rPr>
                <w:rFonts w:ascii="宋体" w:hAnsi="宋体" w:cs="宋体"/>
                <w:sz w:val="24"/>
                <w:szCs w:val="24"/>
              </w:rPr>
            </w:pPr>
            <w:r>
              <w:rPr>
                <w:rFonts w:hint="eastAsia" w:ascii="宋体" w:hAnsi="宋体" w:cs="宋体"/>
                <w:sz w:val="24"/>
                <w:szCs w:val="28"/>
              </w:rPr>
              <w:t>付款响应</w:t>
            </w:r>
          </w:p>
        </w:tc>
        <w:tc>
          <w:tcPr>
            <w:tcW w:w="2196" w:type="dxa"/>
            <w:noWrap w:val="0"/>
            <w:vAlign w:val="center"/>
          </w:tcPr>
          <w:p>
            <w:pPr>
              <w:rPr>
                <w:rFonts w:ascii="宋体" w:hAnsi="宋体" w:cs="宋体"/>
                <w:sz w:val="24"/>
                <w:szCs w:val="24"/>
              </w:rPr>
            </w:pPr>
          </w:p>
        </w:tc>
        <w:tc>
          <w:tcPr>
            <w:tcW w:w="2222" w:type="dxa"/>
            <w:noWrap w:val="0"/>
            <w:vAlign w:val="center"/>
          </w:tcPr>
          <w:p>
            <w:pPr>
              <w:rPr>
                <w:rFonts w:ascii="宋体" w:hAnsi="宋体" w:cs="宋体"/>
                <w:sz w:val="24"/>
                <w:szCs w:val="24"/>
              </w:rPr>
            </w:pPr>
          </w:p>
        </w:tc>
        <w:tc>
          <w:tcPr>
            <w:tcW w:w="1978" w:type="dxa"/>
            <w:noWrap w:val="0"/>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宋体" w:cs="宋体"/>
                <w:sz w:val="24"/>
                <w:szCs w:val="24"/>
              </w:rPr>
            </w:pPr>
            <w:r>
              <w:rPr>
                <w:rFonts w:hint="eastAsia" w:ascii="宋体" w:hAnsi="宋体" w:cs="宋体"/>
                <w:sz w:val="24"/>
                <w:szCs w:val="24"/>
              </w:rPr>
              <w:t>3</w:t>
            </w:r>
          </w:p>
        </w:tc>
        <w:tc>
          <w:tcPr>
            <w:tcW w:w="1794" w:type="dxa"/>
            <w:noWrap w:val="0"/>
            <w:vAlign w:val="center"/>
          </w:tcPr>
          <w:p>
            <w:pPr>
              <w:jc w:val="center"/>
              <w:rPr>
                <w:rFonts w:ascii="宋体" w:hAnsi="宋体" w:cs="宋体"/>
                <w:sz w:val="24"/>
                <w:szCs w:val="24"/>
              </w:rPr>
            </w:pPr>
            <w:r>
              <w:rPr>
                <w:rFonts w:hint="eastAsia" w:ascii="宋体" w:hAnsi="宋体" w:cs="宋体"/>
                <w:sz w:val="24"/>
                <w:szCs w:val="28"/>
              </w:rPr>
              <w:t>服务期响应</w:t>
            </w:r>
          </w:p>
        </w:tc>
        <w:tc>
          <w:tcPr>
            <w:tcW w:w="2196" w:type="dxa"/>
            <w:noWrap w:val="0"/>
            <w:vAlign w:val="center"/>
          </w:tcPr>
          <w:p>
            <w:pPr>
              <w:rPr>
                <w:rFonts w:ascii="宋体" w:hAnsi="宋体" w:cs="宋体"/>
                <w:sz w:val="24"/>
                <w:szCs w:val="24"/>
              </w:rPr>
            </w:pPr>
          </w:p>
        </w:tc>
        <w:tc>
          <w:tcPr>
            <w:tcW w:w="2222" w:type="dxa"/>
            <w:noWrap w:val="0"/>
            <w:vAlign w:val="center"/>
          </w:tcPr>
          <w:p>
            <w:pPr>
              <w:rPr>
                <w:rFonts w:ascii="宋体" w:hAnsi="宋体" w:cs="宋体"/>
                <w:sz w:val="24"/>
                <w:szCs w:val="24"/>
              </w:rPr>
            </w:pPr>
          </w:p>
        </w:tc>
        <w:tc>
          <w:tcPr>
            <w:tcW w:w="1978" w:type="dxa"/>
            <w:noWrap w:val="0"/>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ascii="宋体" w:hAnsi="宋体" w:cs="宋体"/>
                <w:sz w:val="24"/>
                <w:szCs w:val="24"/>
              </w:rPr>
            </w:pPr>
            <w:r>
              <w:rPr>
                <w:rFonts w:hint="eastAsia" w:ascii="宋体" w:hAnsi="宋体" w:cs="宋体"/>
                <w:sz w:val="24"/>
                <w:szCs w:val="24"/>
              </w:rPr>
              <w:t>4</w:t>
            </w:r>
          </w:p>
        </w:tc>
        <w:tc>
          <w:tcPr>
            <w:tcW w:w="1794" w:type="dxa"/>
            <w:noWrap w:val="0"/>
            <w:vAlign w:val="center"/>
          </w:tcPr>
          <w:p>
            <w:pPr>
              <w:jc w:val="center"/>
              <w:rPr>
                <w:rFonts w:ascii="宋体" w:hAnsi="宋体" w:cs="宋体"/>
                <w:sz w:val="24"/>
                <w:szCs w:val="24"/>
              </w:rPr>
            </w:pPr>
            <w:r>
              <w:rPr>
                <w:rFonts w:hint="eastAsia" w:ascii="宋体" w:hAnsi="宋体" w:cs="宋体"/>
                <w:sz w:val="24"/>
                <w:szCs w:val="24"/>
              </w:rPr>
              <w:t>其他</w:t>
            </w:r>
          </w:p>
        </w:tc>
        <w:tc>
          <w:tcPr>
            <w:tcW w:w="2196" w:type="dxa"/>
            <w:noWrap w:val="0"/>
            <w:vAlign w:val="center"/>
          </w:tcPr>
          <w:p>
            <w:pPr>
              <w:rPr>
                <w:rFonts w:ascii="宋体" w:hAnsi="宋体" w:cs="宋体"/>
                <w:sz w:val="24"/>
                <w:szCs w:val="24"/>
              </w:rPr>
            </w:pPr>
          </w:p>
        </w:tc>
        <w:tc>
          <w:tcPr>
            <w:tcW w:w="2222" w:type="dxa"/>
            <w:noWrap w:val="0"/>
            <w:vAlign w:val="center"/>
          </w:tcPr>
          <w:p>
            <w:pPr>
              <w:rPr>
                <w:rFonts w:ascii="宋体" w:hAnsi="宋体" w:cs="宋体"/>
                <w:sz w:val="24"/>
                <w:szCs w:val="24"/>
              </w:rPr>
            </w:pPr>
          </w:p>
        </w:tc>
        <w:tc>
          <w:tcPr>
            <w:tcW w:w="1978" w:type="dxa"/>
            <w:noWrap w:val="0"/>
            <w:vAlign w:val="center"/>
          </w:tcPr>
          <w:p>
            <w:pPr>
              <w:rPr>
                <w:rFonts w:ascii="宋体" w:hAnsi="宋体" w:cs="宋体"/>
                <w:sz w:val="24"/>
                <w:szCs w:val="24"/>
              </w:rPr>
            </w:pPr>
          </w:p>
        </w:tc>
      </w:tr>
    </w:tbl>
    <w:p>
      <w:pPr>
        <w:snapToGrid w:val="0"/>
        <w:spacing w:line="460" w:lineRule="exact"/>
        <w:rPr>
          <w:rFonts w:hint="eastAsia" w:ascii="宋体" w:hAnsi="宋体" w:cs="宋体"/>
          <w:b/>
          <w:bCs/>
          <w:sz w:val="24"/>
          <w:szCs w:val="24"/>
        </w:rPr>
      </w:pPr>
      <w:bookmarkStart w:id="71" w:name="_Toc471299110"/>
      <w:bookmarkStart w:id="72" w:name="_Toc27567"/>
    </w:p>
    <w:p>
      <w:pPr>
        <w:snapToGrid w:val="0"/>
        <w:spacing w:line="460" w:lineRule="exact"/>
        <w:rPr>
          <w:rFonts w:hint="eastAsia" w:ascii="宋体" w:hAnsi="宋体" w:cs="宋体"/>
          <w:b/>
          <w:bCs/>
          <w:sz w:val="24"/>
          <w:szCs w:val="24"/>
        </w:rPr>
      </w:pPr>
    </w:p>
    <w:p>
      <w:pPr>
        <w:snapToGrid w:val="0"/>
        <w:spacing w:line="460" w:lineRule="exact"/>
        <w:rPr>
          <w:rFonts w:ascii="宋体" w:hAnsi="宋体" w:cs="宋体"/>
          <w:b/>
          <w:bCs/>
          <w:sz w:val="24"/>
          <w:szCs w:val="24"/>
        </w:rPr>
      </w:pPr>
      <w:r>
        <w:rPr>
          <w:rFonts w:hint="eastAsia" w:ascii="宋体" w:hAnsi="宋体" w:cs="宋体"/>
          <w:b/>
          <w:bCs/>
          <w:sz w:val="24"/>
          <w:szCs w:val="24"/>
        </w:rPr>
        <w:t>供应商</w:t>
      </w:r>
      <w:r>
        <w:rPr>
          <w:rFonts w:hint="eastAsia" w:ascii="宋体" w:hAnsi="宋体" w:cs="宋体"/>
          <w:b/>
          <w:bCs/>
          <w:sz w:val="24"/>
          <w:szCs w:val="24"/>
          <w:lang w:val="en-US" w:eastAsia="zh-CN"/>
        </w:rPr>
        <w:t>公</w:t>
      </w:r>
      <w:r>
        <w:rPr>
          <w:rFonts w:hint="eastAsia" w:ascii="宋体" w:hAnsi="宋体" w:cs="宋体"/>
          <w:b/>
          <w:bCs/>
          <w:sz w:val="24"/>
          <w:szCs w:val="24"/>
        </w:rPr>
        <w:t>章：</w:t>
      </w:r>
    </w:p>
    <w:p>
      <w:pPr>
        <w:spacing w:line="460" w:lineRule="exact"/>
        <w:jc w:val="left"/>
        <w:rPr>
          <w:rFonts w:ascii="宋体" w:hAnsi="宋体" w:cs="宋体"/>
          <w:sz w:val="24"/>
          <w:szCs w:val="24"/>
        </w:rPr>
      </w:pPr>
      <w:r>
        <w:rPr>
          <w:rFonts w:hint="eastAsia" w:ascii="宋体" w:hAnsi="宋体" w:cs="宋体"/>
          <w:b/>
          <w:bCs/>
          <w:sz w:val="24"/>
          <w:szCs w:val="24"/>
        </w:rPr>
        <w:t>日期：   年   月   日</w:t>
      </w:r>
    </w:p>
    <w:p>
      <w:pPr>
        <w:rPr>
          <w:rFonts w:hint="eastAsia" w:ascii="宋体" w:hAnsi="宋体" w:cs="宋体"/>
          <w:sz w:val="24"/>
          <w:szCs w:val="28"/>
        </w:rPr>
      </w:pPr>
    </w:p>
    <w:p>
      <w:pPr>
        <w:rPr>
          <w:rFonts w:hint="eastAsia"/>
        </w:rPr>
      </w:pPr>
      <w:r>
        <w:rPr>
          <w:rFonts w:hint="eastAsia" w:ascii="宋体" w:hAnsi="宋体" w:cs="宋体"/>
          <w:sz w:val="24"/>
          <w:szCs w:val="28"/>
        </w:rPr>
        <w:t>注：提供的服务满足采购需求；付款及服务期等均应响应</w:t>
      </w:r>
      <w:r>
        <w:rPr>
          <w:rFonts w:hint="eastAsia" w:ascii="宋体" w:hAnsi="宋体" w:cs="宋体"/>
          <w:sz w:val="24"/>
          <w:szCs w:val="28"/>
          <w:lang w:val="en-US" w:eastAsia="zh-CN"/>
        </w:rPr>
        <w:t>询价</w:t>
      </w:r>
      <w:r>
        <w:rPr>
          <w:rFonts w:hint="eastAsia" w:ascii="宋体" w:hAnsi="宋体" w:cs="宋体"/>
          <w:sz w:val="24"/>
          <w:szCs w:val="28"/>
        </w:rPr>
        <w:t>文件要求。</w:t>
      </w: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pStyle w:val="18"/>
        <w:rPr>
          <w:rFonts w:hint="eastAsia"/>
        </w:rPr>
      </w:pPr>
    </w:p>
    <w:p>
      <w:pPr>
        <w:jc w:val="left"/>
        <w:rPr>
          <w:rFonts w:hint="eastAsia"/>
          <w:lang w:eastAsia="zh-CN"/>
        </w:rPr>
      </w:pPr>
      <w:r>
        <w:rPr>
          <w:rFonts w:hint="eastAsia" w:ascii="宋体" w:hAnsi="宋体" w:eastAsia="宋体" w:cs="宋体"/>
          <w:b/>
          <w:bCs/>
          <w:color w:val="auto"/>
          <w:kern w:val="2"/>
          <w:sz w:val="21"/>
          <w:szCs w:val="21"/>
          <w:lang w:val="en-US" w:eastAsia="zh-CN" w:bidi="ar-SA"/>
        </w:rPr>
        <w:t>附件</w:t>
      </w:r>
      <w:bookmarkEnd w:id="71"/>
      <w:bookmarkEnd w:id="72"/>
      <w:r>
        <w:rPr>
          <w:rFonts w:hint="eastAsia" w:ascii="宋体" w:hAnsi="宋体" w:eastAsia="宋体" w:cs="宋体"/>
          <w:b/>
          <w:bCs/>
          <w:color w:val="auto"/>
          <w:kern w:val="2"/>
          <w:sz w:val="21"/>
          <w:szCs w:val="21"/>
          <w:lang w:val="en-US" w:eastAsia="zh-CN" w:bidi="ar-SA"/>
        </w:rPr>
        <w:t>六</w:t>
      </w:r>
      <w:bookmarkStart w:id="73" w:name="_Toc32017"/>
      <w:r>
        <w:rPr>
          <w:rFonts w:hint="eastAsia" w:ascii="宋体" w:hAnsi="宋体" w:cs="宋体"/>
          <w:b/>
          <w:bCs/>
          <w:color w:val="auto"/>
          <w:kern w:val="2"/>
          <w:sz w:val="21"/>
          <w:szCs w:val="21"/>
          <w:lang w:val="en-US" w:eastAsia="zh-CN" w:bidi="ar-SA"/>
        </w:rPr>
        <w:t xml:space="preserve">                                </w:t>
      </w:r>
      <w:r>
        <w:rPr>
          <w:rFonts w:hint="eastAsia"/>
          <w:b/>
          <w:bCs/>
          <w:color w:val="auto"/>
          <w:sz w:val="28"/>
          <w:szCs w:val="28"/>
          <w:lang w:val="zh-CN" w:eastAsia="zh-CN"/>
        </w:rPr>
        <w:t>（</w:t>
      </w:r>
      <w:r>
        <w:rPr>
          <w:rFonts w:hint="eastAsia"/>
          <w:b/>
          <w:bCs/>
          <w:color w:val="auto"/>
          <w:sz w:val="28"/>
          <w:szCs w:val="28"/>
          <w:lang w:val="en-US" w:eastAsia="zh-CN"/>
        </w:rPr>
        <w:t>一</w:t>
      </w:r>
      <w:r>
        <w:rPr>
          <w:rFonts w:hint="eastAsia"/>
          <w:b/>
          <w:bCs/>
          <w:color w:val="auto"/>
          <w:sz w:val="28"/>
          <w:szCs w:val="28"/>
          <w:lang w:val="zh-CN" w:eastAsia="zh-CN"/>
        </w:rPr>
        <w:t>）响应</w:t>
      </w:r>
      <w:r>
        <w:rPr>
          <w:rFonts w:hint="eastAsia"/>
          <w:b/>
          <w:bCs/>
          <w:color w:val="auto"/>
          <w:sz w:val="28"/>
          <w:szCs w:val="28"/>
          <w:lang w:val="zh-CN"/>
        </w:rPr>
        <w:t>报价书</w:t>
      </w:r>
    </w:p>
    <w:tbl>
      <w:tblPr>
        <w:tblStyle w:val="20"/>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p>
          <w:p>
            <w:pPr>
              <w:spacing w:line="440" w:lineRule="exact"/>
              <w:ind w:right="-670"/>
              <w:rPr>
                <w:rFonts w:hint="eastAsia"/>
              </w:rPr>
            </w:pPr>
            <w:r>
              <w:rPr>
                <w:rFonts w:hint="eastAsia"/>
              </w:rPr>
              <w:t xml:space="preserve">小写：                          元 </w:t>
            </w:r>
          </w:p>
          <w:p>
            <w:pPr>
              <w:spacing w:line="440" w:lineRule="exact"/>
              <w:ind w:right="-670"/>
              <w:rPr>
                <w:rFonts w:hint="eastAsia"/>
              </w:rPr>
            </w:pPr>
          </w:p>
          <w:p>
            <w:pPr>
              <w:spacing w:line="440" w:lineRule="exact"/>
              <w:ind w:right="-670"/>
              <w:rPr>
                <w:rFonts w:hint="eastAsia"/>
              </w:rPr>
            </w:pPr>
            <w:r>
              <w:rPr>
                <w:rFonts w:hint="eastAsia"/>
              </w:rPr>
              <w:t>大写：                          元</w:t>
            </w:r>
          </w:p>
          <w:p>
            <w:pPr>
              <w:pStyle w:val="18"/>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lang w:val="en-US" w:eastAsia="zh-CN"/>
              </w:rPr>
            </w:pPr>
            <w:r>
              <w:rPr>
                <w:rFonts w:hint="eastAsia" w:ascii="宋体" w:hAnsi="宋体" w:cs="宋体"/>
                <w:color w:val="auto"/>
                <w:szCs w:val="21"/>
                <w:lang w:val="en-US" w:eastAsia="zh-CN"/>
              </w:rPr>
              <w:t>供货（服务）期</w:t>
            </w:r>
          </w:p>
          <w:p>
            <w:pPr>
              <w:spacing w:line="44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（是否响应）</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lang w:val="en-US" w:eastAsia="zh-CN"/>
              </w:rPr>
            </w:pPr>
            <w:r>
              <w:rPr>
                <w:rFonts w:hint="eastAsia" w:ascii="宋体" w:hAnsi="宋体" w:cs="宋体"/>
                <w:color w:val="auto"/>
                <w:szCs w:val="21"/>
                <w:lang w:val="en-US" w:eastAsia="zh-CN"/>
              </w:rPr>
              <w:t>付款方式</w:t>
            </w:r>
          </w:p>
          <w:p>
            <w:pPr>
              <w:spacing w:line="440" w:lineRule="exact"/>
              <w:jc w:val="center"/>
              <w:rPr>
                <w:rFonts w:hint="eastAsia"/>
              </w:rPr>
            </w:pPr>
            <w:r>
              <w:rPr>
                <w:rFonts w:hint="eastAsia" w:ascii="宋体" w:hAnsi="宋体" w:cs="宋体"/>
                <w:color w:val="auto"/>
                <w:szCs w:val="21"/>
                <w:lang w:val="en-US" w:eastAsia="zh-CN"/>
              </w:rPr>
              <w:t>（是否响应）</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numPr>
          <w:ilvl w:val="0"/>
          <w:numId w:val="4"/>
        </w:numPr>
        <w:adjustRightInd w:val="0"/>
        <w:snapToGrid w:val="0"/>
        <w:spacing w:line="320" w:lineRule="auto"/>
        <w:ind w:left="150" w:leftChars="0" w:firstLine="490" w:firstLineChars="0"/>
        <w:jc w:val="left"/>
        <w:rPr>
          <w:rFonts w:hint="eastAsia" w:ascii="宋体" w:hAnsi="宋体" w:cs="宋体"/>
          <w:bCs/>
          <w:color w:val="auto"/>
          <w:szCs w:val="21"/>
        </w:rPr>
      </w:pP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pStyle w:val="42"/>
        <w:keepNext/>
        <w:keepLines/>
        <w:pageBreakBefore w:val="0"/>
        <w:widowControl w:val="0"/>
        <w:kinsoku/>
        <w:wordWrap/>
        <w:overflowPunct/>
        <w:topLinePunct w:val="0"/>
        <w:autoSpaceDE/>
        <w:autoSpaceDN/>
        <w:bidi w:val="0"/>
        <w:adjustRightInd w:val="0"/>
        <w:snapToGrid/>
        <w:spacing w:before="0" w:after="0" w:line="500" w:lineRule="exact"/>
        <w:ind w:firstLine="632" w:firstLineChars="300"/>
        <w:jc w:val="both"/>
        <w:textAlignment w:val="baseline"/>
        <w:outlineLvl w:val="9"/>
        <w:rPr>
          <w:rFonts w:hint="eastAsia"/>
        </w:rPr>
      </w:pPr>
      <w:r>
        <w:rPr>
          <w:rFonts w:hint="eastAsia" w:cs="Times New Roman"/>
          <w:kern w:val="2"/>
          <w:sz w:val="21"/>
          <w:szCs w:val="22"/>
          <w:lang w:val="en-US" w:eastAsia="zh-CN" w:bidi="ar-SA"/>
        </w:rPr>
        <w:t>3</w:t>
      </w:r>
      <w:r>
        <w:rPr>
          <w:rFonts w:hint="eastAsia" w:ascii="宋体" w:hAnsi="宋体" w:eastAsia="宋体" w:cs="Times New Roman"/>
          <w:kern w:val="2"/>
          <w:sz w:val="21"/>
          <w:szCs w:val="22"/>
          <w:lang w:val="en-US" w:eastAsia="zh-CN" w:bidi="ar-SA"/>
        </w:rPr>
        <w:t>、响应报价应含有所投</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的税费（如关税、进口</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及其所用原材料、各种国内、外税费等）及包装、运至最终目的地的运输、保险、现场落地、安装调试、检测验收、培训和交付后规定免费维保期内维保等环节所发生的一切费用。</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rPr>
          <w:rFonts w:hint="eastAsia" w:ascii="宋体" w:hAnsi="宋体" w:cs="宋体"/>
          <w:color w:val="auto"/>
          <w:szCs w:val="21"/>
        </w:rPr>
      </w:pPr>
      <w:r>
        <w:rPr>
          <w:rFonts w:hint="eastAsia" w:ascii="宋体" w:hAnsi="宋体" w:cs="宋体"/>
          <w:color w:val="auto"/>
          <w:szCs w:val="21"/>
        </w:rPr>
        <w:br w:type="page"/>
      </w:r>
    </w:p>
    <w:p>
      <w:pPr>
        <w:pStyle w:val="18"/>
        <w:rPr>
          <w:rFonts w:hint="eastAsia"/>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lang w:val="en-US" w:eastAsia="zh-CN"/>
          <w14:textFill>
            <w14:solidFill>
              <w14:schemeClr w14:val="tx1"/>
            </w14:solidFill>
          </w14:textFill>
        </w:rPr>
      </w:pPr>
      <w:r>
        <w:rPr>
          <w:rFonts w:hint="eastAsia" w:ascii="宋体" w:hAnsi="宋体" w:cs="宋体"/>
          <w:b/>
          <w:color w:val="000000" w:themeColor="text1"/>
          <w:sz w:val="30"/>
          <w:szCs w:val="30"/>
          <w:lang w:val="en-US" w:eastAsia="zh-CN"/>
          <w14:textFill>
            <w14:solidFill>
              <w14:schemeClr w14:val="tx1"/>
            </w14:solidFill>
          </w14:textFill>
        </w:rPr>
        <w:t>（二）分项目报价表</w:t>
      </w:r>
    </w:p>
    <w:tbl>
      <w:tblPr>
        <w:tblStyle w:val="20"/>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序号</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项目</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单位</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3"/>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3"/>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合计报价</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优惠率</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服务承诺：</w:t>
            </w: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供应商</w:t>
      </w:r>
      <w:r>
        <w:rPr>
          <w:rFonts w:hint="eastAsia" w:ascii="宋体" w:hAnsi="宋体" w:cs="宋体"/>
          <w:color w:val="000000" w:themeColor="text1"/>
          <w:sz w:val="21"/>
          <w:szCs w:val="21"/>
          <w:lang w:val="en-US" w:eastAsia="zh-CN"/>
          <w14:textFill>
            <w14:solidFill>
              <w14:schemeClr w14:val="tx1"/>
            </w14:solidFill>
          </w14:textFill>
        </w:rPr>
        <w:t>盖</w:t>
      </w:r>
      <w:r>
        <w:rPr>
          <w:rFonts w:hint="eastAsia" w:ascii="宋体" w:hAnsi="宋体" w:eastAsia="宋体" w:cs="宋体"/>
          <w:color w:val="000000" w:themeColor="text1"/>
          <w:sz w:val="21"/>
          <w:szCs w:val="21"/>
          <w14:textFill>
            <w14:solidFill>
              <w14:schemeClr w14:val="tx1"/>
            </w14:solidFill>
          </w14:textFill>
        </w:rPr>
        <w:t>章：日期：</w:t>
      </w:r>
    </w:p>
    <w:p>
      <w:pPr>
        <w:spacing w:line="360" w:lineRule="auto"/>
        <w:rPr>
          <w:rFonts w:hint="eastAsia" w:ascii="宋体" w:hAnsi="宋体" w:eastAsia="宋体" w:cs="宋体"/>
          <w:color w:val="000000" w:themeColor="text1"/>
          <w:sz w:val="21"/>
          <w:szCs w:val="21"/>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lang w:eastAsia="zh-CN"/>
        </w:rPr>
      </w:pPr>
      <w:r>
        <w:rPr>
          <w:rFonts w:hint="eastAsia" w:ascii="宋体" w:hAnsi="宋体" w:eastAsia="宋体" w:cs="宋体"/>
          <w:color w:val="000000" w:themeColor="text1"/>
          <w:sz w:val="21"/>
          <w:szCs w:val="21"/>
          <w14:textFill>
            <w14:solidFill>
              <w14:schemeClr w14:val="tx1"/>
            </w14:solidFill>
          </w14:textFill>
        </w:rPr>
        <w:t>备注：请供应商按以上格式认真填写，不得随意更改型号，如填写错误以谈判文件要求为准。</w:t>
      </w:r>
      <w:r>
        <w:rPr>
          <w:rFonts w:hint="eastAsia" w:ascii="宋体" w:hAnsi="宋体" w:eastAsia="宋体" w:cs="宋体"/>
          <w:color w:val="000000" w:themeColor="text1"/>
          <w:sz w:val="21"/>
          <w:szCs w:val="21"/>
          <w:lang w:eastAsia="zh-CN"/>
          <w14:textFill>
            <w14:solidFill>
              <w14:schemeClr w14:val="tx1"/>
            </w14:solidFill>
          </w14:textFill>
        </w:rPr>
        <w:t>供应商参考采购需求项目</w:t>
      </w:r>
      <w:r>
        <w:rPr>
          <w:rFonts w:hint="eastAsia" w:ascii="宋体" w:hAnsi="宋体" w:eastAsia="宋体" w:cs="宋体"/>
          <w:color w:val="000000" w:themeColor="text1"/>
          <w:sz w:val="21"/>
          <w:szCs w:val="21"/>
          <w:lang w:val="en-US" w:eastAsia="zh-CN"/>
          <w14:textFill>
            <w14:solidFill>
              <w14:schemeClr w14:val="tx1"/>
            </w14:solidFill>
          </w14:textFill>
        </w:rPr>
        <w:t>分项报价单</w:t>
      </w:r>
      <w:r>
        <w:rPr>
          <w:rFonts w:hint="eastAsia" w:ascii="宋体" w:hAnsi="宋体" w:eastAsia="宋体" w:cs="宋体"/>
          <w:color w:val="000000" w:themeColor="text1"/>
          <w:sz w:val="21"/>
          <w:szCs w:val="21"/>
          <w:lang w:eastAsia="zh-CN"/>
          <w14:textFill>
            <w14:solidFill>
              <w14:schemeClr w14:val="tx1"/>
            </w14:solidFill>
          </w14:textFill>
        </w:rPr>
        <w:t>汇总。</w:t>
      </w:r>
    </w:p>
    <w:p>
      <w:pPr>
        <w:pStyle w:val="18"/>
        <w:rPr>
          <w:rFonts w:hint="eastAsia"/>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七</w:t>
      </w:r>
    </w:p>
    <w:p>
      <w:pPr>
        <w:pStyle w:val="6"/>
        <w:spacing w:before="0" w:after="0" w:line="560" w:lineRule="exact"/>
        <w:jc w:val="center"/>
        <w:rPr>
          <w:rFonts w:ascii="宋体" w:hAnsi="宋体" w:eastAsia="宋体" w:cs="宋体"/>
          <w:sz w:val="24"/>
          <w:szCs w:val="24"/>
        </w:rPr>
      </w:pPr>
      <w:bookmarkStart w:id="74" w:name="_Toc18625"/>
      <w:bookmarkStart w:id="75" w:name="_Toc30527"/>
      <w:bookmarkStart w:id="76" w:name="_Toc1624"/>
      <w:bookmarkStart w:id="77" w:name="_Toc27705"/>
      <w:r>
        <w:rPr>
          <w:rFonts w:hint="eastAsia" w:ascii="宋体" w:hAnsi="宋体" w:eastAsia="宋体" w:cs="宋体"/>
          <w:sz w:val="24"/>
          <w:szCs w:val="24"/>
        </w:rPr>
        <w:t>相关服务承诺函</w:t>
      </w:r>
      <w:bookmarkEnd w:id="74"/>
      <w:bookmarkEnd w:id="75"/>
      <w:bookmarkEnd w:id="76"/>
    </w:p>
    <w:p>
      <w:pPr>
        <w:jc w:val="center"/>
        <w:rPr>
          <w:rFonts w:ascii="宋体" w:hAnsi="宋体" w:cs="宋体"/>
          <w:sz w:val="24"/>
          <w:szCs w:val="28"/>
        </w:rPr>
      </w:pPr>
    </w:p>
    <w:p>
      <w:pPr>
        <w:jc w:val="center"/>
        <w:rPr>
          <w:rFonts w:ascii="宋体" w:hAnsi="宋体" w:cs="宋体"/>
          <w:sz w:val="24"/>
          <w:szCs w:val="28"/>
        </w:rPr>
      </w:pPr>
      <w:r>
        <w:rPr>
          <w:rFonts w:hint="eastAsia" w:ascii="宋体" w:hAnsi="宋体" w:cs="宋体"/>
          <w:sz w:val="24"/>
          <w:szCs w:val="28"/>
        </w:rPr>
        <w:t>(供应商可自行制作格式)</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7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8" w:name="_Toc1950_WPSOffice_Level1"/>
      <w:r>
        <w:rPr>
          <w:rFonts w:hint="eastAsia"/>
          <w:b/>
          <w:bCs/>
          <w:color w:val="auto"/>
          <w:sz w:val="28"/>
          <w:szCs w:val="28"/>
          <w:lang w:val="zh-CN"/>
        </w:rPr>
        <w:t>询价文件要求和供应商认为需要提供的其它说明和资料</w:t>
      </w:r>
      <w:bookmarkEnd w:id="78"/>
    </w:p>
    <w:p>
      <w:pPr>
        <w:tabs>
          <w:tab w:val="left" w:pos="4620"/>
        </w:tabs>
        <w:spacing w:line="560" w:lineRule="exact"/>
        <w:jc w:val="left"/>
        <w:rPr>
          <w:rStyle w:val="44"/>
          <w:rFonts w:hint="eastAsia"/>
          <w:color w:val="auto"/>
          <w:sz w:val="21"/>
          <w:szCs w:val="21"/>
          <w:lang w:val="en-US" w:eastAsia="zh-CN"/>
        </w:rPr>
      </w:pPr>
      <w:bookmarkStart w:id="79" w:name="_Toc19844_WPSOffice_Level1"/>
      <w:bookmarkStart w:id="80" w:name="_Toc3085"/>
    </w:p>
    <w:p>
      <w:pPr>
        <w:tabs>
          <w:tab w:val="left" w:pos="4620"/>
        </w:tabs>
        <w:spacing w:line="560" w:lineRule="exact"/>
        <w:jc w:val="left"/>
        <w:rPr>
          <w:rStyle w:val="44"/>
          <w:rFonts w:hint="eastAsia"/>
          <w:color w:val="auto"/>
          <w:sz w:val="21"/>
          <w:szCs w:val="21"/>
          <w:lang w:val="en-US" w:eastAsia="zh-CN"/>
        </w:rPr>
      </w:pPr>
    </w:p>
    <w:p>
      <w:pPr>
        <w:pStyle w:val="19"/>
        <w:rPr>
          <w:rStyle w:val="44"/>
          <w:rFonts w:hint="eastAsia"/>
          <w:color w:val="auto"/>
          <w:sz w:val="21"/>
          <w:szCs w:val="21"/>
          <w:lang w:val="en-US" w:eastAsia="zh-CN"/>
        </w:rPr>
      </w:pPr>
    </w:p>
    <w:p>
      <w:pPr>
        <w:rPr>
          <w:rStyle w:val="44"/>
          <w:rFonts w:hint="eastAsia"/>
          <w:color w:val="auto"/>
          <w:sz w:val="21"/>
          <w:szCs w:val="21"/>
          <w:lang w:val="en-US" w:eastAsia="zh-CN"/>
        </w:rPr>
      </w:pPr>
    </w:p>
    <w:p>
      <w:pPr>
        <w:pStyle w:val="19"/>
        <w:rPr>
          <w:rStyle w:val="44"/>
          <w:rFonts w:hint="eastAsia"/>
          <w:color w:val="auto"/>
          <w:sz w:val="21"/>
          <w:szCs w:val="21"/>
          <w:lang w:val="en-US" w:eastAsia="zh-CN"/>
        </w:rPr>
      </w:pPr>
    </w:p>
    <w:bookmarkEnd w:id="79"/>
    <w:bookmarkEnd w:id="80"/>
    <w:p>
      <w:pPr>
        <w:spacing w:line="440" w:lineRule="exact"/>
        <w:rPr>
          <w:rFonts w:hint="eastAsia" w:ascii="宋体" w:hAnsi="宋体" w:cs="宋体"/>
          <w:b/>
          <w:bCs/>
          <w:color w:val="auto"/>
          <w:sz w:val="24"/>
          <w:szCs w:val="24"/>
        </w:rPr>
      </w:pPr>
      <w:bookmarkStart w:id="81" w:name="_Toc16902_WPSOffice_Level1"/>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1"/>
    </w:p>
    <w:p>
      <w:pPr>
        <w:spacing w:line="400" w:lineRule="exact"/>
        <w:jc w:val="center"/>
        <w:rPr>
          <w:rFonts w:hint="eastAsia" w:ascii="宋体" w:hAnsi="宋体" w:cs="宋体"/>
          <w:b/>
          <w:color w:val="auto"/>
          <w:sz w:val="28"/>
          <w:szCs w:val="28"/>
          <w:shd w:val="clear" w:color="auto" w:fill="FFFFFF"/>
        </w:rPr>
      </w:pPr>
      <w:bookmarkStart w:id="8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2"/>
    </w:p>
    <w:p>
      <w:pPr>
        <w:adjustRightInd w:val="0"/>
        <w:snapToGrid w:val="0"/>
        <w:spacing w:line="360" w:lineRule="exact"/>
        <w:ind w:right="15" w:rightChars="7"/>
        <w:rPr>
          <w:rFonts w:hint="eastAsia" w:ascii="宋体" w:hAnsi="宋体" w:cs="宋体"/>
          <w:bCs/>
          <w:color w:val="auto"/>
          <w:shd w:val="clear" w:color="auto" w:fill="FFFFFF"/>
        </w:rPr>
      </w:pPr>
      <w:bookmarkStart w:id="83" w:name="_Toc3059_WPSOffice_Level1"/>
      <w:r>
        <w:rPr>
          <w:rFonts w:hint="eastAsia" w:ascii="宋体" w:hAnsi="宋体" w:cs="宋体"/>
          <w:bCs/>
          <w:color w:val="auto"/>
          <w:shd w:val="clear" w:color="auto" w:fill="FFFFFF"/>
        </w:rPr>
        <w:t>一、项目相关情况</w:t>
      </w:r>
      <w:bookmarkEnd w:id="8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霍山县国投大厦（一隆路与霍山大道交叉口）</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霍山县林业局</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84" w:name="_Toc21327_WPSOffice_Level1"/>
      <w:r>
        <w:rPr>
          <w:rFonts w:hint="eastAsia" w:ascii="宋体" w:hAnsi="宋体" w:cs="宋体"/>
          <w:bCs/>
          <w:color w:val="auto"/>
          <w:shd w:val="clear" w:color="auto" w:fill="FFFFFF"/>
        </w:rPr>
        <w:t>二、质疑提起的条件及不予受理的情形</w:t>
      </w:r>
      <w:bookmarkEnd w:id="84"/>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5" w:name="_Toc17685_WPSOffice_Level1"/>
      <w:r>
        <w:rPr>
          <w:rFonts w:hint="eastAsia" w:ascii="宋体" w:hAnsi="宋体" w:cs="宋体"/>
          <w:bCs/>
          <w:color w:val="auto"/>
          <w:shd w:val="clear" w:color="auto" w:fill="FFFFFF"/>
        </w:rPr>
        <w:t>三、其他</w:t>
      </w:r>
      <w:bookmarkEnd w:id="8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bCs/>
          <w:color w:val="auto"/>
          <w:shd w:val="clear" w:color="auto" w:fill="FFFFFF"/>
          <w:lang w:val="en-US" w:eastAsia="zh-CN"/>
        </w:rPr>
      </w:pPr>
      <w:r>
        <w:rPr>
          <w:rFonts w:hint="eastAsia" w:ascii="宋体" w:hAnsi="宋体" w:cs="宋体"/>
          <w:bCs/>
          <w:color w:val="auto"/>
          <w:shd w:val="clear" w:color="auto" w:fill="FFFFFF"/>
          <w:lang w:val="en-US" w:eastAsia="zh-CN"/>
        </w:rPr>
        <w:t>霍山县林业局</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86" w:name="_Toc11536"/>
      <w:r>
        <w:rPr>
          <w:rFonts w:hint="eastAsia" w:ascii="宋体" w:hAnsi="宋体"/>
          <w:b/>
          <w:color w:val="auto"/>
          <w:sz w:val="24"/>
          <w:szCs w:val="28"/>
          <w:lang w:val="en-US" w:eastAsia="zh-CN"/>
        </w:rPr>
        <w:br w:type="page"/>
      </w:r>
      <w:bookmarkStart w:id="87" w:name="_GoBack"/>
      <w:bookmarkEnd w:id="87"/>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lang w:val="en-US" w:eastAsia="zh-CN"/>
        </w:rPr>
      </w:pPr>
      <w:r>
        <w:rPr>
          <w:rFonts w:hint="eastAsia" w:ascii="宋体" w:hAnsi="宋体"/>
          <w:b/>
          <w:color w:val="auto"/>
          <w:sz w:val="24"/>
          <w:szCs w:val="28"/>
          <w:lang w:val="en-US" w:eastAsia="zh-CN"/>
        </w:rPr>
        <w:t>附件十</w:t>
      </w:r>
      <w:bookmarkEnd w:id="86"/>
      <w:r>
        <w:rPr>
          <w:rFonts w:hint="eastAsia" w:ascii="宋体" w:hAnsi="宋体"/>
          <w:b/>
          <w:color w:val="auto"/>
          <w:sz w:val="24"/>
          <w:szCs w:val="28"/>
          <w:lang w:val="en-US" w:eastAsia="zh-CN"/>
        </w:rPr>
        <w:t>一</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elvetica">
    <w:panose1 w:val="020B0504020202030204"/>
    <w:charset w:val="00"/>
    <w:family w:val="auto"/>
    <w:pitch w:val="default"/>
    <w:sig w:usb0="00000007"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3ACF5"/>
    <w:multiLevelType w:val="singleLevel"/>
    <w:tmpl w:val="C713ACF5"/>
    <w:lvl w:ilvl="0" w:tentative="0">
      <w:start w:val="1"/>
      <w:numFmt w:val="decimal"/>
      <w:suff w:val="nothing"/>
      <w:lvlText w:val="%1、"/>
      <w:lvlJc w:val="left"/>
      <w:pPr>
        <w:ind w:left="150"/>
      </w:pPr>
    </w:lvl>
  </w:abstractNum>
  <w:abstractNum w:abstractNumId="1">
    <w:nsid w:val="17F1939B"/>
    <w:multiLevelType w:val="singleLevel"/>
    <w:tmpl w:val="17F1939B"/>
    <w:lvl w:ilvl="0" w:tentative="0">
      <w:start w:val="3"/>
      <w:numFmt w:val="upperLetter"/>
      <w:suff w:val="nothing"/>
      <w:lvlText w:val="%1、"/>
      <w:lvlJc w:val="left"/>
      <w:rPr>
        <w:rFonts w:hint="default"/>
        <w:b/>
        <w:bCs/>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abstractNum w:abstractNumId="3">
    <w:nsid w:val="77DC13F5"/>
    <w:multiLevelType w:val="singleLevel"/>
    <w:tmpl w:val="77DC13F5"/>
    <w:lvl w:ilvl="0" w:tentative="0">
      <w:start w:val="3"/>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4MzU5MTNiNGQ5MWIxN2Y4MjliZjk0ZTNlZTVhNzkifQ=="/>
  </w:docVars>
  <w:rsids>
    <w:rsidRoot w:val="2F1C57A5"/>
    <w:rsid w:val="0003708B"/>
    <w:rsid w:val="00292389"/>
    <w:rsid w:val="00847D88"/>
    <w:rsid w:val="00B03C56"/>
    <w:rsid w:val="00B17BC8"/>
    <w:rsid w:val="021B0238"/>
    <w:rsid w:val="02792B6C"/>
    <w:rsid w:val="02AA1EE6"/>
    <w:rsid w:val="02D6062C"/>
    <w:rsid w:val="02E515F7"/>
    <w:rsid w:val="03150F8F"/>
    <w:rsid w:val="049E2DCE"/>
    <w:rsid w:val="05033D45"/>
    <w:rsid w:val="05694966"/>
    <w:rsid w:val="059C0CBD"/>
    <w:rsid w:val="0644344B"/>
    <w:rsid w:val="065734CB"/>
    <w:rsid w:val="066160FD"/>
    <w:rsid w:val="06BE48F4"/>
    <w:rsid w:val="071C02A2"/>
    <w:rsid w:val="07500CD8"/>
    <w:rsid w:val="07640C17"/>
    <w:rsid w:val="076B107D"/>
    <w:rsid w:val="08626E29"/>
    <w:rsid w:val="088902E8"/>
    <w:rsid w:val="09F429FB"/>
    <w:rsid w:val="0A1332DE"/>
    <w:rsid w:val="0A337DC1"/>
    <w:rsid w:val="0A967446"/>
    <w:rsid w:val="0AD92462"/>
    <w:rsid w:val="0ADA7309"/>
    <w:rsid w:val="0AF952A0"/>
    <w:rsid w:val="0C1C1BA2"/>
    <w:rsid w:val="0C5D10F3"/>
    <w:rsid w:val="0C8B3F0F"/>
    <w:rsid w:val="0CB1489A"/>
    <w:rsid w:val="0CE51BA4"/>
    <w:rsid w:val="0D1D0C43"/>
    <w:rsid w:val="0D4A538B"/>
    <w:rsid w:val="0DA718AA"/>
    <w:rsid w:val="0E7B6D74"/>
    <w:rsid w:val="0EB23F58"/>
    <w:rsid w:val="0EC811A0"/>
    <w:rsid w:val="0ECB46E0"/>
    <w:rsid w:val="0F2B7E44"/>
    <w:rsid w:val="0F5A2EA7"/>
    <w:rsid w:val="109C4C04"/>
    <w:rsid w:val="11013491"/>
    <w:rsid w:val="117C2E11"/>
    <w:rsid w:val="12256160"/>
    <w:rsid w:val="13592465"/>
    <w:rsid w:val="14051CA6"/>
    <w:rsid w:val="1414601F"/>
    <w:rsid w:val="14255A7F"/>
    <w:rsid w:val="147737A7"/>
    <w:rsid w:val="14827BCA"/>
    <w:rsid w:val="15055C7F"/>
    <w:rsid w:val="15081ED3"/>
    <w:rsid w:val="15773C44"/>
    <w:rsid w:val="159267B6"/>
    <w:rsid w:val="161D1882"/>
    <w:rsid w:val="1624058F"/>
    <w:rsid w:val="16C41FE1"/>
    <w:rsid w:val="16E90795"/>
    <w:rsid w:val="174E2B31"/>
    <w:rsid w:val="174F1F7C"/>
    <w:rsid w:val="18B06CB8"/>
    <w:rsid w:val="18FB5F6E"/>
    <w:rsid w:val="191D49AE"/>
    <w:rsid w:val="19A110E6"/>
    <w:rsid w:val="19BD767D"/>
    <w:rsid w:val="19E22D40"/>
    <w:rsid w:val="1A1D00D5"/>
    <w:rsid w:val="1A331B52"/>
    <w:rsid w:val="1A423C53"/>
    <w:rsid w:val="1B8850A8"/>
    <w:rsid w:val="1BD37DB2"/>
    <w:rsid w:val="1BD82076"/>
    <w:rsid w:val="1BF95358"/>
    <w:rsid w:val="1BFD7962"/>
    <w:rsid w:val="1C230B2D"/>
    <w:rsid w:val="1C7E28A8"/>
    <w:rsid w:val="1C996F6B"/>
    <w:rsid w:val="1CEF5655"/>
    <w:rsid w:val="1D16290A"/>
    <w:rsid w:val="1D217AE8"/>
    <w:rsid w:val="1D4A399E"/>
    <w:rsid w:val="1DC0444F"/>
    <w:rsid w:val="1E54325B"/>
    <w:rsid w:val="1F217B6B"/>
    <w:rsid w:val="1F305B4D"/>
    <w:rsid w:val="1FE443E7"/>
    <w:rsid w:val="20047356"/>
    <w:rsid w:val="215167E4"/>
    <w:rsid w:val="21D26F0C"/>
    <w:rsid w:val="21EA62EB"/>
    <w:rsid w:val="221377C9"/>
    <w:rsid w:val="221A7232"/>
    <w:rsid w:val="221B322D"/>
    <w:rsid w:val="22316A8B"/>
    <w:rsid w:val="22BE48E0"/>
    <w:rsid w:val="23146CA5"/>
    <w:rsid w:val="234A74A5"/>
    <w:rsid w:val="236C589C"/>
    <w:rsid w:val="23E4335D"/>
    <w:rsid w:val="249C4D10"/>
    <w:rsid w:val="252F4627"/>
    <w:rsid w:val="25656A25"/>
    <w:rsid w:val="25991012"/>
    <w:rsid w:val="25DF344B"/>
    <w:rsid w:val="260D2BCC"/>
    <w:rsid w:val="269B7E31"/>
    <w:rsid w:val="26E26F1B"/>
    <w:rsid w:val="26FF3DC4"/>
    <w:rsid w:val="2756117E"/>
    <w:rsid w:val="282C5FBE"/>
    <w:rsid w:val="283956A8"/>
    <w:rsid w:val="28B95567"/>
    <w:rsid w:val="297D3AB0"/>
    <w:rsid w:val="29D81534"/>
    <w:rsid w:val="2A5D4158"/>
    <w:rsid w:val="2A655185"/>
    <w:rsid w:val="2A987BB9"/>
    <w:rsid w:val="2AAD5454"/>
    <w:rsid w:val="2AE476F0"/>
    <w:rsid w:val="2B1C14C3"/>
    <w:rsid w:val="2BA25F45"/>
    <w:rsid w:val="2BB052E5"/>
    <w:rsid w:val="2C131622"/>
    <w:rsid w:val="2C1E7A1F"/>
    <w:rsid w:val="2D254D25"/>
    <w:rsid w:val="2DA03CE2"/>
    <w:rsid w:val="2DD01CB0"/>
    <w:rsid w:val="2DD57ECD"/>
    <w:rsid w:val="2E223573"/>
    <w:rsid w:val="2E485C02"/>
    <w:rsid w:val="2E812FF3"/>
    <w:rsid w:val="2ED51A6E"/>
    <w:rsid w:val="2F1C57A5"/>
    <w:rsid w:val="2FA7707A"/>
    <w:rsid w:val="30091271"/>
    <w:rsid w:val="30E913A6"/>
    <w:rsid w:val="315912AF"/>
    <w:rsid w:val="31AB79A4"/>
    <w:rsid w:val="31F9233C"/>
    <w:rsid w:val="32661595"/>
    <w:rsid w:val="3305611D"/>
    <w:rsid w:val="3328252A"/>
    <w:rsid w:val="33D44972"/>
    <w:rsid w:val="340E6C58"/>
    <w:rsid w:val="34D536C4"/>
    <w:rsid w:val="354730DE"/>
    <w:rsid w:val="35680E1A"/>
    <w:rsid w:val="35EE6CA1"/>
    <w:rsid w:val="363F4FAA"/>
    <w:rsid w:val="36892C57"/>
    <w:rsid w:val="36955D99"/>
    <w:rsid w:val="37C5249A"/>
    <w:rsid w:val="38312E6C"/>
    <w:rsid w:val="38377AA2"/>
    <w:rsid w:val="38B45EFC"/>
    <w:rsid w:val="38CD16AE"/>
    <w:rsid w:val="38D036A4"/>
    <w:rsid w:val="38FC1F15"/>
    <w:rsid w:val="39792C93"/>
    <w:rsid w:val="398D0AC5"/>
    <w:rsid w:val="39E723D3"/>
    <w:rsid w:val="3A9369B8"/>
    <w:rsid w:val="3AE97D6B"/>
    <w:rsid w:val="3B8E3C6C"/>
    <w:rsid w:val="3B9C4230"/>
    <w:rsid w:val="3C1C5FDB"/>
    <w:rsid w:val="3C2B40B2"/>
    <w:rsid w:val="3C422011"/>
    <w:rsid w:val="3C822706"/>
    <w:rsid w:val="3C967255"/>
    <w:rsid w:val="3CEF665D"/>
    <w:rsid w:val="3CF70FDA"/>
    <w:rsid w:val="3D457CC8"/>
    <w:rsid w:val="3D5C50E1"/>
    <w:rsid w:val="3E046DF3"/>
    <w:rsid w:val="3E9D780F"/>
    <w:rsid w:val="3EA632AC"/>
    <w:rsid w:val="3FE111C3"/>
    <w:rsid w:val="400A11D8"/>
    <w:rsid w:val="403E06F0"/>
    <w:rsid w:val="40B4502A"/>
    <w:rsid w:val="40C5008E"/>
    <w:rsid w:val="40FE59B1"/>
    <w:rsid w:val="41666DD5"/>
    <w:rsid w:val="41895983"/>
    <w:rsid w:val="419903CA"/>
    <w:rsid w:val="41DD49C0"/>
    <w:rsid w:val="42265CA1"/>
    <w:rsid w:val="42B2150D"/>
    <w:rsid w:val="42BC355E"/>
    <w:rsid w:val="431D644D"/>
    <w:rsid w:val="43A82E19"/>
    <w:rsid w:val="43DD6A08"/>
    <w:rsid w:val="44147686"/>
    <w:rsid w:val="442A0FF7"/>
    <w:rsid w:val="44595EFE"/>
    <w:rsid w:val="44A83992"/>
    <w:rsid w:val="455D6192"/>
    <w:rsid w:val="45FC1F89"/>
    <w:rsid w:val="46447AD0"/>
    <w:rsid w:val="4667667C"/>
    <w:rsid w:val="46F751BF"/>
    <w:rsid w:val="46FE1966"/>
    <w:rsid w:val="47AD1197"/>
    <w:rsid w:val="47E710FB"/>
    <w:rsid w:val="47ED349E"/>
    <w:rsid w:val="48D30C8F"/>
    <w:rsid w:val="48F93679"/>
    <w:rsid w:val="49151A34"/>
    <w:rsid w:val="493E0515"/>
    <w:rsid w:val="49485B51"/>
    <w:rsid w:val="49665DCB"/>
    <w:rsid w:val="49710222"/>
    <w:rsid w:val="49974E74"/>
    <w:rsid w:val="4A405D23"/>
    <w:rsid w:val="4A4D2829"/>
    <w:rsid w:val="4BF054CF"/>
    <w:rsid w:val="4CDF3954"/>
    <w:rsid w:val="4CE63047"/>
    <w:rsid w:val="4D18297E"/>
    <w:rsid w:val="4D634E6D"/>
    <w:rsid w:val="4D757618"/>
    <w:rsid w:val="4DD8672F"/>
    <w:rsid w:val="4DEC6549"/>
    <w:rsid w:val="4E126F73"/>
    <w:rsid w:val="4F1C43FC"/>
    <w:rsid w:val="4F490783"/>
    <w:rsid w:val="4F6D0B44"/>
    <w:rsid w:val="4F833E54"/>
    <w:rsid w:val="4F9010E9"/>
    <w:rsid w:val="50345C2D"/>
    <w:rsid w:val="50791011"/>
    <w:rsid w:val="50945CAA"/>
    <w:rsid w:val="50B46B12"/>
    <w:rsid w:val="50F473C0"/>
    <w:rsid w:val="51373F3D"/>
    <w:rsid w:val="51537C10"/>
    <w:rsid w:val="53A51F4E"/>
    <w:rsid w:val="540B018A"/>
    <w:rsid w:val="54A309A3"/>
    <w:rsid w:val="54B56A54"/>
    <w:rsid w:val="54D53CF9"/>
    <w:rsid w:val="552175DB"/>
    <w:rsid w:val="55581881"/>
    <w:rsid w:val="558001AF"/>
    <w:rsid w:val="55881C3C"/>
    <w:rsid w:val="559C563E"/>
    <w:rsid w:val="55FB7588"/>
    <w:rsid w:val="55FD58E3"/>
    <w:rsid w:val="570A07F9"/>
    <w:rsid w:val="573804ED"/>
    <w:rsid w:val="57474810"/>
    <w:rsid w:val="57562B24"/>
    <w:rsid w:val="575E648A"/>
    <w:rsid w:val="58070EAA"/>
    <w:rsid w:val="581B40F7"/>
    <w:rsid w:val="58565344"/>
    <w:rsid w:val="58695F8B"/>
    <w:rsid w:val="589543F5"/>
    <w:rsid w:val="589B2E3D"/>
    <w:rsid w:val="59952836"/>
    <w:rsid w:val="59E57AC2"/>
    <w:rsid w:val="5A9B3313"/>
    <w:rsid w:val="5AF22F7E"/>
    <w:rsid w:val="5BA07BB6"/>
    <w:rsid w:val="5BBE35F6"/>
    <w:rsid w:val="5BD501E8"/>
    <w:rsid w:val="5BEA4600"/>
    <w:rsid w:val="5C3E5A4E"/>
    <w:rsid w:val="5CA4442A"/>
    <w:rsid w:val="5CFA0810"/>
    <w:rsid w:val="5D273630"/>
    <w:rsid w:val="5D603CFB"/>
    <w:rsid w:val="5DAD1ECF"/>
    <w:rsid w:val="5DF16C05"/>
    <w:rsid w:val="5EB3743D"/>
    <w:rsid w:val="5EFB6C0F"/>
    <w:rsid w:val="5F2358F6"/>
    <w:rsid w:val="5F2B66BC"/>
    <w:rsid w:val="602418BF"/>
    <w:rsid w:val="61755069"/>
    <w:rsid w:val="618D0E1A"/>
    <w:rsid w:val="619C1CA6"/>
    <w:rsid w:val="62087795"/>
    <w:rsid w:val="62990BC5"/>
    <w:rsid w:val="629D1B22"/>
    <w:rsid w:val="630E6F66"/>
    <w:rsid w:val="63637DD7"/>
    <w:rsid w:val="639C65AB"/>
    <w:rsid w:val="63CE30A4"/>
    <w:rsid w:val="64655912"/>
    <w:rsid w:val="65502555"/>
    <w:rsid w:val="65771F5A"/>
    <w:rsid w:val="657F4878"/>
    <w:rsid w:val="66357CC3"/>
    <w:rsid w:val="668354D2"/>
    <w:rsid w:val="66D83D64"/>
    <w:rsid w:val="66F918C9"/>
    <w:rsid w:val="676F2D16"/>
    <w:rsid w:val="678154B0"/>
    <w:rsid w:val="67A8591C"/>
    <w:rsid w:val="67FB2AC4"/>
    <w:rsid w:val="68560087"/>
    <w:rsid w:val="68BA3798"/>
    <w:rsid w:val="690D0368"/>
    <w:rsid w:val="692F6410"/>
    <w:rsid w:val="69FF7CBD"/>
    <w:rsid w:val="6A47529D"/>
    <w:rsid w:val="6A5A6DA2"/>
    <w:rsid w:val="6AA978CF"/>
    <w:rsid w:val="6AF61310"/>
    <w:rsid w:val="6B225547"/>
    <w:rsid w:val="6B413A50"/>
    <w:rsid w:val="6BEE750B"/>
    <w:rsid w:val="6C0040EC"/>
    <w:rsid w:val="6C640C01"/>
    <w:rsid w:val="6CC25408"/>
    <w:rsid w:val="6CD771B7"/>
    <w:rsid w:val="6D4E22D5"/>
    <w:rsid w:val="6DA52666"/>
    <w:rsid w:val="6DB0368A"/>
    <w:rsid w:val="6EA97E5C"/>
    <w:rsid w:val="6EF628E4"/>
    <w:rsid w:val="6F24244B"/>
    <w:rsid w:val="6F5632F9"/>
    <w:rsid w:val="6F6D34BB"/>
    <w:rsid w:val="6FB45A58"/>
    <w:rsid w:val="6FDC2C2E"/>
    <w:rsid w:val="70AD37B3"/>
    <w:rsid w:val="70C9038E"/>
    <w:rsid w:val="73A60334"/>
    <w:rsid w:val="73D81B5D"/>
    <w:rsid w:val="741719F8"/>
    <w:rsid w:val="74491380"/>
    <w:rsid w:val="74832F2C"/>
    <w:rsid w:val="74C7644B"/>
    <w:rsid w:val="7546335E"/>
    <w:rsid w:val="7557332E"/>
    <w:rsid w:val="75926BC3"/>
    <w:rsid w:val="75A576C7"/>
    <w:rsid w:val="76A1003E"/>
    <w:rsid w:val="7738442A"/>
    <w:rsid w:val="78397A44"/>
    <w:rsid w:val="789C2226"/>
    <w:rsid w:val="78EA0FC2"/>
    <w:rsid w:val="78F92F7D"/>
    <w:rsid w:val="7916292F"/>
    <w:rsid w:val="795B2256"/>
    <w:rsid w:val="79F628A4"/>
    <w:rsid w:val="7A1A522E"/>
    <w:rsid w:val="7A686D7F"/>
    <w:rsid w:val="7AA81F8D"/>
    <w:rsid w:val="7B0A70F5"/>
    <w:rsid w:val="7C1203A8"/>
    <w:rsid w:val="7C3F2CC5"/>
    <w:rsid w:val="7D196BB9"/>
    <w:rsid w:val="7D6A6C42"/>
    <w:rsid w:val="7D8F0802"/>
    <w:rsid w:val="7E456548"/>
    <w:rsid w:val="7EF1633B"/>
    <w:rsid w:val="7F256CD4"/>
    <w:rsid w:val="7F4A3B40"/>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4"/>
    <w:qFormat/>
    <w:uiPriority w:val="99"/>
    <w:pPr>
      <w:keepNext/>
      <w:keepLines/>
      <w:spacing w:before="260" w:after="260" w:line="416" w:lineRule="auto"/>
      <w:outlineLvl w:val="2"/>
    </w:pPr>
    <w:rPr>
      <w:b/>
      <w:bCs/>
      <w:sz w:val="32"/>
      <w:szCs w:val="32"/>
    </w:rPr>
  </w:style>
  <w:style w:type="character" w:default="1" w:styleId="22">
    <w:name w:val="Default Paragraph Font"/>
    <w:link w:val="23"/>
    <w:semiHidden/>
    <w:qFormat/>
    <w:uiPriority w:val="0"/>
    <w:rPr>
      <w:rFonts w:ascii="Tahoma" w:hAnsi="Tahoma" w:eastAsia="宋体" w:cs="Times New Roman"/>
      <w:sz w:val="24"/>
    </w:rPr>
  </w:style>
  <w:style w:type="table" w:default="1" w:styleId="20">
    <w:name w:val="Normal Table"/>
    <w:semiHidden/>
    <w:qFormat/>
    <w:uiPriority w:val="0"/>
    <w:tblPr>
      <w:tblCellMar>
        <w:top w:w="0" w:type="dxa"/>
        <w:left w:w="108" w:type="dxa"/>
        <w:bottom w:w="0" w:type="dxa"/>
        <w:right w:w="108" w:type="dxa"/>
      </w:tblCellMar>
    </w:tblPr>
  </w:style>
  <w:style w:type="paragraph" w:customStyle="1" w:styleId="2">
    <w:name w:val="模板普通正文"/>
    <w:basedOn w:val="3"/>
    <w:qFormat/>
    <w:uiPriority w:val="0"/>
    <w:pPr>
      <w:spacing w:beforeLines="50" w:after="10"/>
      <w:ind w:left="0" w:leftChars="0" w:firstLine="490" w:firstLineChars="175"/>
      <w:jc w:val="left"/>
    </w:pPr>
    <w:rPr>
      <w:sz w:val="20"/>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Block Text"/>
    <w:basedOn w:val="1"/>
    <w:qFormat/>
    <w:uiPriority w:val="0"/>
    <w:pPr>
      <w:spacing w:line="300" w:lineRule="auto"/>
      <w:ind w:left="29" w:leftChars="12" w:right="6" w:firstLine="560" w:firstLineChars="200"/>
      <w:jc w:val="both"/>
    </w:pPr>
    <w:rPr>
      <w:rFonts w:ascii="Times New Roman"/>
      <w:sz w:val="28"/>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Body Text Indent 2"/>
    <w:basedOn w:val="1"/>
    <w:qFormat/>
    <w:uiPriority w:val="0"/>
    <w:pPr>
      <w:spacing w:line="590" w:lineRule="exact"/>
      <w:ind w:firstLine="880" w:firstLineChars="200"/>
    </w:pPr>
    <w:rPr>
      <w:rFonts w:eastAsia="方正仿宋_GBK"/>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w:basedOn w:val="9"/>
    <w:qFormat/>
    <w:uiPriority w:val="0"/>
    <w:pPr>
      <w:spacing w:line="400" w:lineRule="atLeast"/>
      <w:ind w:firstLine="426"/>
    </w:pPr>
    <w:rPr>
      <w:rFonts w:ascii="Times New Roman" w:hAnsi="Times New Roman"/>
      <w:sz w:val="24"/>
      <w:szCs w:val="20"/>
    </w:rPr>
  </w:style>
  <w:style w:type="paragraph" w:styleId="19">
    <w:name w:val="Body Text First Indent 2"/>
    <w:basedOn w:val="3"/>
    <w:next w:val="1"/>
    <w:qFormat/>
    <w:uiPriority w:val="0"/>
    <w:pPr>
      <w:spacing w:line="360" w:lineRule="auto"/>
      <w:jc w:val="left"/>
    </w:pPr>
    <w:rPr>
      <w:rFonts w:cs="宋体"/>
      <w:sz w:val="28"/>
      <w:szCs w:val="28"/>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Char Char Char Char"/>
    <w:basedOn w:val="1"/>
    <w:next w:val="1"/>
    <w:link w:val="22"/>
    <w:qFormat/>
    <w:uiPriority w:val="0"/>
    <w:rPr>
      <w:rFonts w:ascii="Tahoma" w:hAnsi="Tahoma" w:eastAsia="宋体" w:cs="Times New Roman"/>
      <w:sz w:val="24"/>
    </w:rPr>
  </w:style>
  <w:style w:type="character" w:styleId="24">
    <w:name w:val="Strong"/>
    <w:basedOn w:val="22"/>
    <w:qFormat/>
    <w:uiPriority w:val="0"/>
  </w:style>
  <w:style w:type="character" w:styleId="25">
    <w:name w:val="page number"/>
    <w:basedOn w:val="22"/>
    <w:qFormat/>
    <w:uiPriority w:val="0"/>
  </w:style>
  <w:style w:type="character" w:styleId="26">
    <w:name w:val="FollowedHyperlink"/>
    <w:basedOn w:val="22"/>
    <w:qFormat/>
    <w:uiPriority w:val="0"/>
    <w:rPr>
      <w:color w:val="800080"/>
      <w:u w:val="none"/>
    </w:rPr>
  </w:style>
  <w:style w:type="character" w:styleId="27">
    <w:name w:val="Emphasis"/>
    <w:basedOn w:val="22"/>
    <w:qFormat/>
    <w:uiPriority w:val="0"/>
  </w:style>
  <w:style w:type="character" w:styleId="28">
    <w:name w:val="HTML Definition"/>
    <w:basedOn w:val="22"/>
    <w:qFormat/>
    <w:uiPriority w:val="0"/>
  </w:style>
  <w:style w:type="character" w:styleId="29">
    <w:name w:val="HTML Typewriter"/>
    <w:basedOn w:val="22"/>
    <w:qFormat/>
    <w:uiPriority w:val="0"/>
    <w:rPr>
      <w:rFonts w:ascii="monospace" w:hAnsi="monospace" w:eastAsia="monospace" w:cs="monospace"/>
      <w:sz w:val="20"/>
    </w:rPr>
  </w:style>
  <w:style w:type="character" w:styleId="30">
    <w:name w:val="HTML Acronym"/>
    <w:basedOn w:val="22"/>
    <w:qFormat/>
    <w:uiPriority w:val="0"/>
  </w:style>
  <w:style w:type="character" w:styleId="31">
    <w:name w:val="HTML Variable"/>
    <w:basedOn w:val="22"/>
    <w:qFormat/>
    <w:uiPriority w:val="0"/>
  </w:style>
  <w:style w:type="character" w:styleId="32">
    <w:name w:val="Hyperlink"/>
    <w:qFormat/>
    <w:uiPriority w:val="0"/>
    <w:rPr>
      <w:color w:val="0000FF"/>
      <w:u w:val="single"/>
    </w:rPr>
  </w:style>
  <w:style w:type="character" w:styleId="33">
    <w:name w:val="HTML Code"/>
    <w:basedOn w:val="22"/>
    <w:qFormat/>
    <w:uiPriority w:val="0"/>
    <w:rPr>
      <w:rFonts w:hint="default" w:ascii="monospace" w:hAnsi="monospace" w:eastAsia="monospace" w:cs="monospace"/>
      <w:sz w:val="20"/>
    </w:rPr>
  </w:style>
  <w:style w:type="character" w:styleId="34">
    <w:name w:val="HTML Cite"/>
    <w:basedOn w:val="22"/>
    <w:qFormat/>
    <w:uiPriority w:val="0"/>
  </w:style>
  <w:style w:type="character" w:styleId="35">
    <w:name w:val="HTML Keyboard"/>
    <w:basedOn w:val="22"/>
    <w:qFormat/>
    <w:uiPriority w:val="0"/>
    <w:rPr>
      <w:rFonts w:hint="default" w:ascii="monospace" w:hAnsi="monospace" w:eastAsia="monospace" w:cs="monospace"/>
      <w:sz w:val="20"/>
    </w:rPr>
  </w:style>
  <w:style w:type="character" w:styleId="36">
    <w:name w:val="HTML Sample"/>
    <w:basedOn w:val="22"/>
    <w:qFormat/>
    <w:uiPriority w:val="0"/>
    <w:rPr>
      <w:rFonts w:hint="default" w:ascii="monospace" w:hAnsi="monospace" w:eastAsia="monospace" w:cs="monospace"/>
    </w:rPr>
  </w:style>
  <w:style w:type="paragraph" w:customStyle="1" w:styleId="37">
    <w:name w:val="BodyText2"/>
    <w:basedOn w:val="1"/>
    <w:qFormat/>
    <w:uiPriority w:val="0"/>
    <w:pPr>
      <w:jc w:val="both"/>
      <w:textAlignment w:val="baseline"/>
    </w:pPr>
    <w:rPr>
      <w:rFonts w:ascii="仿宋_GB2312" w:hAnsi="Times New Roman" w:eastAsia="仿宋_GB2312"/>
      <w:b/>
      <w:kern w:val="2"/>
      <w:sz w:val="24"/>
      <w:szCs w:val="20"/>
      <w:lang w:val="en-US" w:eastAsia="zh-CN" w:bidi="ar-SA"/>
    </w:rPr>
  </w:style>
  <w:style w:type="paragraph" w:customStyle="1" w:styleId="38">
    <w:name w:val="WPSOffice手动目录 1"/>
    <w:qFormat/>
    <w:uiPriority w:val="0"/>
    <w:pPr>
      <w:ind w:leftChars="0"/>
    </w:pPr>
    <w:rPr>
      <w:rFonts w:ascii="Times New Roman" w:hAnsi="Times New Roman" w:eastAsia="宋体" w:cs="Times New Roman"/>
      <w:sz w:val="20"/>
      <w:szCs w:val="20"/>
    </w:rPr>
  </w:style>
  <w:style w:type="paragraph" w:customStyle="1" w:styleId="39">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40">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41">
    <w:name w:val="Char"/>
    <w:basedOn w:val="1"/>
    <w:qFormat/>
    <w:uiPriority w:val="99"/>
    <w:rPr>
      <w:rFonts w:ascii="Tahoma" w:hAnsi="Tahoma"/>
      <w:sz w:val="24"/>
    </w:rPr>
  </w:style>
  <w:style w:type="paragraph" w:customStyle="1" w:styleId="42">
    <w:name w:val="样式 标题 2 + 宋体 五号 行距: 单倍行距"/>
    <w:basedOn w:val="6"/>
    <w:qFormat/>
    <w:uiPriority w:val="99"/>
    <w:pPr>
      <w:spacing w:line="240" w:lineRule="auto"/>
    </w:pPr>
    <w:rPr>
      <w:rFonts w:ascii="宋体" w:hAnsi="宋体" w:eastAsia="宋体"/>
      <w:sz w:val="21"/>
    </w:rPr>
  </w:style>
  <w:style w:type="paragraph" w:customStyle="1" w:styleId="43">
    <w:name w:val="Char Char Char Char Char Char Char1 Char"/>
    <w:basedOn w:val="1"/>
    <w:qFormat/>
    <w:uiPriority w:val="99"/>
    <w:rPr>
      <w:rFonts w:ascii="Tahoma" w:hAnsi="Tahoma"/>
      <w:sz w:val="24"/>
    </w:rPr>
  </w:style>
  <w:style w:type="character" w:customStyle="1" w:styleId="44">
    <w:name w:val="标题 3 Char"/>
    <w:basedOn w:val="22"/>
    <w:link w:val="7"/>
    <w:qFormat/>
    <w:locked/>
    <w:uiPriority w:val="99"/>
    <w:rPr>
      <w:b/>
      <w:bCs/>
      <w:sz w:val="32"/>
      <w:szCs w:val="32"/>
    </w:rPr>
  </w:style>
  <w:style w:type="paragraph" w:customStyle="1" w:styleId="4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List Paragraph"/>
    <w:basedOn w:val="1"/>
    <w:unhideWhenUsed/>
    <w:qFormat/>
    <w:uiPriority w:val="99"/>
    <w:pPr>
      <w:ind w:firstLine="420" w:firstLineChars="200"/>
    </w:pPr>
    <w:rPr>
      <w:rFonts w:ascii="Calibri" w:hAnsi="Calibri"/>
      <w:szCs w:val="22"/>
    </w:rPr>
  </w:style>
  <w:style w:type="paragraph" w:customStyle="1" w:styleId="47">
    <w:name w:val="Table Paragraph"/>
    <w:basedOn w:val="1"/>
    <w:qFormat/>
    <w:uiPriority w:val="1"/>
  </w:style>
  <w:style w:type="paragraph" w:customStyle="1" w:styleId="48">
    <w:name w:val="_Style 1"/>
    <w:basedOn w:val="1"/>
    <w:qFormat/>
    <w:uiPriority w:val="0"/>
    <w:pPr>
      <w:ind w:firstLine="420" w:firstLineChars="200"/>
    </w:pPr>
    <w:rPr>
      <w:rFonts w:ascii="Calibri" w:hAnsi="Calibri"/>
      <w:szCs w:val="22"/>
    </w:rPr>
  </w:style>
  <w:style w:type="paragraph" w:customStyle="1" w:styleId="49">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51">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2">
    <w:name w:val="font41"/>
    <w:basedOn w:val="22"/>
    <w:qFormat/>
    <w:uiPriority w:val="0"/>
    <w:rPr>
      <w:rFonts w:hint="default" w:ascii="Arial" w:hAnsi="Arial" w:cs="Arial"/>
      <w:color w:val="000000"/>
      <w:sz w:val="20"/>
      <w:szCs w:val="20"/>
      <w:u w:val="none"/>
    </w:rPr>
  </w:style>
  <w:style w:type="character" w:customStyle="1" w:styleId="53">
    <w:name w:val="font11"/>
    <w:basedOn w:val="22"/>
    <w:qFormat/>
    <w:uiPriority w:val="0"/>
    <w:rPr>
      <w:rFonts w:hint="eastAsia" w:ascii="宋体" w:hAnsi="宋体" w:eastAsia="宋体" w:cs="宋体"/>
      <w:color w:val="000000"/>
      <w:sz w:val="20"/>
      <w:szCs w:val="20"/>
      <w:u w:val="none"/>
    </w:rPr>
  </w:style>
  <w:style w:type="character" w:customStyle="1" w:styleId="54">
    <w:name w:val="font71"/>
    <w:basedOn w:val="22"/>
    <w:qFormat/>
    <w:uiPriority w:val="0"/>
    <w:rPr>
      <w:rFonts w:hint="eastAsia" w:ascii="宋体" w:hAnsi="宋体" w:eastAsia="宋体" w:cs="宋体"/>
      <w:color w:val="000000"/>
      <w:sz w:val="22"/>
      <w:szCs w:val="22"/>
      <w:u w:val="none"/>
    </w:rPr>
  </w:style>
  <w:style w:type="character" w:customStyle="1" w:styleId="55">
    <w:name w:val="font31"/>
    <w:basedOn w:val="22"/>
    <w:qFormat/>
    <w:uiPriority w:val="0"/>
    <w:rPr>
      <w:rFonts w:hint="eastAsia" w:ascii="宋体" w:hAnsi="宋体" w:eastAsia="宋体" w:cs="宋体"/>
      <w:color w:val="000000"/>
      <w:sz w:val="22"/>
      <w:szCs w:val="22"/>
      <w:u w:val="none"/>
    </w:rPr>
  </w:style>
  <w:style w:type="character" w:customStyle="1" w:styleId="56">
    <w:name w:val="font01"/>
    <w:basedOn w:val="22"/>
    <w:qFormat/>
    <w:uiPriority w:val="0"/>
    <w:rPr>
      <w:rFonts w:ascii="Helvetica" w:hAnsi="Helvetica" w:eastAsia="Helvetica" w:cs="Helvetica"/>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12351</Words>
  <Characters>13388</Characters>
  <Lines>0</Lines>
  <Paragraphs>0</Paragraphs>
  <TotalTime>27</TotalTime>
  <ScaleCrop>false</ScaleCrop>
  <LinksUpToDate>false</LinksUpToDate>
  <CharactersWithSpaces>14391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GT</cp:lastModifiedBy>
  <cp:lastPrinted>2022-01-17T07:44:00Z</cp:lastPrinted>
  <dcterms:modified xsi:type="dcterms:W3CDTF">2022-09-20T07:58:13Z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D1376D863FCD4B449CB7837AC3830268</vt:lpwstr>
  </property>
</Properties>
</file>