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宋体" w:hAnsi="宋体"/>
          <w:b/>
          <w:bCs/>
          <w:color w:val="auto"/>
          <w:sz w:val="52"/>
          <w:szCs w:val="52"/>
          <w:lang w:val="en-US" w:eastAsia="zh-CN"/>
        </w:rPr>
      </w:pPr>
    </w:p>
    <w:p>
      <w:pPr>
        <w:pStyle w:val="2"/>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2"/>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2"/>
        <w:ind w:left="0" w:leftChars="0" w:firstLine="0" w:firstLineChars="0"/>
        <w:jc w:val="center"/>
        <w:rPr>
          <w:rFonts w:hint="eastAsia" w:ascii="宋体" w:hAnsi="宋体"/>
          <w:b/>
          <w:bCs/>
          <w:color w:val="auto"/>
          <w:sz w:val="52"/>
          <w:szCs w:val="52"/>
          <w:lang w:eastAsia="zh-CN"/>
        </w:rPr>
      </w:pPr>
    </w:p>
    <w:p>
      <w:pPr>
        <w:pStyle w:val="2"/>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2"/>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2"/>
        <w:jc w:val="center"/>
        <w:rPr>
          <w:rFonts w:hint="eastAsia" w:ascii="宋体" w:hAnsi="宋体"/>
          <w:b/>
          <w:bCs/>
          <w:color w:val="auto"/>
          <w:sz w:val="52"/>
          <w:szCs w:val="52"/>
          <w:lang w:eastAsia="zh-CN"/>
        </w:rPr>
      </w:pPr>
    </w:p>
    <w:p>
      <w:pPr>
        <w:pStyle w:val="2"/>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安徽佛子岭水利水电规划设计有限公司业务车辆采购项目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DBSCG-2022-021</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采购单位：安徽佛子岭水利水电规划设计有限公司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采购时间：二0二二年</w:t>
      </w:r>
      <w:bookmarkStart w:id="0" w:name="_Toc11428_WPSOffice_Type1"/>
      <w:bookmarkStart w:id="1" w:name="_Toc216158623"/>
      <w:bookmarkStart w:id="2" w:name="_Toc363199264"/>
      <w:r>
        <w:rPr>
          <w:rFonts w:hint="eastAsia" w:ascii="宋体" w:hAnsi="宋体" w:cs="宋体"/>
          <w:b/>
          <w:color w:val="auto"/>
          <w:spacing w:val="-17"/>
          <w:kern w:val="0"/>
          <w:sz w:val="32"/>
          <w:szCs w:val="32"/>
          <w:lang w:val="en-US" w:eastAsia="zh-CN"/>
        </w:rPr>
        <w:t>二月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DBSCG-2022-021安徽佛子岭水利水电规划设计有限公司业务车辆采购项目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安徽佛子岭水利水电规划设计有限公司</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eastAsia="宋体" w:cs="宋体"/>
          <w:b w:val="0"/>
          <w:bCs w:val="0"/>
          <w:i w:val="0"/>
          <w:caps w:val="0"/>
          <w:color w:val="auto"/>
          <w:spacing w:val="0"/>
          <w:sz w:val="21"/>
          <w:szCs w:val="21"/>
          <w:shd w:val="clear" w:color="auto" w:fill="FFFFFF"/>
          <w:lang w:eastAsia="zh-CN"/>
        </w:rPr>
        <w:t>根据</w:t>
      </w:r>
      <w:r>
        <w:rPr>
          <w:rFonts w:hint="eastAsia" w:ascii="宋体" w:hAnsi="宋体" w:eastAsia="宋体" w:cs="宋体"/>
          <w:b w:val="0"/>
          <w:bCs w:val="0"/>
          <w:i w:val="0"/>
          <w:caps w:val="0"/>
          <w:color w:val="auto"/>
          <w:spacing w:val="0"/>
          <w:sz w:val="21"/>
          <w:szCs w:val="21"/>
          <w:shd w:val="clear" w:color="auto" w:fill="FFFFFF"/>
        </w:rPr>
        <w:t>《国有企业采购操作规范》</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安徽佛子岭水利水电规划设计有限公司业务车辆采购项目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安徽佛子岭水利水电规划设计有限公司业务车辆采购项目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DBSCG-2022-021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安徽佛子岭水利水电规划设计有限公司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eastAsia="zh-CN"/>
        </w:rPr>
        <w:t>自筹</w:t>
      </w:r>
      <w:r>
        <w:rPr>
          <w:rFonts w:hint="eastAsia" w:ascii="宋体" w:hAnsi="宋体" w:cs="宋体"/>
          <w:i w:val="0"/>
          <w:caps w:val="0"/>
          <w:color w:val="auto"/>
          <w:spacing w:val="0"/>
          <w:sz w:val="21"/>
          <w:szCs w:val="21"/>
          <w:shd w:val="clear" w:color="auto" w:fill="FFFFFF"/>
          <w:lang w:val="en-US" w:eastAsia="zh-CN"/>
        </w:rPr>
        <w:t>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230000.00 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7、最高限价：230000.00 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9、项目概况：安徽佛子岭水利水电规划设计有限公司业务车辆采购项目，内容为别克昂科威PLUS一辆，详见清单</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t>
      </w:r>
      <w:r>
        <w:rPr>
          <w:rFonts w:hint="eastAsia" w:ascii="宋体" w:hAnsi="宋体" w:cs="宋体"/>
          <w:i w:val="0"/>
          <w:caps w:val="0"/>
          <w:color w:val="000000"/>
          <w:spacing w:val="0"/>
          <w:sz w:val="21"/>
          <w:szCs w:val="21"/>
          <w:shd w:val="clear" w:fill="FFFFFF"/>
          <w:lang w:eastAsia="zh-CN"/>
        </w:rPr>
        <w:t>网</w:t>
      </w:r>
      <w:r>
        <w:rPr>
          <w:rFonts w:hint="eastAsia" w:ascii="宋体" w:hAnsi="宋体" w:eastAsia="宋体" w:cs="宋体"/>
          <w:i w:val="0"/>
          <w:caps w:val="0"/>
          <w:color w:val="000000"/>
          <w:spacing w:val="0"/>
          <w:sz w:val="21"/>
          <w:szCs w:val="21"/>
          <w:shd w:val="clear" w:fill="FFFFFF"/>
        </w:rPr>
        <w:t>（www.creditchina.gov.cn）；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02</w:t>
      </w:r>
      <w:r>
        <w:rPr>
          <w:rFonts w:hint="eastAsia" w:ascii="宋体" w:hAnsi="宋体" w:cs="宋体"/>
          <w:i w:val="0"/>
          <w:caps w:val="0"/>
          <w:color w:val="auto"/>
          <w:spacing w:val="0"/>
          <w:sz w:val="21"/>
          <w:szCs w:val="21"/>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16</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0</w:t>
      </w:r>
      <w:r>
        <w:rPr>
          <w:rFonts w:hint="eastAsia" w:ascii="宋体" w:hAnsi="宋体" w:eastAsia="宋体" w:cs="宋体"/>
          <w:i w:val="0"/>
          <w:caps w:val="0"/>
          <w:color w:val="auto"/>
          <w:spacing w:val="0"/>
          <w:sz w:val="21"/>
          <w:szCs w:val="21"/>
          <w:u w:val="single"/>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02</w:t>
      </w:r>
      <w:r>
        <w:rPr>
          <w:rFonts w:hint="eastAsia" w:ascii="宋体" w:hAnsi="宋体" w:cs="宋体"/>
          <w:i w:val="0"/>
          <w:caps w:val="0"/>
          <w:color w:val="auto"/>
          <w:spacing w:val="0"/>
          <w:sz w:val="21"/>
          <w:szCs w:val="21"/>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22</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09</w:t>
      </w:r>
      <w:r>
        <w:rPr>
          <w:rFonts w:hint="eastAsia" w:ascii="宋体" w:hAnsi="宋体" w:cs="宋体"/>
          <w:i w:val="0"/>
          <w:caps w:val="0"/>
          <w:color w:val="auto"/>
          <w:spacing w:val="0"/>
          <w:sz w:val="21"/>
          <w:szCs w:val="21"/>
          <w:shd w:val="clear" w:color="auto" w:fill="FFFFFF"/>
          <w:lang w:val="en-US" w:eastAsia="zh-CN"/>
        </w:rPr>
        <w:t>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w:t>
      </w:r>
      <w:r>
        <w:rPr>
          <w:rFonts w:hint="eastAsia" w:ascii="宋体" w:hAnsi="宋体" w:cs="宋体"/>
          <w:i w:val="0"/>
          <w:caps w:val="0"/>
          <w:color w:val="auto"/>
          <w:spacing w:val="0"/>
          <w:sz w:val="21"/>
          <w:szCs w:val="21"/>
          <w:shd w:val="clear" w:color="auto" w:fill="FFFFFF"/>
          <w:lang w:eastAsia="zh-CN"/>
        </w:rPr>
        <w:t>下载。</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02</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22</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09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bookmarkStart w:id="96" w:name="_GoBack"/>
      <w:bookmarkEnd w:id="96"/>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安徽佛子岭水利水电规划设计有限公司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安徽省六安市霍山县衡山镇南岳东路40号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高主任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13505647511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安徽佛子岭水利水电规划设计有限公司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02月16日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安徽佛子岭水利水电规划设计有限公司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安徽省六安市霍山县衡山镇南岳东路40号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高主任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eastAsia="宋体" w:cs="宋体"/>
                <w:i w:val="0"/>
                <w:caps w:val="0"/>
                <w:color w:val="auto"/>
                <w:spacing w:val="0"/>
                <w:sz w:val="21"/>
                <w:szCs w:val="21"/>
                <w:highlight w:val="none"/>
                <w:shd w:val="clear" w:color="auto" w:fill="FFFFFF"/>
                <w:lang w:val="en-US" w:eastAsia="zh-CN"/>
              </w:rPr>
              <w:t>13505647511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安徽佛子岭水利水电规划设计有限公司业务车辆采购项目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贰拾叁万元整（￥230000.00元），超过此限价的报价为无效响应。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0000FF"/>
                <w:spacing w:val="0"/>
                <w:kern w:val="2"/>
                <w:sz w:val="21"/>
                <w:szCs w:val="21"/>
                <w:highlight w:val="none"/>
                <w:lang w:val="en-US" w:eastAsia="zh-CN" w:bidi="ar-SA"/>
              </w:rPr>
              <w:t>货到验收合格后，一次性付清。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签订合同后7日内交车。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本项目为询价采购，</w:t>
            </w:r>
            <w:r>
              <w:rPr>
                <w:rFonts w:hint="eastAsia" w:ascii="宋体" w:hAnsi="宋体"/>
                <w:color w:val="auto"/>
                <w:spacing w:val="0"/>
                <w:szCs w:val="21"/>
                <w:highlight w:val="none"/>
                <w:lang w:eastAsia="zh-CN"/>
              </w:rPr>
              <w:t>请参加的供应商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备注四</w:t>
            </w:r>
          </w:p>
        </w:tc>
        <w:tc>
          <w:tcPr>
            <w:tcW w:w="7568" w:type="dxa"/>
            <w:vAlign w:val="center"/>
          </w:tcPr>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①别克昂科威PLUS  2021款652T五座豪华型  颜色：黑色；</w:t>
            </w:r>
          </w:p>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②车辆交货时，里程表公里数范围为0-80；</w:t>
            </w:r>
          </w:p>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③提供可抵扣的车辆销售发票，车辆合格证。</w:t>
            </w:r>
          </w:p>
          <w:p>
            <w:pPr>
              <w:pStyle w:val="36"/>
              <w:adjustRightInd w:val="0"/>
              <w:snapToGrid w:val="0"/>
              <w:spacing w:line="320" w:lineRule="exact"/>
              <w:rPr>
                <w:rFonts w:hint="default" w:ascii="宋体" w:hAnsi="宋体" w:cs="宋体"/>
                <w:color w:val="auto"/>
                <w:spacing w:val="0"/>
                <w:highlight w:val="none"/>
                <w:lang w:val="en-US" w:eastAsia="zh-CN"/>
              </w:rPr>
            </w:pPr>
            <w:r>
              <w:rPr>
                <w:rFonts w:hint="eastAsia" w:ascii="宋体" w:hAnsi="宋体" w:cs="宋体"/>
                <w:color w:val="FF0000"/>
                <w:spacing w:val="0"/>
                <w:highlight w:val="none"/>
                <w:lang w:val="en-US" w:eastAsia="zh-CN"/>
              </w:rPr>
              <w:t>④成交人须保证在签订合同后7日内交车，否则采购人有权取消其成交资格。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成交人</w:t>
            </w:r>
            <w:r>
              <w:rPr>
                <w:rFonts w:hint="eastAsia" w:ascii="宋体" w:hAnsi="宋体" w:eastAsia="宋体" w:cs="宋体"/>
                <w:b/>
                <w:bCs/>
                <w:color w:val="auto"/>
                <w:spacing w:val="0"/>
                <w:szCs w:val="22"/>
                <w:highlight w:val="none"/>
                <w:lang w:val="en-US" w:eastAsia="zh-CN"/>
              </w:rPr>
              <w:t>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，代理费为成交价的1.5%。</w:t>
            </w:r>
          </w:p>
          <w:p>
            <w:pPr>
              <w:adjustRightInd w:val="0"/>
              <w:snapToGrid w:val="0"/>
              <w:spacing w:line="360" w:lineRule="exact"/>
              <w:jc w:val="left"/>
              <w:rPr>
                <w:rFonts w:hint="eastAsia" w:ascii="宋体" w:hAnsi="宋体" w:eastAsia="宋体" w:cs="宋体"/>
                <w:b/>
                <w:color w:val="auto"/>
                <w:spacing w:val="0"/>
                <w:sz w:val="21"/>
                <w:szCs w:val="21"/>
                <w:highlight w:val="none"/>
                <w:lang w:val="en-US" w:eastAsia="zh-CN"/>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r>
              <w:rPr>
                <w:rFonts w:hint="eastAsia" w:ascii="宋体" w:hAnsi="宋体" w:cs="宋体"/>
                <w:b/>
                <w:bCs/>
                <w:color w:val="auto"/>
                <w:spacing w:val="0"/>
                <w:highlight w:val="none"/>
                <w:lang w:val="en-US" w:eastAsia="zh-CN"/>
              </w:rPr>
              <w:t>3、提交询价响应文件的供应商少于三家时，采购人将依法重新开展询价或转变采购方式。</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363199266"/>
      <w:bookmarkStart w:id="13" w:name="_Toc216158625"/>
      <w:bookmarkStart w:id="14" w:name="_Toc12806"/>
      <w:bookmarkStart w:id="15" w:name="_Toc438648662"/>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采购项目的业主方</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pStyle w:val="2"/>
        <w:rPr>
          <w:rFonts w:hint="eastAsia"/>
          <w:color w:val="auto"/>
        </w:rPr>
      </w:pPr>
    </w:p>
    <w:bookmarkEnd w:id="10"/>
    <w:bookmarkEnd w:id="11"/>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s="宋体"/>
          <w:color w:val="auto"/>
          <w:kern w:val="0"/>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2天将质疑电子版及纸质版（需加盖供应商公章）提交至514453063@qq.com，质疑纸质版需送至安徽大别山工程咨询有限公司204办公室。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采购人</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r>
        <w:rPr>
          <w:rFonts w:hint="eastAsia"/>
          <w:color w:val="auto"/>
          <w:sz w:val="28"/>
          <w:szCs w:val="28"/>
          <w:lang w:eastAsia="zh-CN"/>
        </w:rPr>
        <w:t>，但不得违背响应文件实质性精神要求</w:t>
      </w:r>
      <w:r>
        <w:rPr>
          <w:rFonts w:hint="eastAsia"/>
          <w:color w:val="auto"/>
          <w:sz w:val="28"/>
          <w:szCs w:val="28"/>
        </w:rPr>
        <w:t>）</w:t>
      </w:r>
    </w:p>
    <w:p>
      <w:pPr>
        <w:pStyle w:val="2"/>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2827"/>
        <w:gridCol w:w="4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048" w:type="dxa"/>
            <w:gridSpan w:val="3"/>
            <w:noWrap w:val="0"/>
            <w:vAlign w:val="center"/>
          </w:tcPr>
          <w:p>
            <w:pPr>
              <w:jc w:val="center"/>
              <w:rPr>
                <w:rFonts w:hint="eastAsia" w:ascii="Calibri" w:hAnsi="Calibri" w:eastAsia="宋体" w:cs="Times New Roman"/>
                <w:szCs w:val="24"/>
                <w:lang w:val="en-US" w:eastAsia="zh-CN"/>
              </w:rPr>
            </w:pPr>
            <w:r>
              <w:rPr>
                <w:rFonts w:hint="eastAsia" w:ascii="Calibri" w:hAnsi="Calibri" w:eastAsia="宋体" w:cs="Times New Roman"/>
                <w:b/>
                <w:bCs/>
                <w:sz w:val="28"/>
                <w:szCs w:val="28"/>
                <w:lang w:val="en-US" w:eastAsia="zh-CN"/>
              </w:rPr>
              <w:t>昂科威PLUS2021款652T五座豪华型</w:t>
            </w:r>
            <w:r>
              <w:rPr>
                <w:rFonts w:hint="eastAsia" w:ascii="Calibri" w:hAnsi="Calibri" w:cs="Times New Roman"/>
                <w:b/>
                <w:bCs/>
                <w:sz w:val="28"/>
                <w:szCs w:val="28"/>
                <w:lang w:val="en-US" w:eastAsia="zh-CN"/>
              </w:rPr>
              <w:t>；颜色：黑色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default" w:ascii="Calibri" w:hAnsi="Calibri" w:eastAsia="宋体" w:cs="Times New Roman"/>
                <w:szCs w:val="24"/>
                <w:vertAlign w:val="baseline"/>
                <w:lang w:val="en-US" w:eastAsia="zh-CN"/>
              </w:rPr>
            </w:pPr>
            <w:r>
              <w:rPr>
                <w:rFonts w:hint="eastAsia" w:ascii="Calibri" w:hAnsi="Calibri" w:eastAsia="宋体" w:cs="Times New Roman"/>
                <w:b/>
                <w:bCs/>
                <w:szCs w:val="24"/>
                <w:vertAlign w:val="baseline"/>
                <w:lang w:val="en-US" w:eastAsia="zh-CN"/>
              </w:rPr>
              <w:t>指导价</w:t>
            </w:r>
          </w:p>
        </w:tc>
        <w:tc>
          <w:tcPr>
            <w:tcW w:w="2827" w:type="dxa"/>
            <w:noWrap w:val="0"/>
            <w:vAlign w:val="top"/>
          </w:tcPr>
          <w:p>
            <w:pPr>
              <w:rPr>
                <w:rFonts w:hint="default" w:ascii="Calibri" w:hAnsi="Calibri" w:eastAsia="宋体" w:cs="Times New Roman"/>
                <w:kern w:val="2"/>
                <w:sz w:val="21"/>
                <w:szCs w:val="24"/>
                <w:vertAlign w:val="baseline"/>
                <w:lang w:val="en-US" w:eastAsia="zh-CN" w:bidi="ar-SA"/>
              </w:rPr>
            </w:pPr>
            <w:r>
              <w:rPr>
                <w:rFonts w:hint="eastAsia" w:ascii="Calibri" w:hAnsi="Calibri" w:eastAsia="宋体" w:cs="Times New Roman"/>
                <w:szCs w:val="24"/>
                <w:vertAlign w:val="baseline"/>
                <w:lang w:val="en-US" w:eastAsia="zh-CN"/>
              </w:rPr>
              <w:t>厂商指导价</w:t>
            </w:r>
          </w:p>
        </w:tc>
        <w:tc>
          <w:tcPr>
            <w:tcW w:w="4787" w:type="dxa"/>
            <w:noWrap w:val="0"/>
            <w:vAlign w:val="top"/>
          </w:tcPr>
          <w:p>
            <w:pPr>
              <w:rPr>
                <w:rFonts w:hint="eastAsia" w:ascii="Calibri" w:hAnsi="Calibri" w:eastAsia="宋体" w:cs="Times New Roman"/>
                <w:kern w:val="2"/>
                <w:sz w:val="21"/>
                <w:szCs w:val="24"/>
                <w:vertAlign w:val="baseline"/>
                <w:lang w:val="en-US" w:eastAsia="zh-CN" w:bidi="ar-SA"/>
              </w:rPr>
            </w:pPr>
            <w:r>
              <w:rPr>
                <w:rFonts w:hint="eastAsia" w:ascii="Calibri" w:hAnsi="Calibri" w:eastAsia="宋体" w:cs="Times New Roman"/>
                <w:szCs w:val="24"/>
                <w:vertAlign w:val="baseline"/>
                <w:lang w:val="en-US" w:eastAsia="zh-CN"/>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default" w:ascii="Calibri" w:hAnsi="Calibri" w:eastAsia="宋体" w:cs="Times New Roman"/>
                <w:szCs w:val="24"/>
                <w:vertAlign w:val="baseline"/>
                <w:lang w:val="en-US" w:eastAsia="zh-CN"/>
              </w:rPr>
            </w:pPr>
          </w:p>
        </w:tc>
        <w:tc>
          <w:tcPr>
            <w:tcW w:w="2827" w:type="dxa"/>
            <w:noWrap w:val="0"/>
            <w:vAlign w:val="top"/>
          </w:tcPr>
          <w:p>
            <w:pPr>
              <w:rPr>
                <w:rFonts w:hint="default" w:ascii="Calibri" w:hAnsi="Calibri" w:eastAsia="宋体" w:cs="Times New Roman"/>
                <w:kern w:val="2"/>
                <w:sz w:val="21"/>
                <w:szCs w:val="24"/>
                <w:vertAlign w:val="baseline"/>
                <w:lang w:val="en-US" w:eastAsia="zh-CN" w:bidi="ar-SA"/>
              </w:rPr>
            </w:pPr>
            <w:r>
              <w:rPr>
                <w:rFonts w:hint="eastAsia" w:ascii="Calibri" w:hAnsi="Calibri" w:eastAsia="宋体" w:cs="Times New Roman"/>
                <w:szCs w:val="24"/>
                <w:vertAlign w:val="baseline"/>
                <w:lang w:val="en-US" w:eastAsia="zh-CN"/>
              </w:rPr>
              <w:t>经销商指导价</w:t>
            </w:r>
          </w:p>
        </w:tc>
        <w:tc>
          <w:tcPr>
            <w:tcW w:w="4787" w:type="dxa"/>
            <w:noWrap w:val="0"/>
            <w:vAlign w:val="top"/>
          </w:tcPr>
          <w:p>
            <w:pPr>
              <w:rPr>
                <w:rFonts w:hint="eastAsia" w:ascii="Calibri" w:hAnsi="Calibri" w:eastAsia="宋体" w:cs="Times New Roman"/>
                <w:kern w:val="2"/>
                <w:sz w:val="21"/>
                <w:szCs w:val="24"/>
                <w:vertAlign w:val="baseline"/>
                <w:lang w:val="en-US" w:eastAsia="zh-CN" w:bidi="ar-SA"/>
              </w:rPr>
            </w:pPr>
            <w:r>
              <w:rPr>
                <w:rFonts w:hint="eastAsia" w:ascii="Calibri" w:hAnsi="Calibri" w:eastAsia="宋体" w:cs="Times New Roman"/>
                <w:szCs w:val="24"/>
                <w:vertAlign w:val="baseline"/>
                <w:lang w:val="en-US" w:eastAsia="zh-CN"/>
              </w:rPr>
              <w:t>/万起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default" w:ascii="Calibri" w:hAnsi="Calibri" w:eastAsia="宋体" w:cs="Times New Roman"/>
                <w:szCs w:val="24"/>
                <w:vertAlign w:val="baseline"/>
                <w:lang w:val="en-US" w:eastAsia="zh-CN"/>
              </w:rPr>
            </w:pPr>
            <w:r>
              <w:rPr>
                <w:rFonts w:hint="eastAsia" w:ascii="Calibri" w:hAnsi="Calibri" w:eastAsia="宋体" w:cs="Times New Roman"/>
                <w:b/>
                <w:bCs/>
                <w:szCs w:val="24"/>
                <w:vertAlign w:val="baseline"/>
                <w:lang w:val="en-US" w:eastAsia="zh-CN"/>
              </w:rPr>
              <w:t>基本参数</w:t>
            </w:r>
          </w:p>
        </w:tc>
        <w:tc>
          <w:tcPr>
            <w:tcW w:w="282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厂商</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上汽通用别克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级别</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中型SUV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能源类型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汽油+48V轻混系统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环保标准</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国VI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上市时间</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2021.06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最大功率(kW)</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最大扭矩(N·m)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发动机</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2.0T 237马力 L4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变速箱</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9挡手自一体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长*宽*高(mm)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4845*1883*1695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车身结构</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5门5座SUV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最高车速(km/h)</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官方0-100km/h加速(s)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实测0-100km/h加速(s)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实测100-0km/h制动(m)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NEDC综合油耗(L/100km)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WLTC综合油耗(L/100km)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最低荷电状态油耗(L/100km)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实测油耗(L/100km)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整车质保</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三年或10万公里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b/>
                <w:bCs/>
                <w:szCs w:val="24"/>
                <w:vertAlign w:val="baseline"/>
                <w:lang w:val="en-US" w:eastAsia="zh-CN"/>
              </w:rPr>
            </w:pPr>
            <w:r>
              <w:rPr>
                <w:rFonts w:hint="eastAsia" w:ascii="Calibri" w:hAnsi="Calibri" w:eastAsia="宋体" w:cs="Times New Roman"/>
                <w:b/>
                <w:bCs/>
                <w:szCs w:val="24"/>
                <w:vertAlign w:val="baseline"/>
                <w:lang w:val="en-US" w:eastAsia="zh-CN"/>
              </w:rPr>
              <w:t>车 身</w:t>
            </w: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default" w:ascii="Calibri" w:hAnsi="Calibri" w:eastAsia="宋体" w:cs="Times New Roman"/>
                <w:b/>
                <w:bCs/>
                <w:szCs w:val="24"/>
                <w:vertAlign w:val="baseline"/>
                <w:lang w:val="en-US" w:eastAsia="zh-CN"/>
              </w:rPr>
            </w:pPr>
            <w:r>
              <w:rPr>
                <w:rFonts w:hint="eastAsia" w:ascii="Calibri" w:hAnsi="Calibri" w:eastAsia="宋体" w:cs="Times New Roman"/>
                <w:b/>
                <w:bCs/>
                <w:szCs w:val="24"/>
                <w:vertAlign w:val="baseline"/>
                <w:lang w:val="en-US" w:eastAsia="zh-CN"/>
              </w:rPr>
              <w:t>车 身</w:t>
            </w: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eastAsia" w:ascii="Calibri" w:hAnsi="Calibri" w:eastAsia="宋体" w:cs="Times New Roman"/>
                <w:szCs w:val="24"/>
                <w:vertAlign w:val="baseline"/>
                <w:lang w:val="en-US" w:eastAsia="zh-CN"/>
              </w:rPr>
            </w:pPr>
          </w:p>
          <w:p>
            <w:pPr>
              <w:jc w:val="center"/>
              <w:rPr>
                <w:rFonts w:hint="default"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长度(mm)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4845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宽度(mm)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高度(mm)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1695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轴距(mm)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2833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前轮距(mm )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后轮距(mm)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最小离地间隙(mm)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车身结构</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SUV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车门数(个)</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座位数(个)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油箱容积(L)</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行李厢容积(L)</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515-1712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整备质量(kg)</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发动机型号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LXH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排量(mL)</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排量(L)</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进气形式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涡轮增压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发动机布局</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横置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气缸排列形式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气缸数(个)</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每红气门数(个)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压缩比</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配气机构</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DOHC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缸径(mm)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行程(mm)</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最大马力(Ps)</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最大功率(kW)</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最大功率转速(rprm)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最大扭矩(N·m)</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最大扭矩转速(rpm)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1500-4000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最大净功率(kW)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发动机特有技术</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可变缸技术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燃料形式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汽油+48V轻混系统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燃油标号</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供油方式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直喷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缸盖材料  </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铝合金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缸体材料</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铝合金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环保标准</w:t>
            </w:r>
          </w:p>
          <w:p>
            <w:pPr>
              <w:bidi w:val="0"/>
              <w:rPr>
                <w:rFonts w:hint="eastAsia" w:ascii="Calibri" w:hAnsi="Calibri" w:eastAsia="宋体" w:cs="Times New Roman"/>
                <w:kern w:val="2"/>
                <w:sz w:val="21"/>
                <w:szCs w:val="24"/>
                <w:lang w:val="en-US" w:eastAsia="zh-CN" w:bidi="ar-SA"/>
              </w:rPr>
            </w:pPr>
          </w:p>
          <w:p>
            <w:pPr>
              <w:bidi w:val="0"/>
              <w:rPr>
                <w:rFonts w:hint="eastAsia" w:ascii="Calibri" w:hAnsi="Calibri" w:eastAsia="宋体" w:cs="Times New Roman"/>
                <w:szCs w:val="24"/>
                <w:lang w:val="en-US" w:eastAsia="zh-CN"/>
              </w:rPr>
            </w:pPr>
          </w:p>
          <w:p>
            <w:pPr>
              <w:bidi w:val="0"/>
              <w:jc w:val="both"/>
              <w:rPr>
                <w:rFonts w:hint="eastAsia" w:ascii="Calibri" w:hAnsi="Calibri" w:eastAsia="宋体" w:cs="Times New Roman"/>
                <w:szCs w:val="24"/>
                <w:lang w:val="en-US" w:eastAsia="zh-CN"/>
              </w:rPr>
            </w:pP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国VI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default" w:ascii="Calibri" w:hAnsi="Calibri" w:eastAsia="宋体" w:cs="Times New Roman"/>
                <w:szCs w:val="24"/>
                <w:vertAlign w:val="baseline"/>
                <w:lang w:val="en-US" w:eastAsia="zh-CN"/>
              </w:rPr>
            </w:pPr>
            <w:r>
              <w:rPr>
                <w:rFonts w:hint="eastAsia" w:ascii="Calibri" w:hAnsi="Calibri" w:eastAsia="宋体" w:cs="Times New Roman"/>
                <w:b/>
                <w:bCs/>
                <w:szCs w:val="24"/>
                <w:vertAlign w:val="baseline"/>
                <w:lang w:val="en-US" w:eastAsia="zh-CN"/>
              </w:rPr>
              <w:t>变速箱</w:t>
            </w: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挡位个数</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变速箱类型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手自一体变速箱(AT)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center"/>
          </w:tcPr>
          <w:p>
            <w:pPr>
              <w:jc w:val="cente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简称</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9挡手自一体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restart"/>
            <w:noWrap w:val="0"/>
            <w:vAlign w:val="center"/>
          </w:tcPr>
          <w:p>
            <w:pPr>
              <w:jc w:val="center"/>
              <w:rPr>
                <w:rFonts w:hint="default" w:ascii="Calibri" w:hAnsi="Calibri" w:eastAsia="宋体" w:cs="Times New Roman"/>
                <w:szCs w:val="24"/>
                <w:vertAlign w:val="baseline"/>
                <w:lang w:val="en-US" w:eastAsia="zh-CN"/>
              </w:rPr>
            </w:pPr>
            <w:r>
              <w:rPr>
                <w:rFonts w:hint="eastAsia" w:ascii="Calibri" w:hAnsi="Calibri" w:eastAsia="宋体" w:cs="Times New Roman"/>
                <w:b/>
                <w:bCs/>
                <w:szCs w:val="24"/>
                <w:vertAlign w:val="baseline"/>
                <w:lang w:val="en-US" w:eastAsia="zh-CN"/>
              </w:rPr>
              <w:t>底盘转向</w:t>
            </w: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驱动方式</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前置前驱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四驱形式</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 xml:space="preserve">中央差速器结构 </w:t>
            </w:r>
          </w:p>
        </w:tc>
        <w:tc>
          <w:tcPr>
            <w:tcW w:w="4787" w:type="dxa"/>
            <w:noWrap w:val="0"/>
            <w:vAlign w:val="top"/>
          </w:tcPr>
          <w:p>
            <w:pPr>
              <w:rPr>
                <w:rFonts w:hint="default"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前悬架类型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麦弗逊式独立悬架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后悬架类型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多连杆式独立悬架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助力类型</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电动助力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34" w:type="dxa"/>
            <w:vMerge w:val="continue"/>
            <w:noWrap w:val="0"/>
            <w:vAlign w:val="top"/>
          </w:tcPr>
          <w:p>
            <w:pPr>
              <w:rPr>
                <w:rFonts w:hint="eastAsia" w:ascii="Calibri" w:hAnsi="Calibri" w:eastAsia="宋体" w:cs="Times New Roman"/>
                <w:szCs w:val="24"/>
                <w:vertAlign w:val="baseline"/>
                <w:lang w:val="en-US" w:eastAsia="zh-CN"/>
              </w:rPr>
            </w:pPr>
          </w:p>
        </w:tc>
        <w:tc>
          <w:tcPr>
            <w:tcW w:w="282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车体结构</w:t>
            </w:r>
          </w:p>
        </w:tc>
        <w:tc>
          <w:tcPr>
            <w:tcW w:w="4787" w:type="dxa"/>
            <w:noWrap w:val="0"/>
            <w:vAlign w:val="top"/>
          </w:tcPr>
          <w:p>
            <w:pPr>
              <w:rPr>
                <w:rFonts w:hint="eastAsia" w:ascii="Calibri" w:hAnsi="Calibri" w:eastAsia="宋体" w:cs="Times New Roman"/>
                <w:szCs w:val="24"/>
                <w:vertAlign w:val="baseline"/>
                <w:lang w:val="en-US" w:eastAsia="zh-CN"/>
              </w:rPr>
            </w:pPr>
            <w:r>
              <w:rPr>
                <w:rFonts w:hint="eastAsia" w:ascii="Calibri" w:hAnsi="Calibri" w:eastAsia="宋体" w:cs="Times New Roman"/>
                <w:szCs w:val="24"/>
                <w:vertAlign w:val="baseline"/>
                <w:lang w:val="en-US" w:eastAsia="zh-CN"/>
              </w:rPr>
              <w:t>承载式</w:t>
            </w:r>
          </w:p>
        </w:tc>
      </w:tr>
    </w:tbl>
    <w:p>
      <w:pPr>
        <w:pStyle w:val="15"/>
        <w:ind w:left="0" w:leftChars="0" w:firstLine="0" w:firstLineChars="0"/>
        <w:rPr>
          <w:rFonts w:hint="eastAsia"/>
          <w:lang w:eastAsia="zh-CN"/>
        </w:rPr>
      </w:pPr>
    </w:p>
    <w:p>
      <w:pPr>
        <w:numPr>
          <w:ilvl w:val="0"/>
          <w:numId w:val="0"/>
        </w:numPr>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2011"/>
      <w:bookmarkStart w:id="37" w:name="_Toc5486"/>
      <w:bookmarkStart w:id="38" w:name="_Toc22507"/>
      <w:bookmarkStart w:id="39" w:name="_Toc11313"/>
      <w:bookmarkStart w:id="40" w:name="_Toc3470"/>
    </w:p>
    <w:bookmarkEnd w:id="36"/>
    <w:bookmarkEnd w:id="37"/>
    <w:bookmarkEnd w:id="38"/>
    <w:bookmarkEnd w:id="39"/>
    <w:bookmarkEnd w:id="40"/>
    <w:p>
      <w:pPr>
        <w:jc w:val="both"/>
        <w:rPr>
          <w:rFonts w:hint="eastAsia" w:ascii="宋体" w:hAnsi="宋体" w:eastAsia="宋体" w:cs="宋体"/>
          <w:color w:val="auto"/>
          <w:sz w:val="21"/>
          <w:szCs w:val="21"/>
        </w:rPr>
      </w:pPr>
    </w:p>
    <w:p>
      <w:pPr>
        <w:pStyle w:val="15"/>
        <w:ind w:left="0" w:leftChars="0" w:firstLine="0" w:firstLineChars="0"/>
        <w:rPr>
          <w:rFonts w:hint="eastAsia"/>
          <w:lang w:eastAsia="zh-CN"/>
        </w:rPr>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pPr>
    </w:p>
    <w:p>
      <w:pPr>
        <w:pStyle w:val="15"/>
        <w:ind w:left="0" w:leftChars="0" w:firstLine="0" w:firstLineChars="0"/>
        <w:rPr>
          <w:rFonts w:hint="eastAsia" w:cs="宋体"/>
          <w:b/>
          <w:color w:val="auto"/>
          <w:kern w:val="0"/>
          <w:sz w:val="32"/>
          <w:szCs w:val="32"/>
          <w:lang w:val="en-US" w:eastAsia="zh-CN" w:bidi="ar-SA"/>
        </w:rPr>
      </w:pPr>
      <w:bookmarkStart w:id="41" w:name="_Toc4288_WPSOffice_Level1"/>
      <w:bookmarkStart w:id="42" w:name="_Toc11297"/>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3"/>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p>
        </w:tc>
        <w:tc>
          <w:tcPr>
            <w:tcW w:w="5460" w:type="dxa"/>
            <w:vAlign w:val="center"/>
          </w:tcPr>
          <w:p>
            <w:pPr>
              <w:rPr>
                <w:rFonts w:hint="default" w:ascii="宋体" w:hAnsi="宋体" w:eastAsia="宋体" w:cs="宋体"/>
                <w:color w:val="auto"/>
                <w:sz w:val="21"/>
                <w:szCs w:val="21"/>
                <w:lang w:val="en-US"/>
              </w:rPr>
            </w:pP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4" w:name="_Toc10142_WPSOffice_Level1"/>
      <w:r>
        <w:rPr>
          <w:rFonts w:hint="eastAsia"/>
          <w:b/>
          <w:bCs/>
          <w:color w:val="auto"/>
          <w:sz w:val="28"/>
          <w:szCs w:val="28"/>
        </w:rPr>
        <w:t>供应商基本信息</w:t>
      </w:r>
      <w:bookmarkEnd w:id="54"/>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6" w:name="_Toc31656"/>
      <w:bookmarkStart w:id="57" w:name="_Toc471299104"/>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6"/>
        <w:spacing w:line="360" w:lineRule="auto"/>
        <w:jc w:val="center"/>
        <w:rPr>
          <w:rFonts w:hint="eastAsia" w:ascii="宋体" w:hAnsi="宋体" w:eastAsia="宋体"/>
          <w:color w:val="auto"/>
          <w:highlight w:val="none"/>
        </w:rPr>
      </w:pPr>
      <w:bookmarkStart w:id="58" w:name="_Toc16469"/>
      <w:bookmarkStart w:id="59" w:name="_Toc30884"/>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5507"/>
      <w:bookmarkStart w:id="65" w:name="_Toc256691631"/>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1632"/>
      <w:bookmarkStart w:id="67" w:name="_Toc256695508"/>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1633"/>
      <w:bookmarkStart w:id="69" w:name="_Toc256695509"/>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5510"/>
      <w:bookmarkStart w:id="71"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148501698"/>
      <w:bookmarkStart w:id="76" w:name="_Toc516969098"/>
      <w:bookmarkStart w:id="77" w:name="_Toc3858_WPSOffice_Level1"/>
      <w:r>
        <w:rPr>
          <w:rFonts w:hint="eastAsia"/>
          <w:b/>
          <w:bCs/>
          <w:color w:val="auto"/>
          <w:sz w:val="28"/>
          <w:szCs w:val="28"/>
        </w:rPr>
        <w:t>响应函</w:t>
      </w:r>
      <w:bookmarkEnd w:id="75"/>
      <w:bookmarkEnd w:id="76"/>
      <w:bookmarkEnd w:id="77"/>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8" w:name="_Toc471299106"/>
      <w:bookmarkStart w:id="79" w:name="_Toc417045478"/>
      <w:bookmarkStart w:id="80" w:name="_Toc30711"/>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471299107"/>
      <w:bookmarkStart w:id="85" w:name="_Toc3574"/>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keepNext/>
        <w:keepLines/>
        <w:widowControl w:val="0"/>
        <w:adjustRightInd w:val="0"/>
        <w:spacing w:before="0" w:after="0" w:line="560" w:lineRule="exact"/>
        <w:jc w:val="center"/>
        <w:textAlignment w:val="baseline"/>
        <w:outlineLvl w:val="1"/>
        <w:rPr>
          <w:rFonts w:ascii="宋体" w:hAnsi="宋体" w:eastAsia="宋体" w:cs="宋体"/>
          <w:b/>
          <w:kern w:val="0"/>
          <w:sz w:val="24"/>
          <w:szCs w:val="24"/>
          <w:lang w:val="zh-CN" w:eastAsia="zh-CN" w:bidi="ar-SA"/>
        </w:rPr>
      </w:pPr>
      <w:bookmarkStart w:id="86" w:name="_Toc15421"/>
      <w:bookmarkStart w:id="87" w:name="_Toc25238"/>
      <w:bookmarkStart w:id="88" w:name="_Toc27567"/>
      <w:bookmarkStart w:id="89" w:name="_Toc471299110"/>
      <w:r>
        <w:rPr>
          <w:rFonts w:hint="eastAsia" w:ascii="宋体" w:hAnsi="宋体" w:eastAsia="宋体" w:cs="宋体"/>
          <w:b/>
          <w:kern w:val="0"/>
          <w:sz w:val="24"/>
          <w:szCs w:val="24"/>
          <w:lang w:val="zh-CN" w:eastAsia="zh-CN" w:bidi="ar-SA"/>
        </w:rPr>
        <w:t>响应情况表</w:t>
      </w:r>
      <w:bookmarkEnd w:id="86"/>
      <w:bookmarkEnd w:id="87"/>
    </w:p>
    <w:p>
      <w:pPr>
        <w:jc w:val="center"/>
        <w:rPr>
          <w:rFonts w:ascii="Times New Roman" w:hAnsi="Times New Roman" w:eastAsia="宋体" w:cs="Times New Roman"/>
          <w:bCs/>
          <w:sz w:val="24"/>
          <w:szCs w:val="24"/>
          <w:lang w:val="zh-CN"/>
        </w:rPr>
      </w:pPr>
    </w:p>
    <w:tbl>
      <w:tblPr>
        <w:tblStyle w:val="18"/>
        <w:tblW w:w="903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70"/>
        <w:gridCol w:w="2520"/>
        <w:gridCol w:w="2617"/>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830" w:type="dxa"/>
            <w:gridSpan w:val="3"/>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按询价文件规定填写</w:t>
            </w:r>
          </w:p>
        </w:tc>
        <w:tc>
          <w:tcPr>
            <w:tcW w:w="4200" w:type="dxa"/>
            <w:gridSpan w:val="2"/>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030" w:type="dxa"/>
            <w:gridSpan w:val="5"/>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序号</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品名</w:t>
            </w:r>
          </w:p>
        </w:tc>
        <w:tc>
          <w:tcPr>
            <w:tcW w:w="252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技术规格及配置</w:t>
            </w:r>
          </w:p>
        </w:tc>
        <w:tc>
          <w:tcPr>
            <w:tcW w:w="2617" w:type="dxa"/>
            <w:noWrap w:val="0"/>
            <w:vAlign w:val="center"/>
          </w:tcPr>
          <w:p>
            <w:pPr>
              <w:rPr>
                <w:rFonts w:ascii="宋体" w:hAnsi="宋体" w:eastAsia="宋体" w:cs="宋体"/>
                <w:sz w:val="24"/>
                <w:szCs w:val="24"/>
              </w:rPr>
            </w:pPr>
            <w:r>
              <w:rPr>
                <w:rFonts w:hint="eastAsia" w:ascii="宋体" w:hAnsi="宋体" w:eastAsia="宋体" w:cs="宋体"/>
                <w:sz w:val="24"/>
                <w:szCs w:val="24"/>
              </w:rPr>
              <w:t>品牌、型号、技术规格及配置、材质</w:t>
            </w:r>
          </w:p>
        </w:tc>
        <w:tc>
          <w:tcPr>
            <w:tcW w:w="1583"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30" w:type="dxa"/>
            <w:gridSpan w:val="5"/>
            <w:noWrap w:val="0"/>
            <w:vAlign w:val="center"/>
          </w:tcPr>
          <w:p>
            <w:pPr>
              <w:jc w:val="center"/>
              <w:rPr>
                <w:rFonts w:ascii="宋体" w:hAnsi="宋体" w:eastAsia="宋体" w:cs="宋体"/>
                <w:sz w:val="24"/>
                <w:szCs w:val="24"/>
              </w:rPr>
            </w:pPr>
            <w:r>
              <w:rPr>
                <w:rFonts w:hint="eastAsia" w:ascii="宋体" w:hAnsi="宋体" w:eastAsia="宋体" w:cs="宋体"/>
                <w:b/>
                <w:bCs/>
                <w:sz w:val="24"/>
                <w:szCs w:val="24"/>
              </w:rPr>
              <w:t>第二部分：资信及报价部分响应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序号</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内容</w:t>
            </w:r>
          </w:p>
        </w:tc>
        <w:tc>
          <w:tcPr>
            <w:tcW w:w="252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询价文件要求</w:t>
            </w:r>
          </w:p>
        </w:tc>
        <w:tc>
          <w:tcPr>
            <w:tcW w:w="2617"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响应承诺</w:t>
            </w:r>
          </w:p>
        </w:tc>
        <w:tc>
          <w:tcPr>
            <w:tcW w:w="1583"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供货及安装期限</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1470" w:type="dxa"/>
            <w:noWrap w:val="0"/>
            <w:vAlign w:val="center"/>
          </w:tcPr>
          <w:p>
            <w:pPr>
              <w:rPr>
                <w:rFonts w:ascii="宋体" w:hAnsi="宋体" w:eastAsia="宋体" w:cs="宋体"/>
                <w:sz w:val="24"/>
                <w:szCs w:val="24"/>
              </w:rPr>
            </w:pPr>
            <w:r>
              <w:rPr>
                <w:rFonts w:hint="eastAsia" w:ascii="宋体" w:hAnsi="宋体" w:eastAsia="宋体" w:cs="宋体"/>
                <w:sz w:val="24"/>
                <w:szCs w:val="24"/>
              </w:rPr>
              <w:t>免费质保期</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付款响应</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其他</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bl>
    <w:p>
      <w:pPr>
        <w:snapToGrid w:val="0"/>
        <w:spacing w:line="360" w:lineRule="auto"/>
        <w:rPr>
          <w:rFonts w:ascii="宋体" w:hAnsi="宋体" w:eastAsia="宋体" w:cs="宋体"/>
          <w:sz w:val="24"/>
          <w:szCs w:val="24"/>
        </w:rPr>
      </w:pPr>
    </w:p>
    <w:p>
      <w:pPr>
        <w:snapToGrid w:val="0"/>
        <w:spacing w:line="360" w:lineRule="auto"/>
        <w:rPr>
          <w:rFonts w:ascii="宋体" w:hAnsi="宋体" w:eastAsia="宋体" w:cs="宋体"/>
          <w:b/>
          <w:bCs/>
          <w:sz w:val="24"/>
          <w:szCs w:val="24"/>
        </w:rPr>
      </w:pPr>
      <w:r>
        <w:rPr>
          <w:rFonts w:hint="eastAsia" w:ascii="宋体" w:hAnsi="宋体" w:eastAsia="宋体" w:cs="宋体"/>
          <w:b/>
          <w:bCs/>
          <w:sz w:val="24"/>
          <w:szCs w:val="24"/>
        </w:rPr>
        <w:t>供应商签章：</w:t>
      </w:r>
    </w:p>
    <w:p>
      <w:pPr>
        <w:spacing w:line="360" w:lineRule="auto"/>
        <w:jc w:val="left"/>
        <w:rPr>
          <w:rFonts w:ascii="宋体" w:hAnsi="宋体" w:eastAsia="宋体" w:cs="宋体"/>
          <w:b/>
          <w:bCs/>
          <w:sz w:val="24"/>
          <w:szCs w:val="24"/>
        </w:rPr>
      </w:pPr>
      <w:r>
        <w:rPr>
          <w:rFonts w:hint="eastAsia" w:ascii="宋体" w:hAnsi="宋体" w:eastAsia="宋体" w:cs="宋体"/>
          <w:b/>
          <w:bCs/>
          <w:sz w:val="24"/>
          <w:szCs w:val="24"/>
        </w:rPr>
        <w:t>日期：   年   月  日</w:t>
      </w:r>
    </w:p>
    <w:p>
      <w:pPr>
        <w:spacing w:before="156" w:beforeLines="50" w:after="156" w:afterLines="50" w:line="360" w:lineRule="auto"/>
        <w:rPr>
          <w:rFonts w:ascii="宋体" w:hAnsi="宋体" w:eastAsia="宋体" w:cs="宋体"/>
          <w:sz w:val="24"/>
          <w:szCs w:val="24"/>
        </w:rPr>
      </w:pPr>
    </w:p>
    <w:p>
      <w:pPr>
        <w:spacing w:before="156" w:beforeLines="50" w:after="156" w:afterLines="50" w:line="360" w:lineRule="auto"/>
        <w:rPr>
          <w:rFonts w:hint="eastAsia" w:ascii="宋体" w:hAnsi="宋体" w:eastAsia="宋体" w:cs="宋体"/>
          <w:sz w:val="24"/>
          <w:szCs w:val="24"/>
        </w:rPr>
      </w:pPr>
      <w:r>
        <w:rPr>
          <w:rFonts w:hint="eastAsia" w:ascii="宋体" w:hAnsi="宋体" w:eastAsia="宋体" w:cs="宋体"/>
          <w:sz w:val="24"/>
          <w:szCs w:val="24"/>
        </w:rPr>
        <w:t>注：</w:t>
      </w:r>
    </w:p>
    <w:p>
      <w:pPr>
        <w:spacing w:before="156" w:beforeLines="50" w:after="156" w:afterLines="50" w:line="360" w:lineRule="auto"/>
        <w:rPr>
          <w:rFonts w:ascii="宋体" w:hAnsi="宋体" w:eastAsia="宋体" w:cs="宋体"/>
          <w:bCs/>
          <w:sz w:val="24"/>
          <w:szCs w:val="24"/>
        </w:rPr>
      </w:pPr>
      <w:r>
        <w:rPr>
          <w:rFonts w:hint="eastAsia" w:ascii="宋体" w:hAnsi="宋体" w:eastAsia="宋体" w:cs="宋体"/>
          <w:bCs/>
          <w:sz w:val="24"/>
          <w:szCs w:val="24"/>
        </w:rPr>
        <w:t>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adjustRightInd w:val="0"/>
        <w:snapToGrid w:val="0"/>
        <w:spacing w:line="360" w:lineRule="auto"/>
        <w:rPr>
          <w:rFonts w:ascii="宋体" w:hAnsi="宋体" w:eastAsia="宋体" w:cs="宋体"/>
          <w:bCs/>
          <w:sz w:val="24"/>
          <w:szCs w:val="24"/>
        </w:rPr>
      </w:pPr>
      <w:r>
        <w:rPr>
          <w:rFonts w:hint="eastAsia" w:ascii="宋体" w:hAnsi="宋体" w:eastAsia="宋体" w:cs="宋体"/>
          <w:bCs/>
          <w:sz w:val="24"/>
          <w:szCs w:val="24"/>
        </w:rPr>
        <w:t>2、供应商所供产品如与询价文件要求的规格及配置不一致，则须在上表偏离说明中详细注明。</w:t>
      </w:r>
    </w:p>
    <w:p>
      <w:pPr>
        <w:adjustRightInd w:val="0"/>
        <w:snapToGrid w:val="0"/>
        <w:spacing w:line="360" w:lineRule="auto"/>
        <w:rPr>
          <w:rFonts w:ascii="宋体" w:hAnsi="宋体" w:eastAsia="宋体" w:cs="宋体"/>
          <w:bCs/>
          <w:sz w:val="24"/>
          <w:szCs w:val="24"/>
        </w:rPr>
      </w:pPr>
      <w:r>
        <w:rPr>
          <w:rFonts w:hint="eastAsia" w:ascii="宋体" w:hAnsi="宋体" w:eastAsia="宋体" w:cs="宋体"/>
          <w:bCs/>
          <w:sz w:val="24"/>
          <w:szCs w:val="24"/>
        </w:rPr>
        <w:t>3、响应部分可后附详细说明及技术资料。</w:t>
      </w:r>
    </w:p>
    <w:p>
      <w:pPr>
        <w:rPr>
          <w:rFonts w:hint="eastAsia"/>
        </w:rPr>
      </w:pPr>
    </w:p>
    <w:p>
      <w:pPr>
        <w:pStyle w:val="2"/>
        <w:rPr>
          <w:rFonts w:hint="eastAsia"/>
        </w:rPr>
      </w:pPr>
    </w:p>
    <w:p>
      <w:pPr>
        <w:pStyle w:val="2"/>
        <w:rPr>
          <w:rFonts w:hint="eastAsia"/>
        </w:rPr>
      </w:pPr>
    </w:p>
    <w:p>
      <w:pPr>
        <w:pStyle w:val="2"/>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8"/>
      <w:bookmarkEnd w:id="89"/>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2"/>
        <w:ind w:left="0" w:leftChars="0" w:firstLine="0" w:firstLineChars="0"/>
        <w:rPr>
          <w:rFonts w:hint="eastAsia" w:ascii="宋体" w:hAnsi="宋体" w:cs="宋体"/>
          <w:color w:val="auto"/>
          <w:szCs w:val="21"/>
        </w:rPr>
      </w:pPr>
    </w:p>
    <w:p>
      <w:pPr>
        <w:pStyle w:val="17"/>
        <w:ind w:left="0" w:leftChars="0" w:firstLine="0" w:firstLineChars="0"/>
        <w:rPr>
          <w:rFonts w:hint="eastAsia"/>
          <w:lang w:eastAsia="zh-CN"/>
        </w:rPr>
      </w:pPr>
      <w:bookmarkStart w:id="90" w:name="_Toc32017"/>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1" w:name="_Toc12025_WPSOffice_Level1"/>
      <w:r>
        <w:rPr>
          <w:rFonts w:hint="eastAsia"/>
          <w:b/>
          <w:bCs/>
          <w:color w:val="auto"/>
          <w:sz w:val="28"/>
          <w:szCs w:val="28"/>
          <w:lang w:val="zh-CN"/>
        </w:rPr>
        <w:t>供货、安装、售后服务承诺</w:t>
      </w:r>
      <w:bookmarkEnd w:id="9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2" w:name="_Toc27705"/>
      <w:r>
        <w:rPr>
          <w:rFonts w:hint="eastAsia" w:ascii="宋体" w:hAnsi="宋体" w:eastAsia="宋体" w:cs="宋体"/>
          <w:color w:val="auto"/>
          <w:sz w:val="21"/>
          <w:szCs w:val="21"/>
        </w:rPr>
        <w:t>附件</w:t>
      </w:r>
      <w:bookmarkEnd w:id="9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3" w:name="_Toc1950_WPSOffice_Level1"/>
      <w:r>
        <w:rPr>
          <w:rFonts w:hint="eastAsia"/>
          <w:b/>
          <w:bCs/>
          <w:color w:val="auto"/>
          <w:sz w:val="28"/>
          <w:szCs w:val="28"/>
          <w:lang w:val="zh-CN"/>
        </w:rPr>
        <w:t>询价文件要求和供应商认为需要提供的其它说明和资料</w:t>
      </w:r>
      <w:bookmarkEnd w:id="93"/>
    </w:p>
    <w:p>
      <w:pPr>
        <w:jc w:val="both"/>
        <w:rPr>
          <w:rStyle w:val="39"/>
          <w:rFonts w:hint="eastAsia"/>
          <w:color w:val="auto"/>
          <w:sz w:val="21"/>
          <w:szCs w:val="21"/>
          <w:lang w:val="en-US" w:eastAsia="zh-CN"/>
        </w:rPr>
      </w:pPr>
      <w:bookmarkStart w:id="94" w:name="_Toc19844_WPSOffice_Level1"/>
      <w:bookmarkStart w:id="95" w:name="_Toc3085"/>
    </w:p>
    <w:p>
      <w:pPr>
        <w:jc w:val="both"/>
        <w:rPr>
          <w:rStyle w:val="39"/>
          <w:rFonts w:hint="eastAsia"/>
          <w:color w:val="auto"/>
          <w:sz w:val="21"/>
          <w:szCs w:val="21"/>
          <w:lang w:val="en-US" w:eastAsia="zh-CN"/>
        </w:rPr>
      </w:pPr>
    </w:p>
    <w:bookmarkEnd w:id="94"/>
    <w:bookmarkEnd w:id="95"/>
    <w:p>
      <w:pPr>
        <w:ind w:left="0" w:leftChars="0" w:right="0" w:rightChars="0" w:firstLine="0" w:firstLineChars="0"/>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安徽佛子岭水利水电规划设计有限公司业务车辆采购项目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1744DF"/>
    <w:rsid w:val="015168C2"/>
    <w:rsid w:val="01D35A0A"/>
    <w:rsid w:val="01D72602"/>
    <w:rsid w:val="022B73BF"/>
    <w:rsid w:val="02923D0A"/>
    <w:rsid w:val="0297760C"/>
    <w:rsid w:val="02AA1EE6"/>
    <w:rsid w:val="02C17B34"/>
    <w:rsid w:val="02F85797"/>
    <w:rsid w:val="03150F8F"/>
    <w:rsid w:val="031838E3"/>
    <w:rsid w:val="03A777E0"/>
    <w:rsid w:val="03B00599"/>
    <w:rsid w:val="04777FAA"/>
    <w:rsid w:val="047A1250"/>
    <w:rsid w:val="04831F83"/>
    <w:rsid w:val="04837086"/>
    <w:rsid w:val="048570FC"/>
    <w:rsid w:val="0558683D"/>
    <w:rsid w:val="05665F62"/>
    <w:rsid w:val="056F542D"/>
    <w:rsid w:val="059C0CBD"/>
    <w:rsid w:val="05BB7B33"/>
    <w:rsid w:val="062A252A"/>
    <w:rsid w:val="0644344B"/>
    <w:rsid w:val="065734CB"/>
    <w:rsid w:val="06A80ACF"/>
    <w:rsid w:val="06BE48F4"/>
    <w:rsid w:val="070539D3"/>
    <w:rsid w:val="0713690B"/>
    <w:rsid w:val="07500CD8"/>
    <w:rsid w:val="07550BBC"/>
    <w:rsid w:val="0784433C"/>
    <w:rsid w:val="07BE2903"/>
    <w:rsid w:val="07E42C56"/>
    <w:rsid w:val="07F727F0"/>
    <w:rsid w:val="094825C0"/>
    <w:rsid w:val="09B24D52"/>
    <w:rsid w:val="09F429FB"/>
    <w:rsid w:val="0A056E0E"/>
    <w:rsid w:val="0A372EC7"/>
    <w:rsid w:val="0A381ED7"/>
    <w:rsid w:val="0A6B423D"/>
    <w:rsid w:val="0A6F7AD4"/>
    <w:rsid w:val="0A967446"/>
    <w:rsid w:val="0ADA7309"/>
    <w:rsid w:val="0AEB241F"/>
    <w:rsid w:val="0B37771E"/>
    <w:rsid w:val="0B3A232A"/>
    <w:rsid w:val="0B92029E"/>
    <w:rsid w:val="0BBD26DB"/>
    <w:rsid w:val="0C061911"/>
    <w:rsid w:val="0C717286"/>
    <w:rsid w:val="0C8B3F0F"/>
    <w:rsid w:val="0D162B03"/>
    <w:rsid w:val="0D4A538B"/>
    <w:rsid w:val="0D6E0841"/>
    <w:rsid w:val="0D957933"/>
    <w:rsid w:val="0DA41150"/>
    <w:rsid w:val="0E2B3D85"/>
    <w:rsid w:val="0E7B6D74"/>
    <w:rsid w:val="0EAB242F"/>
    <w:rsid w:val="0F8D6C97"/>
    <w:rsid w:val="0F932AFB"/>
    <w:rsid w:val="10493F0A"/>
    <w:rsid w:val="122B65C1"/>
    <w:rsid w:val="1264252E"/>
    <w:rsid w:val="133A7582"/>
    <w:rsid w:val="133C3075"/>
    <w:rsid w:val="13592465"/>
    <w:rsid w:val="13611A2A"/>
    <w:rsid w:val="13714295"/>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A81ADA"/>
    <w:rsid w:val="16C41FE1"/>
    <w:rsid w:val="16E90795"/>
    <w:rsid w:val="17127177"/>
    <w:rsid w:val="174961DA"/>
    <w:rsid w:val="174F1F7C"/>
    <w:rsid w:val="17597E0D"/>
    <w:rsid w:val="176349E4"/>
    <w:rsid w:val="18392471"/>
    <w:rsid w:val="186E369B"/>
    <w:rsid w:val="18951FC7"/>
    <w:rsid w:val="18B06CB8"/>
    <w:rsid w:val="18BF07B6"/>
    <w:rsid w:val="18C31BA8"/>
    <w:rsid w:val="18E170E3"/>
    <w:rsid w:val="18FB5F6E"/>
    <w:rsid w:val="19080508"/>
    <w:rsid w:val="19750DD6"/>
    <w:rsid w:val="19783115"/>
    <w:rsid w:val="198620A5"/>
    <w:rsid w:val="19996F05"/>
    <w:rsid w:val="1A1D00D5"/>
    <w:rsid w:val="1A331B52"/>
    <w:rsid w:val="1B255937"/>
    <w:rsid w:val="1B7D11A5"/>
    <w:rsid w:val="1BD82076"/>
    <w:rsid w:val="1BED2EA5"/>
    <w:rsid w:val="1BF87562"/>
    <w:rsid w:val="1C027FEB"/>
    <w:rsid w:val="1C230B2D"/>
    <w:rsid w:val="1C996F6B"/>
    <w:rsid w:val="1CA0108A"/>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F2B37"/>
    <w:rsid w:val="212E3565"/>
    <w:rsid w:val="21336370"/>
    <w:rsid w:val="2134647A"/>
    <w:rsid w:val="213B0D30"/>
    <w:rsid w:val="215167E4"/>
    <w:rsid w:val="21543BEE"/>
    <w:rsid w:val="21957187"/>
    <w:rsid w:val="21D50B53"/>
    <w:rsid w:val="21F577EF"/>
    <w:rsid w:val="22067FA4"/>
    <w:rsid w:val="22175379"/>
    <w:rsid w:val="221B322D"/>
    <w:rsid w:val="22B257B3"/>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437E0E"/>
    <w:rsid w:val="26943C3F"/>
    <w:rsid w:val="26965EC8"/>
    <w:rsid w:val="26A33FC0"/>
    <w:rsid w:val="27513276"/>
    <w:rsid w:val="2756117E"/>
    <w:rsid w:val="27E62833"/>
    <w:rsid w:val="27F140B5"/>
    <w:rsid w:val="280C55E5"/>
    <w:rsid w:val="288E4477"/>
    <w:rsid w:val="28B95567"/>
    <w:rsid w:val="296C5062"/>
    <w:rsid w:val="298B1F17"/>
    <w:rsid w:val="2A9873BD"/>
    <w:rsid w:val="2A987BB9"/>
    <w:rsid w:val="2AFD66B5"/>
    <w:rsid w:val="2B1C14C3"/>
    <w:rsid w:val="2BAE2C9D"/>
    <w:rsid w:val="2BD3447D"/>
    <w:rsid w:val="2BD6049A"/>
    <w:rsid w:val="2BF44CEF"/>
    <w:rsid w:val="2C6E3168"/>
    <w:rsid w:val="2D187A52"/>
    <w:rsid w:val="2D254D25"/>
    <w:rsid w:val="2D2B28B3"/>
    <w:rsid w:val="2D743811"/>
    <w:rsid w:val="2D751276"/>
    <w:rsid w:val="2D897B5C"/>
    <w:rsid w:val="2DC91B5A"/>
    <w:rsid w:val="2DD172D8"/>
    <w:rsid w:val="2DD57ECD"/>
    <w:rsid w:val="2E0C6EE9"/>
    <w:rsid w:val="2E1267B9"/>
    <w:rsid w:val="2E502466"/>
    <w:rsid w:val="2EA944F0"/>
    <w:rsid w:val="2ED51A6E"/>
    <w:rsid w:val="2F1C57A5"/>
    <w:rsid w:val="2F2A48A2"/>
    <w:rsid w:val="2FA7707A"/>
    <w:rsid w:val="2FBA788B"/>
    <w:rsid w:val="2FEA7FA2"/>
    <w:rsid w:val="2FF3003F"/>
    <w:rsid w:val="30091271"/>
    <w:rsid w:val="3019462B"/>
    <w:rsid w:val="306378EA"/>
    <w:rsid w:val="30795E50"/>
    <w:rsid w:val="30C735A9"/>
    <w:rsid w:val="313E1763"/>
    <w:rsid w:val="31F9233C"/>
    <w:rsid w:val="32661595"/>
    <w:rsid w:val="328D671D"/>
    <w:rsid w:val="32C06DE2"/>
    <w:rsid w:val="32DB40DB"/>
    <w:rsid w:val="339B7435"/>
    <w:rsid w:val="33B14AD2"/>
    <w:rsid w:val="33E1101F"/>
    <w:rsid w:val="340E6C58"/>
    <w:rsid w:val="34154052"/>
    <w:rsid w:val="34324321"/>
    <w:rsid w:val="349D31D8"/>
    <w:rsid w:val="34A55A3F"/>
    <w:rsid w:val="34CB67DC"/>
    <w:rsid w:val="34D536C4"/>
    <w:rsid w:val="34E95FF5"/>
    <w:rsid w:val="350F4B5F"/>
    <w:rsid w:val="359112A2"/>
    <w:rsid w:val="35A16482"/>
    <w:rsid w:val="35CE143F"/>
    <w:rsid w:val="361D3C18"/>
    <w:rsid w:val="36485BE8"/>
    <w:rsid w:val="36503A40"/>
    <w:rsid w:val="368E0EDE"/>
    <w:rsid w:val="36DA37D0"/>
    <w:rsid w:val="36DF7A21"/>
    <w:rsid w:val="36F40FE9"/>
    <w:rsid w:val="371549D7"/>
    <w:rsid w:val="37DE4003"/>
    <w:rsid w:val="37DF419C"/>
    <w:rsid w:val="37F90F6A"/>
    <w:rsid w:val="387144D5"/>
    <w:rsid w:val="38B45EFC"/>
    <w:rsid w:val="38D036A4"/>
    <w:rsid w:val="38D17E87"/>
    <w:rsid w:val="38EA21D0"/>
    <w:rsid w:val="38F723B6"/>
    <w:rsid w:val="39237904"/>
    <w:rsid w:val="39792C93"/>
    <w:rsid w:val="39841BE4"/>
    <w:rsid w:val="3AAE5E82"/>
    <w:rsid w:val="3AE97D6B"/>
    <w:rsid w:val="3B09701F"/>
    <w:rsid w:val="3B340E52"/>
    <w:rsid w:val="3B575F99"/>
    <w:rsid w:val="3B7148FD"/>
    <w:rsid w:val="3B8E3C6C"/>
    <w:rsid w:val="3B987D39"/>
    <w:rsid w:val="3BF30443"/>
    <w:rsid w:val="3C1C5FDB"/>
    <w:rsid w:val="3C56293E"/>
    <w:rsid w:val="3C6D7B72"/>
    <w:rsid w:val="3C967255"/>
    <w:rsid w:val="3CAA2A67"/>
    <w:rsid w:val="3CD61F9A"/>
    <w:rsid w:val="3D457CC8"/>
    <w:rsid w:val="3D5C50E1"/>
    <w:rsid w:val="3E046DF3"/>
    <w:rsid w:val="3E4A7D54"/>
    <w:rsid w:val="3E50419B"/>
    <w:rsid w:val="3E544A2D"/>
    <w:rsid w:val="3E6E5460"/>
    <w:rsid w:val="3E9D780F"/>
    <w:rsid w:val="3F570499"/>
    <w:rsid w:val="3FDD0071"/>
    <w:rsid w:val="40871F18"/>
    <w:rsid w:val="408F2C22"/>
    <w:rsid w:val="40B4201E"/>
    <w:rsid w:val="40B4502A"/>
    <w:rsid w:val="40D00173"/>
    <w:rsid w:val="41132993"/>
    <w:rsid w:val="41C77480"/>
    <w:rsid w:val="41DD49C0"/>
    <w:rsid w:val="4260727A"/>
    <w:rsid w:val="428141CF"/>
    <w:rsid w:val="42D11E1F"/>
    <w:rsid w:val="42ED6ACA"/>
    <w:rsid w:val="431D644D"/>
    <w:rsid w:val="43685E08"/>
    <w:rsid w:val="43DD3193"/>
    <w:rsid w:val="440C105E"/>
    <w:rsid w:val="446308DB"/>
    <w:rsid w:val="44A83992"/>
    <w:rsid w:val="44D74C5B"/>
    <w:rsid w:val="45241E78"/>
    <w:rsid w:val="458F0A67"/>
    <w:rsid w:val="459044BE"/>
    <w:rsid w:val="459907ED"/>
    <w:rsid w:val="45FC1F89"/>
    <w:rsid w:val="46447AD0"/>
    <w:rsid w:val="4667667C"/>
    <w:rsid w:val="46CE47FB"/>
    <w:rsid w:val="46FE1966"/>
    <w:rsid w:val="47297854"/>
    <w:rsid w:val="47607155"/>
    <w:rsid w:val="47AD1197"/>
    <w:rsid w:val="47BF356A"/>
    <w:rsid w:val="47ED349E"/>
    <w:rsid w:val="48127EBE"/>
    <w:rsid w:val="48C40DA6"/>
    <w:rsid w:val="48D30C8F"/>
    <w:rsid w:val="48DE1DCA"/>
    <w:rsid w:val="48EE5384"/>
    <w:rsid w:val="48F93679"/>
    <w:rsid w:val="493E0515"/>
    <w:rsid w:val="49665DCB"/>
    <w:rsid w:val="498C5E4B"/>
    <w:rsid w:val="49974E74"/>
    <w:rsid w:val="4A0E2871"/>
    <w:rsid w:val="4A4B552C"/>
    <w:rsid w:val="4A4D2829"/>
    <w:rsid w:val="4A785C33"/>
    <w:rsid w:val="4A7D13BA"/>
    <w:rsid w:val="4AAE72B9"/>
    <w:rsid w:val="4AED40D1"/>
    <w:rsid w:val="4B4F020D"/>
    <w:rsid w:val="4B613D8A"/>
    <w:rsid w:val="4BDA24DF"/>
    <w:rsid w:val="4C1A3E9F"/>
    <w:rsid w:val="4C347DEE"/>
    <w:rsid w:val="4C68185E"/>
    <w:rsid w:val="4CA91531"/>
    <w:rsid w:val="4CC170FC"/>
    <w:rsid w:val="4D18297E"/>
    <w:rsid w:val="4D291759"/>
    <w:rsid w:val="4D6D2BD7"/>
    <w:rsid w:val="4D757618"/>
    <w:rsid w:val="4E825788"/>
    <w:rsid w:val="4E9F52AD"/>
    <w:rsid w:val="4EAA6492"/>
    <w:rsid w:val="4F9010E9"/>
    <w:rsid w:val="4FF765D1"/>
    <w:rsid w:val="50106576"/>
    <w:rsid w:val="50345C2D"/>
    <w:rsid w:val="50677BFC"/>
    <w:rsid w:val="51373F3D"/>
    <w:rsid w:val="517E7C7E"/>
    <w:rsid w:val="518547B6"/>
    <w:rsid w:val="519F44C2"/>
    <w:rsid w:val="51AD6F1E"/>
    <w:rsid w:val="523E55B6"/>
    <w:rsid w:val="52AD0B16"/>
    <w:rsid w:val="52DF5542"/>
    <w:rsid w:val="52F7398F"/>
    <w:rsid w:val="5492580D"/>
    <w:rsid w:val="54A309A3"/>
    <w:rsid w:val="54B56A54"/>
    <w:rsid w:val="55042093"/>
    <w:rsid w:val="558001AF"/>
    <w:rsid w:val="558D66D2"/>
    <w:rsid w:val="55AE7DE8"/>
    <w:rsid w:val="55AF41F5"/>
    <w:rsid w:val="55DD401C"/>
    <w:rsid w:val="55FB7588"/>
    <w:rsid w:val="56530A5B"/>
    <w:rsid w:val="565A0E6B"/>
    <w:rsid w:val="567E45CB"/>
    <w:rsid w:val="56DB50A6"/>
    <w:rsid w:val="57562B24"/>
    <w:rsid w:val="57B448C9"/>
    <w:rsid w:val="57D256C3"/>
    <w:rsid w:val="57FF690C"/>
    <w:rsid w:val="581B40F7"/>
    <w:rsid w:val="58565344"/>
    <w:rsid w:val="58667ACD"/>
    <w:rsid w:val="58695F8B"/>
    <w:rsid w:val="589543F5"/>
    <w:rsid w:val="591A2410"/>
    <w:rsid w:val="593E4154"/>
    <w:rsid w:val="59423AF1"/>
    <w:rsid w:val="59E00D64"/>
    <w:rsid w:val="5A4E05A7"/>
    <w:rsid w:val="5A6D49B6"/>
    <w:rsid w:val="5A9864B3"/>
    <w:rsid w:val="5B282082"/>
    <w:rsid w:val="5B7075D7"/>
    <w:rsid w:val="5B863BCB"/>
    <w:rsid w:val="5BA07BB6"/>
    <w:rsid w:val="5BA3057C"/>
    <w:rsid w:val="5BBE35F6"/>
    <w:rsid w:val="5C3E5A4E"/>
    <w:rsid w:val="5CFB63ED"/>
    <w:rsid w:val="5D0C73DB"/>
    <w:rsid w:val="5D1E4502"/>
    <w:rsid w:val="5D273630"/>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651FB9"/>
    <w:rsid w:val="60AB1BEE"/>
    <w:rsid w:val="61456042"/>
    <w:rsid w:val="615E5718"/>
    <w:rsid w:val="61705B21"/>
    <w:rsid w:val="61731D75"/>
    <w:rsid w:val="61845E20"/>
    <w:rsid w:val="618D0E1A"/>
    <w:rsid w:val="619C1CA6"/>
    <w:rsid w:val="61AC4109"/>
    <w:rsid w:val="61F85938"/>
    <w:rsid w:val="61FF653E"/>
    <w:rsid w:val="625F350F"/>
    <w:rsid w:val="629D1B22"/>
    <w:rsid w:val="62FC7518"/>
    <w:rsid w:val="63050313"/>
    <w:rsid w:val="630B138C"/>
    <w:rsid w:val="631D3EFA"/>
    <w:rsid w:val="632B4C04"/>
    <w:rsid w:val="63364B4C"/>
    <w:rsid w:val="63637DD7"/>
    <w:rsid w:val="639C65AB"/>
    <w:rsid w:val="63B321AB"/>
    <w:rsid w:val="63CE30A4"/>
    <w:rsid w:val="63E8055D"/>
    <w:rsid w:val="63F05C52"/>
    <w:rsid w:val="64AD138F"/>
    <w:rsid w:val="64BA0E02"/>
    <w:rsid w:val="64FC4735"/>
    <w:rsid w:val="651C46B8"/>
    <w:rsid w:val="65311886"/>
    <w:rsid w:val="65502555"/>
    <w:rsid w:val="65520F7C"/>
    <w:rsid w:val="65771F5A"/>
    <w:rsid w:val="65901E03"/>
    <w:rsid w:val="667629CA"/>
    <w:rsid w:val="668101EB"/>
    <w:rsid w:val="66B8521A"/>
    <w:rsid w:val="66F918C9"/>
    <w:rsid w:val="676476D8"/>
    <w:rsid w:val="678154B0"/>
    <w:rsid w:val="67E14E94"/>
    <w:rsid w:val="68211B85"/>
    <w:rsid w:val="68560087"/>
    <w:rsid w:val="687F004A"/>
    <w:rsid w:val="68BA3798"/>
    <w:rsid w:val="68DC7583"/>
    <w:rsid w:val="68F105A4"/>
    <w:rsid w:val="690D0368"/>
    <w:rsid w:val="697D3D8D"/>
    <w:rsid w:val="69EC2952"/>
    <w:rsid w:val="69F4791E"/>
    <w:rsid w:val="6A47529D"/>
    <w:rsid w:val="6A6A50DD"/>
    <w:rsid w:val="6ADA7DA5"/>
    <w:rsid w:val="6AF61310"/>
    <w:rsid w:val="6AFF1193"/>
    <w:rsid w:val="6B225547"/>
    <w:rsid w:val="6B263DBA"/>
    <w:rsid w:val="6B413A50"/>
    <w:rsid w:val="6B5F1F9E"/>
    <w:rsid w:val="6B6A054F"/>
    <w:rsid w:val="6B6D3148"/>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EF56351"/>
    <w:rsid w:val="6F343FCD"/>
    <w:rsid w:val="6F5632F9"/>
    <w:rsid w:val="6F593876"/>
    <w:rsid w:val="6F643911"/>
    <w:rsid w:val="6F6D24C1"/>
    <w:rsid w:val="6F976846"/>
    <w:rsid w:val="6FB45A58"/>
    <w:rsid w:val="6FB71515"/>
    <w:rsid w:val="704749E2"/>
    <w:rsid w:val="707E77DD"/>
    <w:rsid w:val="715609FF"/>
    <w:rsid w:val="716A72F3"/>
    <w:rsid w:val="71805BCB"/>
    <w:rsid w:val="71A46547"/>
    <w:rsid w:val="72226A91"/>
    <w:rsid w:val="72815C13"/>
    <w:rsid w:val="73654805"/>
    <w:rsid w:val="73BA01A0"/>
    <w:rsid w:val="73D81B5D"/>
    <w:rsid w:val="745A5C35"/>
    <w:rsid w:val="74D401BF"/>
    <w:rsid w:val="75A769E0"/>
    <w:rsid w:val="75FB1AD5"/>
    <w:rsid w:val="762411EC"/>
    <w:rsid w:val="76911B4D"/>
    <w:rsid w:val="76977A33"/>
    <w:rsid w:val="76E87B64"/>
    <w:rsid w:val="776D2CC4"/>
    <w:rsid w:val="77AF078E"/>
    <w:rsid w:val="77EC0CA0"/>
    <w:rsid w:val="780452EF"/>
    <w:rsid w:val="781077BF"/>
    <w:rsid w:val="782F0227"/>
    <w:rsid w:val="78397A44"/>
    <w:rsid w:val="78887365"/>
    <w:rsid w:val="789C2226"/>
    <w:rsid w:val="78CC4196"/>
    <w:rsid w:val="78DF200C"/>
    <w:rsid w:val="78F92F7D"/>
    <w:rsid w:val="78FF6FF6"/>
    <w:rsid w:val="791B59B6"/>
    <w:rsid w:val="7927654F"/>
    <w:rsid w:val="793D2F2B"/>
    <w:rsid w:val="794851E5"/>
    <w:rsid w:val="794F7F35"/>
    <w:rsid w:val="79B832CB"/>
    <w:rsid w:val="79F628A4"/>
    <w:rsid w:val="7A1A522E"/>
    <w:rsid w:val="7A2B2683"/>
    <w:rsid w:val="7A482E43"/>
    <w:rsid w:val="7A686D7F"/>
    <w:rsid w:val="7A9E561B"/>
    <w:rsid w:val="7ABD69E5"/>
    <w:rsid w:val="7BCB12F8"/>
    <w:rsid w:val="7BF62D7B"/>
    <w:rsid w:val="7C0F0429"/>
    <w:rsid w:val="7C7C0782"/>
    <w:rsid w:val="7D066453"/>
    <w:rsid w:val="7D196BB9"/>
    <w:rsid w:val="7D460C55"/>
    <w:rsid w:val="7D4C3F14"/>
    <w:rsid w:val="7D541A03"/>
    <w:rsid w:val="7D6A6C42"/>
    <w:rsid w:val="7DC86EB2"/>
    <w:rsid w:val="7DFA334B"/>
    <w:rsid w:val="7E015CAC"/>
    <w:rsid w:val="7E1572BA"/>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9"/>
    <w:next w:val="15"/>
    <w:qFormat/>
    <w:uiPriority w:val="0"/>
    <w:pPr>
      <w:spacing w:line="360" w:lineRule="auto"/>
      <w:jc w:val="left"/>
    </w:pPr>
    <w:rPr>
      <w:rFonts w:cs="宋体"/>
      <w:sz w:val="28"/>
      <w:szCs w:val="2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6"/>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7"/>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11871</Words>
  <Characters>12650</Characters>
  <Lines>0</Lines>
  <Paragraphs>0</Paragraphs>
  <TotalTime>0</TotalTime>
  <ScaleCrop>false</ScaleCrop>
  <LinksUpToDate>false</LinksUpToDate>
  <CharactersWithSpaces>13852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2021-09-27T06:59:00Z</cp:lastPrinted>
  <dcterms:modified xsi:type="dcterms:W3CDTF">2022-02-16T02:32:53Z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0637A2BF554242B2AA7E1FC3249303DA</vt:lpwstr>
  </property>
</Properties>
</file>