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ind w:firstLine="0" w:firstLineChars="0"/>
        <w:rPr>
          <w:rStyle w:val="32"/>
          <w:sz w:val="21"/>
          <w:highlight w:val="none"/>
        </w:rPr>
      </w:pPr>
    </w:p>
    <w:p>
      <w:pPr>
        <w:widowControl/>
        <w:spacing w:line="312" w:lineRule="auto"/>
        <w:ind w:firstLineChars="0"/>
        <w:jc w:val="center"/>
        <w:textAlignment w:val="baseline"/>
        <w:rPr>
          <w:rStyle w:val="32"/>
          <w:rFonts w:hint="eastAsia" w:ascii="黑体" w:hAnsi="黑体" w:eastAsia="黑体" w:cs="黑体"/>
          <w:sz w:val="72"/>
          <w:szCs w:val="72"/>
          <w:highlight w:val="none"/>
          <w:lang w:val="en-US" w:eastAsia="zh-CN" w:bidi="ar-SA"/>
        </w:rPr>
      </w:pPr>
      <w:r>
        <w:rPr>
          <w:rStyle w:val="32"/>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(服务类)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2"/>
          <w:rFonts w:hint="eastAsia" w:ascii="黑体" w:hAnsi="黑体" w:eastAsia="黑体" w:cs="黑体"/>
          <w:b/>
          <w:bCs/>
          <w:sz w:val="30"/>
          <w:szCs w:val="30"/>
          <w:highlight w:val="none"/>
          <w:lang w:val="en-US" w:eastAsia="zh-CN" w:bidi="ar-SA"/>
        </w:rPr>
      </w:pPr>
    </w:p>
    <w:p>
      <w:pPr>
        <w:pStyle w:val="27"/>
        <w:widowControl/>
        <w:ind w:left="0" w:leftChars="0" w:firstLine="1440" w:firstLineChars="4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采购编号：DBSCG-2021-203</w:t>
      </w:r>
    </w:p>
    <w:p>
      <w:pPr>
        <w:spacing w:line="300" w:lineRule="auto"/>
        <w:ind w:left="3234" w:leftChars="652" w:hanging="1800" w:hangingChars="5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项目名称：霍山县殡仪馆和城市公益性公墓一期后续配套工程EPC项目围墙工程</w:t>
      </w:r>
    </w:p>
    <w:p>
      <w:pPr>
        <w:widowControl/>
        <w:spacing w:line="312" w:lineRule="auto"/>
        <w:ind w:left="0" w:leftChars="0" w:firstLine="1440" w:firstLineChars="400"/>
        <w:jc w:val="left"/>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编制时间：2021年09月</w:t>
      </w:r>
    </w:p>
    <w:p>
      <w:pPr>
        <w:pStyle w:val="50"/>
        <w:ind w:firstLine="420"/>
        <w:rPr>
          <w:rStyle w:val="32"/>
          <w:sz w:val="21"/>
          <w:highlight w:val="none"/>
        </w:rPr>
      </w:pPr>
    </w:p>
    <w:p>
      <w:pPr>
        <w:spacing w:line="240" w:lineRule="auto"/>
        <w:ind w:firstLine="0" w:firstLineChars="0"/>
        <w:jc w:val="center"/>
        <w:rPr>
          <w:rStyle w:val="32"/>
          <w:rFonts w:cs="Times New Roman"/>
          <w:b/>
          <w:bCs/>
          <w:sz w:val="40"/>
          <w:szCs w:val="36"/>
          <w:highlight w:val="none"/>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2"/>
          <w:cols w:space="425" w:num="1"/>
          <w:docGrid w:linePitch="312" w:charSpace="0"/>
        </w:sectPr>
      </w:pPr>
    </w:p>
    <w:p>
      <w:pPr>
        <w:spacing w:line="240" w:lineRule="auto"/>
        <w:ind w:firstLine="0" w:firstLineChars="0"/>
        <w:jc w:val="center"/>
        <w:rPr>
          <w:rStyle w:val="32"/>
          <w:rFonts w:cs="Times New Roman"/>
          <w:b/>
          <w:bCs/>
          <w:sz w:val="44"/>
          <w:szCs w:val="36"/>
          <w:highlight w:val="none"/>
        </w:rPr>
      </w:pPr>
      <w:r>
        <w:rPr>
          <w:rStyle w:val="32"/>
          <w:rFonts w:cs="Times New Roman"/>
          <w:b/>
          <w:bCs/>
          <w:sz w:val="40"/>
          <w:szCs w:val="36"/>
          <w:highlight w:val="none"/>
        </w:rPr>
        <w:t>目 录</w:t>
      </w:r>
    </w:p>
    <w:p>
      <w:pPr>
        <w:pStyle w:val="75"/>
        <w:tabs>
          <w:tab w:val="right" w:leader="dot" w:pos="9072"/>
        </w:tabs>
        <w:rPr>
          <w:rStyle w:val="32"/>
          <w:highlight w:val="none"/>
        </w:rPr>
      </w:pPr>
    </w:p>
    <w:p>
      <w:pPr>
        <w:pStyle w:val="60"/>
        <w:tabs>
          <w:tab w:val="right" w:leader="dot" w:pos="9062"/>
        </w:tabs>
        <w:ind w:left="442" w:hanging="442"/>
        <w:rPr>
          <w:rStyle w:val="32"/>
          <w:rFonts w:ascii="Calibri" w:hAnsi="Calibri"/>
          <w:b/>
          <w:bCs w:val="0"/>
          <w:caps w:val="0"/>
          <w:kern w:val="2"/>
          <w:sz w:val="28"/>
          <w:szCs w:val="32"/>
          <w:highlight w:val="none"/>
        </w:rPr>
      </w:pPr>
      <w:r>
        <w:rPr>
          <w:rStyle w:val="22"/>
          <w:b/>
          <w:bCs w:val="0"/>
          <w:sz w:val="22"/>
          <w:szCs w:val="22"/>
          <w:highlight w:val="none"/>
        </w:rPr>
        <w:t xml:space="preserve">第一章 </w:t>
      </w:r>
      <w:r>
        <w:rPr>
          <w:rStyle w:val="22"/>
          <w:rFonts w:hint="eastAsia"/>
          <w:b/>
          <w:bCs w:val="0"/>
          <w:sz w:val="22"/>
          <w:szCs w:val="22"/>
          <w:highlight w:val="none"/>
        </w:rPr>
        <w:t xml:space="preserve"> </w:t>
      </w:r>
      <w:r>
        <w:rPr>
          <w:rStyle w:val="22"/>
          <w:b/>
          <w:bCs w:val="0"/>
          <w:sz w:val="22"/>
          <w:szCs w:val="22"/>
          <w:highlight w:val="none"/>
        </w:rPr>
        <w:t>询比公告</w:t>
      </w:r>
      <w:r>
        <w:rPr>
          <w:rStyle w:val="32"/>
          <w:b/>
          <w:bCs w:val="0"/>
          <w:sz w:val="24"/>
          <w:szCs w:val="24"/>
          <w:highlight w:val="none"/>
        </w:rPr>
        <w:tab/>
      </w:r>
      <w:r>
        <w:rPr>
          <w:rStyle w:val="32"/>
          <w:rFonts w:hint="eastAsia"/>
          <w:b/>
          <w:bCs w:val="0"/>
          <w:sz w:val="24"/>
          <w:szCs w:val="24"/>
          <w:highlight w:val="none"/>
        </w:rPr>
        <w:t>3</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 xml:space="preserve">第二章  </w:t>
      </w:r>
      <w:r>
        <w:rPr>
          <w:rStyle w:val="22"/>
          <w:rFonts w:hint="eastAsia"/>
          <w:b/>
          <w:bCs w:val="0"/>
          <w:sz w:val="22"/>
          <w:szCs w:val="22"/>
          <w:highlight w:val="none"/>
        </w:rPr>
        <w:t>供应商</w:t>
      </w:r>
      <w:r>
        <w:rPr>
          <w:rStyle w:val="22"/>
          <w:b/>
          <w:bCs w:val="0"/>
          <w:sz w:val="22"/>
          <w:szCs w:val="22"/>
          <w:highlight w:val="none"/>
        </w:rPr>
        <w:t>须知</w:t>
      </w:r>
      <w:r>
        <w:rPr>
          <w:rStyle w:val="32"/>
          <w:b/>
          <w:bCs w:val="0"/>
          <w:sz w:val="24"/>
          <w:szCs w:val="24"/>
          <w:highlight w:val="none"/>
        </w:rPr>
        <w:tab/>
      </w:r>
      <w:r>
        <w:rPr>
          <w:rStyle w:val="32"/>
          <w:rFonts w:hint="eastAsia"/>
          <w:b/>
          <w:bCs w:val="0"/>
          <w:sz w:val="24"/>
          <w:szCs w:val="24"/>
          <w:highlight w:val="none"/>
          <w:lang w:val="en-US" w:eastAsia="zh-CN"/>
        </w:rPr>
        <w:t>5</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第三章  评审办法</w:t>
      </w:r>
      <w:r>
        <w:rPr>
          <w:rStyle w:val="32"/>
          <w:b/>
          <w:bCs w:val="0"/>
          <w:sz w:val="24"/>
          <w:szCs w:val="24"/>
          <w:highlight w:val="none"/>
        </w:rPr>
        <w:tab/>
      </w:r>
      <w:r>
        <w:rPr>
          <w:rStyle w:val="32"/>
          <w:rFonts w:hint="eastAsia"/>
          <w:b/>
          <w:bCs w:val="0"/>
          <w:sz w:val="24"/>
          <w:szCs w:val="24"/>
          <w:highlight w:val="none"/>
          <w:lang w:val="en-US" w:eastAsia="zh-CN"/>
        </w:rPr>
        <w:t>9</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 xml:space="preserve">第四章  </w:t>
      </w:r>
      <w:r>
        <w:rPr>
          <w:rStyle w:val="22"/>
          <w:rFonts w:hint="eastAsia"/>
          <w:b/>
          <w:bCs w:val="0"/>
          <w:sz w:val="22"/>
          <w:szCs w:val="22"/>
          <w:highlight w:val="none"/>
        </w:rPr>
        <w:t>服务</w:t>
      </w:r>
      <w:r>
        <w:rPr>
          <w:rStyle w:val="22"/>
          <w:b/>
          <w:bCs w:val="0"/>
          <w:sz w:val="22"/>
          <w:szCs w:val="22"/>
          <w:highlight w:val="none"/>
        </w:rPr>
        <w:t>需求</w:t>
      </w:r>
      <w:r>
        <w:rPr>
          <w:rStyle w:val="32"/>
          <w:b/>
          <w:bCs w:val="0"/>
          <w:sz w:val="24"/>
          <w:szCs w:val="24"/>
          <w:highlight w:val="none"/>
        </w:rPr>
        <w:tab/>
      </w:r>
      <w:r>
        <w:rPr>
          <w:rStyle w:val="32"/>
          <w:rFonts w:hint="eastAsia"/>
          <w:b/>
          <w:bCs w:val="0"/>
          <w:sz w:val="24"/>
          <w:szCs w:val="24"/>
          <w:highlight w:val="none"/>
          <w:lang w:val="en-US" w:eastAsia="zh-CN"/>
        </w:rPr>
        <w:t>11</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第五章  询比文件格式</w:t>
      </w:r>
      <w:r>
        <w:rPr>
          <w:rStyle w:val="32"/>
          <w:b/>
          <w:bCs w:val="0"/>
          <w:sz w:val="24"/>
          <w:szCs w:val="24"/>
          <w:highlight w:val="none"/>
        </w:rPr>
        <w:tab/>
      </w:r>
      <w:r>
        <w:rPr>
          <w:rStyle w:val="32"/>
          <w:rFonts w:hint="eastAsia"/>
          <w:b/>
          <w:bCs w:val="0"/>
          <w:sz w:val="24"/>
          <w:szCs w:val="24"/>
          <w:highlight w:val="none"/>
          <w:lang w:val="en-US" w:eastAsia="zh-CN"/>
        </w:rPr>
        <w:t>12</w:t>
      </w:r>
    </w:p>
    <w:p>
      <w:pPr>
        <w:pStyle w:val="75"/>
        <w:tabs>
          <w:tab w:val="right" w:leader="dot" w:pos="9072"/>
        </w:tabs>
        <w:rPr>
          <w:rStyle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pStyle w:val="50"/>
        <w:tabs>
          <w:tab w:val="left" w:pos="6392"/>
        </w:tabs>
        <w:spacing w:line="400" w:lineRule="exact"/>
        <w:ind w:firstLine="640"/>
        <w:rPr>
          <w:rStyle w:val="32"/>
          <w:rFonts w:ascii="黑体" w:hAnsi="黑体" w:eastAsia="黑体"/>
          <w:kern w:val="0"/>
          <w:sz w:val="32"/>
          <w:szCs w:val="32"/>
          <w:highlight w:val="none"/>
        </w:rPr>
      </w:pPr>
      <w:r>
        <w:rPr>
          <w:rStyle w:val="32"/>
          <w:rFonts w:ascii="黑体" w:hAnsi="黑体" w:eastAsia="黑体"/>
          <w:kern w:val="0"/>
          <w:sz w:val="32"/>
          <w:szCs w:val="32"/>
          <w:highlight w:val="none"/>
        </w:rPr>
        <w:tab/>
      </w: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sectPr>
          <w:footerReference r:id="rId11" w:type="default"/>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1"/>
          <w:cols w:space="425" w:num="1"/>
          <w:docGrid w:linePitch="312" w:charSpace="0"/>
        </w:sectPr>
      </w:pPr>
    </w:p>
    <w:p>
      <w:pPr>
        <w:pStyle w:val="50"/>
        <w:spacing w:after="0" w:line="460" w:lineRule="exact"/>
        <w:ind w:firstLine="0" w:firstLineChars="0"/>
        <w:jc w:val="center"/>
        <w:rPr>
          <w:rStyle w:val="32"/>
          <w:rFonts w:ascii="黑体" w:hAnsi="黑体" w:eastAsia="黑体" w:cs="黑体"/>
          <w:bCs/>
          <w:kern w:val="44"/>
          <w:sz w:val="36"/>
          <w:szCs w:val="36"/>
          <w:highlight w:val="none"/>
        </w:rPr>
      </w:pPr>
      <w:r>
        <w:rPr>
          <w:rStyle w:val="32"/>
          <w:rFonts w:ascii="黑体" w:hAnsi="黑体" w:eastAsia="黑体" w:cs="黑体"/>
          <w:bCs/>
          <w:kern w:val="44"/>
          <w:sz w:val="36"/>
          <w:szCs w:val="36"/>
          <w:highlight w:val="none"/>
        </w:rPr>
        <w:t>第一章</w:t>
      </w:r>
      <w:r>
        <w:rPr>
          <w:rStyle w:val="32"/>
          <w:rFonts w:hint="eastAsia" w:ascii="黑体" w:hAnsi="黑体" w:eastAsia="黑体" w:cs="黑体"/>
          <w:bCs/>
          <w:kern w:val="44"/>
          <w:sz w:val="36"/>
          <w:szCs w:val="36"/>
          <w:highlight w:val="none"/>
        </w:rPr>
        <w:t xml:space="preserve"> </w:t>
      </w:r>
      <w:r>
        <w:rPr>
          <w:rStyle w:val="32"/>
          <w:rFonts w:ascii="黑体" w:hAnsi="黑体" w:eastAsia="黑体" w:cs="黑体"/>
          <w:bCs/>
          <w:kern w:val="44"/>
          <w:sz w:val="36"/>
          <w:szCs w:val="36"/>
          <w:highlight w:val="none"/>
        </w:rPr>
        <w:t>询比公告</w:t>
      </w:r>
    </w:p>
    <w:p>
      <w:pPr>
        <w:spacing w:line="440" w:lineRule="exact"/>
        <w:ind w:firstLine="440"/>
        <w:rPr>
          <w:rStyle w:val="32"/>
          <w:rFonts w:asciiTheme="majorEastAsia" w:hAnsiTheme="majorEastAsia" w:eastAsiaTheme="majorEastAsia" w:cstheme="majorEastAsia"/>
          <w:szCs w:val="22"/>
          <w:highlight w:val="none"/>
        </w:rPr>
      </w:pP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经安徽大别山国投集团批准，根据《国有企业采购操作规范》及《安徽大别山国有资产投资（控股）集团有限公司招标采购管理制度》,“</w:t>
      </w:r>
      <w:r>
        <w:rPr>
          <w:rStyle w:val="32"/>
          <w:rFonts w:hint="eastAsia" w:asciiTheme="majorEastAsia" w:hAnsiTheme="majorEastAsia" w:eastAsiaTheme="majorEastAsia" w:cstheme="majorEastAsia"/>
          <w:szCs w:val="22"/>
          <w:highlight w:val="none"/>
          <w:lang w:eastAsia="zh-CN"/>
        </w:rPr>
        <w:t>霍山县殡仪馆和城市公益性公墓一期后续配套工程EPC项目围墙工程</w:t>
      </w:r>
      <w:r>
        <w:rPr>
          <w:rStyle w:val="32"/>
          <w:rFonts w:hint="eastAsia" w:asciiTheme="majorEastAsia" w:hAnsiTheme="majorEastAsia" w:eastAsiaTheme="majorEastAsia" w:cstheme="majorEastAsia"/>
          <w:szCs w:val="22"/>
          <w:highlight w:val="none"/>
        </w:rPr>
        <w:t>”项目资金已落实,已具备采购条件，现以询比采购方式确定</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，欢迎符合条件的</w:t>
      </w:r>
      <w:r>
        <w:rPr>
          <w:rStyle w:val="32"/>
          <w:rFonts w:hint="eastAsia" w:ascii="宋体" w:hAnsi="宋体" w:eastAsia="宋体"/>
          <w:b/>
          <w:bCs/>
          <w:color w:val="auto"/>
          <w:sz w:val="22"/>
          <w:lang w:val="en-US" w:eastAsia="zh-CN" w:bidi="ar-SA"/>
        </w:rPr>
        <w:t>安徽筑圣建设工程有限公司劳务、专业分包企业库</w:t>
      </w:r>
      <w:r>
        <w:rPr>
          <w:rStyle w:val="32"/>
          <w:rFonts w:hint="eastAsia"/>
          <w:color w:val="auto"/>
          <w:sz w:val="22"/>
          <w:lang w:val="en-US" w:eastAsia="zh-CN" w:bidi="ar-SA"/>
        </w:rPr>
        <w:t>库内</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参加</w:t>
      </w:r>
      <w:r>
        <w:rPr>
          <w:rStyle w:val="32"/>
          <w:rFonts w:hint="eastAsia" w:asciiTheme="majorEastAsia" w:hAnsiTheme="majorEastAsia" w:eastAsiaTheme="majorEastAsia" w:cstheme="majorEastAsia"/>
          <w:color w:val="000000"/>
          <w:highlight w:val="none"/>
        </w:rPr>
        <w:t>。</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一、项目名称及内容</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1.项目名称：</w:t>
      </w:r>
      <w:r>
        <w:rPr>
          <w:rStyle w:val="32"/>
          <w:rFonts w:hint="eastAsia" w:asciiTheme="majorEastAsia" w:hAnsiTheme="majorEastAsia" w:eastAsiaTheme="majorEastAsia" w:cstheme="majorEastAsia"/>
          <w:szCs w:val="22"/>
          <w:highlight w:val="none"/>
          <w:lang w:eastAsia="zh-CN"/>
        </w:rPr>
        <w:t>霍山县殡仪馆和城市公益性公墓一期后续配套工程EPC项目围墙工程</w:t>
      </w:r>
    </w:p>
    <w:p>
      <w:pPr>
        <w:pStyle w:val="63"/>
        <w:spacing w:line="440" w:lineRule="exact"/>
        <w:ind w:left="0" w:leftChars="0" w:firstLine="440"/>
        <w:rPr>
          <w:rStyle w:val="32"/>
          <w:rFonts w:hint="default" w:asciiTheme="majorEastAsia" w:hAnsiTheme="majorEastAsia" w:eastAsiaTheme="majorEastAsia" w:cstheme="majorEastAsia"/>
          <w:sz w:val="22"/>
          <w:szCs w:val="22"/>
          <w:highlight w:val="none"/>
          <w:lang w:val="en-US" w:eastAsia="zh-CN"/>
        </w:rPr>
      </w:pPr>
      <w:r>
        <w:rPr>
          <w:rStyle w:val="32"/>
          <w:rFonts w:hint="eastAsia" w:asciiTheme="majorEastAsia" w:hAnsiTheme="majorEastAsia" w:eastAsiaTheme="majorEastAsia" w:cstheme="majorEastAsia"/>
          <w:sz w:val="22"/>
          <w:szCs w:val="22"/>
          <w:highlight w:val="none"/>
        </w:rPr>
        <w:t>2.项目编号：</w:t>
      </w:r>
      <w:r>
        <w:rPr>
          <w:rStyle w:val="32"/>
          <w:rFonts w:hint="eastAsia" w:asciiTheme="majorEastAsia" w:hAnsiTheme="majorEastAsia" w:eastAsiaTheme="majorEastAsia" w:cstheme="majorEastAsia"/>
          <w:sz w:val="22"/>
          <w:szCs w:val="22"/>
          <w:highlight w:val="none"/>
          <w:lang w:eastAsia="zh-CN"/>
        </w:rPr>
        <w:t>DBSCG-2021-</w:t>
      </w:r>
      <w:r>
        <w:rPr>
          <w:rStyle w:val="32"/>
          <w:rFonts w:hint="eastAsia" w:asciiTheme="majorEastAsia" w:hAnsiTheme="majorEastAsia" w:eastAsiaTheme="majorEastAsia" w:cstheme="majorEastAsia"/>
          <w:sz w:val="22"/>
          <w:szCs w:val="22"/>
          <w:highlight w:val="none"/>
          <w:lang w:val="en-US" w:eastAsia="zh-CN"/>
        </w:rPr>
        <w:t>203</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3.工程地点：</w:t>
      </w:r>
      <w:r>
        <w:rPr>
          <w:rStyle w:val="32"/>
          <w:rFonts w:hint="eastAsia" w:asciiTheme="majorEastAsia" w:hAnsiTheme="majorEastAsia" w:eastAsiaTheme="majorEastAsia" w:cstheme="majorEastAsia"/>
          <w:szCs w:val="22"/>
          <w:highlight w:val="none"/>
          <w:lang w:eastAsia="zh-CN"/>
        </w:rPr>
        <w:t>霍山县衡山镇</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4.项目概况：</w:t>
      </w:r>
      <w:r>
        <w:rPr>
          <w:rStyle w:val="32"/>
          <w:rFonts w:hint="eastAsia" w:asciiTheme="majorEastAsia" w:hAnsiTheme="majorEastAsia" w:eastAsiaTheme="majorEastAsia" w:cstheme="majorEastAsia"/>
          <w:szCs w:val="22"/>
          <w:highlight w:val="none"/>
          <w:lang w:eastAsia="zh-CN"/>
        </w:rPr>
        <w:t>霍山县殡仪馆和城市公益性公墓一期后续配套工程EPC项目围墙工程</w:t>
      </w:r>
      <w:r>
        <w:rPr>
          <w:rStyle w:val="32"/>
          <w:rFonts w:hint="eastAsia" w:asciiTheme="majorEastAsia" w:hAnsiTheme="majorEastAsia" w:eastAsiaTheme="majorEastAsia" w:cstheme="majorEastAsia"/>
          <w:szCs w:val="22"/>
          <w:highlight w:val="none"/>
        </w:rPr>
        <w:t>（详见采购需求）。</w:t>
      </w:r>
    </w:p>
    <w:p>
      <w:pPr>
        <w:pageBreakBefore w:val="0"/>
        <w:widowControl/>
        <w:kinsoku/>
        <w:wordWrap/>
        <w:overflowPunct/>
        <w:topLinePunct w:val="0"/>
        <w:autoSpaceDE/>
        <w:autoSpaceDN/>
        <w:bidi w:val="0"/>
        <w:snapToGrid/>
        <w:spacing w:line="240" w:lineRule="auto"/>
        <w:ind w:firstLine="440"/>
        <w:textAlignment w:val="baseline"/>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5.标段划分：共</w:t>
      </w:r>
      <w:r>
        <w:rPr>
          <w:rStyle w:val="32"/>
          <w:rFonts w:hint="eastAsia" w:asciiTheme="majorEastAsia" w:hAnsiTheme="majorEastAsia" w:eastAsiaTheme="majorEastAsia" w:cstheme="majorEastAsia"/>
          <w:szCs w:val="22"/>
          <w:highlight w:val="none"/>
          <w:lang w:val="en-US" w:eastAsia="zh-CN"/>
        </w:rPr>
        <w:t>3</w:t>
      </w:r>
      <w:r>
        <w:rPr>
          <w:rStyle w:val="32"/>
          <w:rFonts w:hint="eastAsia" w:asciiTheme="majorEastAsia" w:hAnsiTheme="majorEastAsia" w:eastAsiaTheme="majorEastAsia" w:cstheme="majorEastAsia"/>
          <w:szCs w:val="22"/>
          <w:highlight w:val="none"/>
        </w:rPr>
        <w:t>个</w:t>
      </w:r>
      <w:r>
        <w:rPr>
          <w:rStyle w:val="32"/>
          <w:rFonts w:hint="eastAsia" w:asciiTheme="majorEastAsia" w:hAnsiTheme="majorEastAsia" w:eastAsiaTheme="majorEastAsia" w:cstheme="majorEastAsia"/>
          <w:szCs w:val="22"/>
          <w:highlight w:val="none"/>
          <w:lang w:eastAsia="zh-CN"/>
        </w:rPr>
        <w:t>标段</w:t>
      </w:r>
    </w:p>
    <w:p>
      <w:pPr>
        <w:pStyle w:val="2"/>
        <w:pageBreakBefore w:val="0"/>
        <w:widowControl/>
        <w:kinsoku/>
        <w:wordWrap/>
        <w:overflowPunct/>
        <w:topLinePunct w:val="0"/>
        <w:autoSpaceDE/>
        <w:autoSpaceDN/>
        <w:bidi w:val="0"/>
        <w:snapToGrid/>
        <w:spacing w:line="240" w:lineRule="auto"/>
        <w:textAlignment w:val="baseline"/>
        <w:rPr>
          <w:rStyle w:val="32"/>
          <w:rFonts w:hint="eastAsia" w:asciiTheme="majorEastAsia" w:hAnsiTheme="majorEastAsia" w:eastAsiaTheme="majorEastAsia" w:cstheme="majorEastAsia"/>
          <w:b w:val="0"/>
          <w:sz w:val="22"/>
          <w:szCs w:val="22"/>
          <w:highlight w:val="none"/>
          <w:lang w:val="en-US" w:eastAsia="zh-CN" w:bidi="ar-SA"/>
        </w:rPr>
      </w:pPr>
      <w:r>
        <w:rPr>
          <w:rStyle w:val="32"/>
          <w:rFonts w:hint="eastAsia" w:asciiTheme="majorEastAsia" w:hAnsiTheme="majorEastAsia" w:eastAsiaTheme="majorEastAsia" w:cstheme="majorEastAsia"/>
          <w:b w:val="0"/>
          <w:sz w:val="22"/>
          <w:szCs w:val="22"/>
          <w:highlight w:val="none"/>
          <w:lang w:val="en-US" w:eastAsia="zh-CN" w:bidi="ar-SA"/>
        </w:rPr>
        <w:t>I标段：实心围墙600米，通透式围墙120米；</w:t>
      </w:r>
    </w:p>
    <w:p>
      <w:pPr>
        <w:pStyle w:val="2"/>
        <w:pageBreakBefore w:val="0"/>
        <w:widowControl/>
        <w:kinsoku/>
        <w:wordWrap/>
        <w:overflowPunct/>
        <w:topLinePunct w:val="0"/>
        <w:autoSpaceDE/>
        <w:autoSpaceDN/>
        <w:bidi w:val="0"/>
        <w:snapToGrid/>
        <w:spacing w:line="240" w:lineRule="auto"/>
        <w:textAlignment w:val="baseline"/>
        <w:rPr>
          <w:rStyle w:val="32"/>
          <w:rFonts w:hint="eastAsia" w:asciiTheme="majorEastAsia" w:hAnsiTheme="majorEastAsia" w:eastAsiaTheme="majorEastAsia" w:cstheme="majorEastAsia"/>
          <w:b w:val="0"/>
          <w:sz w:val="22"/>
          <w:szCs w:val="22"/>
          <w:highlight w:val="none"/>
          <w:lang w:val="en-US" w:eastAsia="zh-CN" w:bidi="ar-SA"/>
        </w:rPr>
      </w:pPr>
      <w:r>
        <w:rPr>
          <w:rStyle w:val="32"/>
          <w:rFonts w:hint="eastAsia" w:asciiTheme="majorEastAsia" w:hAnsiTheme="majorEastAsia" w:eastAsiaTheme="majorEastAsia" w:cstheme="majorEastAsia"/>
          <w:b w:val="0"/>
          <w:sz w:val="22"/>
          <w:szCs w:val="22"/>
          <w:highlight w:val="none"/>
          <w:lang w:val="en-US" w:eastAsia="zh-CN" w:bidi="ar-SA"/>
        </w:rPr>
        <w:t>II标段：实心围墙600米，通透式围墙120米；</w:t>
      </w:r>
    </w:p>
    <w:p>
      <w:pPr>
        <w:pStyle w:val="2"/>
        <w:pageBreakBefore w:val="0"/>
        <w:widowControl/>
        <w:kinsoku/>
        <w:wordWrap/>
        <w:overflowPunct/>
        <w:topLinePunct w:val="0"/>
        <w:autoSpaceDE/>
        <w:autoSpaceDN/>
        <w:bidi w:val="0"/>
        <w:snapToGrid/>
        <w:spacing w:line="240" w:lineRule="auto"/>
        <w:textAlignment w:val="baseline"/>
        <w:rPr>
          <w:rFonts w:hint="default"/>
          <w:lang w:val="en-US" w:eastAsia="zh-CN"/>
        </w:rPr>
      </w:pPr>
      <w:r>
        <w:rPr>
          <w:rStyle w:val="32"/>
          <w:rFonts w:hint="eastAsia" w:asciiTheme="majorEastAsia" w:hAnsiTheme="majorEastAsia" w:eastAsiaTheme="majorEastAsia" w:cstheme="majorEastAsia"/>
          <w:b w:val="0"/>
          <w:sz w:val="22"/>
          <w:szCs w:val="22"/>
          <w:highlight w:val="none"/>
          <w:lang w:val="en-US" w:eastAsia="zh-CN" w:bidi="ar-SA"/>
        </w:rPr>
        <w:t>III标段：实心围墙600米，通透式围墙120米；</w:t>
      </w:r>
    </w:p>
    <w:p>
      <w:pPr>
        <w:pageBreakBefore w:val="0"/>
        <w:widowControl/>
        <w:kinsoku/>
        <w:wordWrap/>
        <w:overflowPunct/>
        <w:topLinePunct w:val="0"/>
        <w:autoSpaceDE/>
        <w:autoSpaceDN/>
        <w:bidi w:val="0"/>
        <w:snapToGrid/>
        <w:spacing w:line="240" w:lineRule="auto"/>
        <w:ind w:firstLine="440"/>
        <w:textAlignment w:val="baseline"/>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6.项目类别：</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类</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7.项目预算价：</w:t>
      </w:r>
      <w:r>
        <w:rPr>
          <w:rStyle w:val="32"/>
          <w:rFonts w:hint="eastAsia" w:asciiTheme="majorEastAsia" w:hAnsiTheme="majorEastAsia" w:eastAsiaTheme="majorEastAsia" w:cstheme="majorEastAsia"/>
          <w:szCs w:val="22"/>
          <w:highlight w:val="none"/>
          <w:lang w:val="en-US" w:eastAsia="zh-CN"/>
        </w:rPr>
        <w:t>3010833.58</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8.项目最高限价：</w:t>
      </w:r>
      <w:r>
        <w:rPr>
          <w:rStyle w:val="32"/>
          <w:rFonts w:hint="eastAsia" w:asciiTheme="majorEastAsia" w:hAnsiTheme="majorEastAsia" w:eastAsiaTheme="majorEastAsia" w:cstheme="majorEastAsia"/>
          <w:szCs w:val="22"/>
          <w:highlight w:val="none"/>
          <w:lang w:val="en-US" w:eastAsia="zh-CN"/>
        </w:rPr>
        <w:t>本项目采用单价报价，实心围墙单价最高限价为1198.83元/m，总计2157892.63元。通透式单价最高限价为765.81元/m,总计275691.79元，超过此限价的报价为无效响应。</w:t>
      </w:r>
    </w:p>
    <w:p>
      <w:pPr>
        <w:spacing w:line="440" w:lineRule="exact"/>
        <w:ind w:firstLine="440"/>
        <w:rPr>
          <w:rStyle w:val="32"/>
          <w:rFonts w:hint="default" w:asciiTheme="majorEastAsia" w:hAnsiTheme="majorEastAsia" w:eastAsiaTheme="majorEastAsia" w:cstheme="majorEastAsia"/>
          <w:szCs w:val="22"/>
          <w:highlight w:val="none"/>
          <w:lang w:val="en-US" w:eastAsia="zh-CN"/>
        </w:rPr>
      </w:pPr>
      <w:r>
        <w:rPr>
          <w:rStyle w:val="32"/>
          <w:rFonts w:hint="eastAsia" w:asciiTheme="majorEastAsia" w:hAnsiTheme="majorEastAsia" w:eastAsiaTheme="majorEastAsia" w:cstheme="majorEastAsia"/>
          <w:szCs w:val="22"/>
          <w:highlight w:val="none"/>
        </w:rPr>
        <w:t>9.</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期限：</w:t>
      </w:r>
      <w:r>
        <w:rPr>
          <w:rStyle w:val="32"/>
          <w:rFonts w:hint="eastAsia" w:asciiTheme="majorEastAsia" w:hAnsiTheme="majorEastAsia" w:eastAsiaTheme="majorEastAsia" w:cstheme="majorEastAsia"/>
          <w:szCs w:val="22"/>
          <w:highlight w:val="none"/>
          <w:lang w:eastAsia="zh-CN"/>
        </w:rPr>
        <w:t>合同签订后三个月内完成施工任务。</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二、</w:t>
      </w:r>
      <w:r>
        <w:rPr>
          <w:rStyle w:val="32"/>
          <w:rFonts w:hint="eastAsia" w:asciiTheme="majorEastAsia" w:hAnsiTheme="majorEastAsia" w:eastAsiaTheme="majorEastAsia" w:cstheme="majorEastAsia"/>
          <w:b/>
          <w:bCs/>
          <w:highlight w:val="none"/>
          <w:lang w:eastAsia="zh-CN"/>
        </w:rPr>
        <w:t>供应商</w:t>
      </w:r>
      <w:r>
        <w:rPr>
          <w:rStyle w:val="32"/>
          <w:rFonts w:hint="eastAsia" w:asciiTheme="majorEastAsia" w:hAnsiTheme="majorEastAsia" w:eastAsiaTheme="majorEastAsia" w:cstheme="majorEastAsia"/>
          <w:b/>
          <w:bCs/>
          <w:highlight w:val="none"/>
        </w:rPr>
        <w:t>资格要求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1、符合《中华人民共和国政府采购法》第二十二条要求；</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default"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 xml:space="preserve">(3)具有履行合同所必需的设备和专业技术能力；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2、投标人具有独立法人资格；</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3、本项目不接受联合体投标；</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中国政府采购官网（www.ccgp.gov.cn）。</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三、询比采购文件的获取方式和时间</w:t>
      </w:r>
    </w:p>
    <w:p>
      <w:pPr>
        <w:spacing w:line="440" w:lineRule="exact"/>
        <w:ind w:firstLine="440"/>
        <w:rPr>
          <w:rStyle w:val="32"/>
          <w:rFonts w:asciiTheme="majorEastAsia" w:hAnsiTheme="majorEastAsia" w:eastAsiaTheme="majorEastAsia" w:cstheme="majorEastAsia"/>
          <w:b/>
          <w:bCs/>
          <w:szCs w:val="22"/>
          <w:highlight w:val="none"/>
        </w:rPr>
      </w:pPr>
      <w:r>
        <w:rPr>
          <w:rStyle w:val="32"/>
          <w:rFonts w:hint="eastAsia" w:asciiTheme="majorEastAsia" w:hAnsiTheme="majorEastAsia" w:eastAsiaTheme="majorEastAsia" w:cstheme="majorEastAsia"/>
          <w:szCs w:val="22"/>
          <w:highlight w:val="none"/>
        </w:rPr>
        <w:t>1.询比采购文件获取方式：凡有意向参加本项目的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，可至</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“招标采购栏”中自行下载本项目采购需求文件和本项目询比文件。</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2.询比采购文件获取时间：自本公告发布至报价文件递交的截止时间。</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四、报价文件的递交及相关事宜</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1.报价文件递交的截止时间：</w:t>
      </w:r>
      <w:r>
        <w:rPr>
          <w:rStyle w:val="32"/>
          <w:rFonts w:hint="eastAsia" w:asciiTheme="majorEastAsia" w:hAnsiTheme="majorEastAsia" w:eastAsiaTheme="majorEastAsia" w:cstheme="majorEastAsia"/>
          <w:color w:val="000000"/>
          <w:szCs w:val="22"/>
          <w:highlight w:val="none"/>
        </w:rPr>
        <w:t>2021年</w:t>
      </w:r>
      <w:r>
        <w:rPr>
          <w:rStyle w:val="32"/>
          <w:rFonts w:hint="eastAsia" w:asciiTheme="majorEastAsia" w:hAnsiTheme="majorEastAsia" w:eastAsiaTheme="majorEastAsia" w:cstheme="majorEastAsia"/>
          <w:color w:val="000000"/>
          <w:szCs w:val="22"/>
          <w:highlight w:val="none"/>
          <w:lang w:val="en-US" w:eastAsia="zh-CN"/>
        </w:rPr>
        <w:t>9</w:t>
      </w:r>
      <w:r>
        <w:rPr>
          <w:rStyle w:val="32"/>
          <w:rFonts w:hint="eastAsia" w:asciiTheme="majorEastAsia" w:hAnsiTheme="majorEastAsia" w:eastAsiaTheme="majorEastAsia" w:cstheme="majorEastAsia"/>
          <w:color w:val="000000"/>
          <w:szCs w:val="22"/>
          <w:highlight w:val="none"/>
          <w:lang w:eastAsia="zh-CN"/>
        </w:rPr>
        <w:t>月</w:t>
      </w:r>
      <w:r>
        <w:rPr>
          <w:rStyle w:val="32"/>
          <w:rFonts w:hint="eastAsia" w:asciiTheme="majorEastAsia" w:hAnsiTheme="majorEastAsia" w:eastAsiaTheme="majorEastAsia" w:cstheme="majorEastAsia"/>
          <w:color w:val="000000"/>
          <w:szCs w:val="22"/>
          <w:highlight w:val="none"/>
          <w:lang w:val="en-US" w:eastAsia="zh-CN"/>
        </w:rPr>
        <w:t>30</w:t>
      </w:r>
      <w:r>
        <w:rPr>
          <w:rStyle w:val="32"/>
          <w:rFonts w:hint="eastAsia" w:asciiTheme="majorEastAsia" w:hAnsiTheme="majorEastAsia" w:eastAsiaTheme="majorEastAsia" w:cstheme="majorEastAsia"/>
          <w:color w:val="000000"/>
          <w:szCs w:val="22"/>
          <w:highlight w:val="none"/>
          <w:lang w:eastAsia="zh-CN"/>
        </w:rPr>
        <w:t>日</w:t>
      </w:r>
      <w:r>
        <w:rPr>
          <w:rStyle w:val="32"/>
          <w:rFonts w:hint="eastAsia" w:asciiTheme="majorEastAsia" w:hAnsiTheme="majorEastAsia" w:eastAsiaTheme="majorEastAsia" w:cstheme="majorEastAsia"/>
          <w:color w:val="000000"/>
          <w:szCs w:val="22"/>
          <w:highlight w:val="none"/>
          <w:lang w:val="en-US" w:eastAsia="zh-CN"/>
        </w:rPr>
        <w:t>16</w:t>
      </w:r>
      <w:bookmarkStart w:id="0" w:name="_GoBack"/>
      <w:bookmarkEnd w:id="0"/>
      <w:r>
        <w:rPr>
          <w:rStyle w:val="32"/>
          <w:rFonts w:hint="eastAsia" w:asciiTheme="majorEastAsia" w:hAnsiTheme="majorEastAsia" w:eastAsiaTheme="majorEastAsia" w:cstheme="majorEastAsia"/>
          <w:color w:val="000000"/>
          <w:szCs w:val="22"/>
          <w:highlight w:val="none"/>
        </w:rPr>
        <w:t>时00分。</w:t>
      </w:r>
      <w:r>
        <w:rPr>
          <w:rStyle w:val="32"/>
          <w:rFonts w:hint="eastAsia" w:asciiTheme="majorEastAsia" w:hAnsiTheme="majorEastAsia" w:eastAsiaTheme="majorEastAsia" w:cstheme="majorEastAsia"/>
          <w:szCs w:val="22"/>
          <w:highlight w:val="none"/>
        </w:rPr>
        <w:t>逾期送达的或者未送达指定地点的报价文件，采购人不予受理。</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2.报价文件递交的地点：安徽大别山工程咨询有限公司一楼开标厅117室。</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3.定于在报价文件递交截止的同一时间、同一地点对报价文件进行公开开启，并对</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报价进行询比并推荐成交候选人，成交候选人将在</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“招标采购栏”中公示。</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4.至报价文件递交的截止时间递交报价文件的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不足2家的，可经采购人主管单位批准后，现场转为单一来源谈判方式采购。</w:t>
      </w:r>
    </w:p>
    <w:p>
      <w:pPr>
        <w:rPr>
          <w:rStyle w:val="32"/>
          <w:rFonts w:hint="eastAsia" w:asciiTheme="majorEastAsia" w:hAnsiTheme="majorEastAsia" w:eastAsiaTheme="majorEastAsia" w:cstheme="majorEastAsia"/>
          <w:sz w:val="22"/>
          <w:szCs w:val="22"/>
          <w:highlight w:val="none"/>
        </w:rPr>
      </w:pPr>
      <w:r>
        <w:rPr>
          <w:rStyle w:val="32"/>
          <w:rFonts w:hint="eastAsia" w:asciiTheme="majorEastAsia" w:hAnsiTheme="majorEastAsia" w:eastAsiaTheme="majorEastAsia" w:cstheme="majorEastAsia"/>
          <w:sz w:val="22"/>
          <w:szCs w:val="22"/>
          <w:highlight w:val="none"/>
        </w:rPr>
        <w:t>5.</w:t>
      </w:r>
      <w:r>
        <w:rPr>
          <w:rStyle w:val="32"/>
          <w:rFonts w:hint="eastAsia" w:asciiTheme="majorEastAsia" w:hAnsiTheme="majorEastAsia" w:eastAsiaTheme="majorEastAsia" w:cstheme="majorEastAsia"/>
          <w:sz w:val="22"/>
          <w:szCs w:val="22"/>
          <w:highlight w:val="none"/>
          <w:lang w:eastAsia="zh-CN"/>
        </w:rPr>
        <w:t>供应商</w:t>
      </w:r>
      <w:r>
        <w:rPr>
          <w:rStyle w:val="32"/>
          <w:rFonts w:hint="eastAsia" w:asciiTheme="majorEastAsia" w:hAnsiTheme="majorEastAsia" w:eastAsiaTheme="majorEastAsia" w:cstheme="majorEastAsia"/>
          <w:sz w:val="22"/>
          <w:szCs w:val="22"/>
          <w:highlight w:val="none"/>
        </w:rPr>
        <w:t>的报价不得超过设定的项目最高限价，否则作无效报价处理。</w:t>
      </w:r>
    </w:p>
    <w:p>
      <w:pPr>
        <w:pStyle w:val="31"/>
        <w:spacing w:line="440" w:lineRule="exact"/>
        <w:rPr>
          <w:rStyle w:val="32"/>
          <w:rFonts w:asciiTheme="majorEastAsia" w:hAnsiTheme="majorEastAsia" w:eastAsiaTheme="majorEastAsia" w:cstheme="majorEastAsia"/>
          <w:highlight w:val="none"/>
        </w:rPr>
      </w:pPr>
      <w:r>
        <w:rPr>
          <w:rStyle w:val="32"/>
          <w:rFonts w:hint="eastAsia" w:asciiTheme="majorEastAsia" w:hAnsiTheme="majorEastAsia" w:eastAsiaTheme="majorEastAsia" w:cstheme="majorEastAsia"/>
          <w:highlight w:val="none"/>
        </w:rPr>
        <w:t>五、联系方式</w:t>
      </w:r>
    </w:p>
    <w:p>
      <w:pPr>
        <w:pStyle w:val="71"/>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（一）采 购 人：安徽筑圣建设工程有限公司</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人：叶先生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话：13856433346</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人：郑先生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话：0564-5023133/18098744536</w:t>
      </w:r>
    </w:p>
    <w:p>
      <w:pPr>
        <w:spacing w:line="440" w:lineRule="exact"/>
        <w:ind w:firstLine="44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（三）监督管理机构：安徽大别山国投集团纪检监察室</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地    址：霍山县经济开发区高桥湾路</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联 系 人：任主任</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电    话：0564-5020180</w:t>
      </w:r>
    </w:p>
    <w:p>
      <w:pPr>
        <w:pStyle w:val="58"/>
        <w:shd w:val="clear" w:color="auto" w:fill="FFFFFF"/>
        <w:spacing w:line="440" w:lineRule="exact"/>
        <w:ind w:firstLine="422"/>
        <w:rPr>
          <w:rStyle w:val="32"/>
          <w:rFonts w:asciiTheme="majorEastAsia" w:hAnsiTheme="majorEastAsia" w:eastAsiaTheme="majorEastAsia" w:cstheme="majorEastAsia"/>
          <w:b/>
          <w:color w:val="000000"/>
          <w:sz w:val="21"/>
          <w:szCs w:val="21"/>
          <w:highlight w:val="none"/>
          <w:lang w:val="zh-CN"/>
        </w:rPr>
      </w:pPr>
      <w:r>
        <w:rPr>
          <w:rStyle w:val="32"/>
          <w:rFonts w:hint="eastAsia" w:asciiTheme="majorEastAsia" w:hAnsiTheme="majorEastAsia" w:eastAsiaTheme="majorEastAsia" w:cstheme="majorEastAsia"/>
          <w:b/>
          <w:color w:val="000000"/>
          <w:sz w:val="21"/>
          <w:szCs w:val="21"/>
          <w:highlight w:val="none"/>
          <w:lang w:val="zh-CN"/>
        </w:rPr>
        <w:t>六、保证金缴纳账户</w:t>
      </w:r>
    </w:p>
    <w:p>
      <w:pPr>
        <w:spacing w:line="440" w:lineRule="exact"/>
        <w:ind w:firstLine="440"/>
        <w:rPr>
          <w:rStyle w:val="32"/>
          <w:rFonts w:hint="eastAsia" w:asciiTheme="majorEastAsia" w:hAnsiTheme="majorEastAsia" w:eastAsiaTheme="majorEastAsia" w:cstheme="majorEastAsia"/>
          <w:b/>
          <w:bCs/>
          <w:kern w:val="2"/>
          <w:szCs w:val="22"/>
          <w:highlight w:val="none"/>
          <w:lang w:val="en-US" w:eastAsia="zh-CN"/>
        </w:rPr>
      </w:pPr>
      <w:r>
        <w:rPr>
          <w:rStyle w:val="32"/>
          <w:rFonts w:hint="eastAsia" w:asciiTheme="majorEastAsia" w:hAnsiTheme="majorEastAsia" w:eastAsiaTheme="majorEastAsia" w:cstheme="majorEastAsia"/>
          <w:kern w:val="2"/>
          <w:szCs w:val="22"/>
          <w:highlight w:val="none"/>
          <w:lang w:val="zh-CN"/>
        </w:rPr>
        <w:t>保证金为：</w:t>
      </w:r>
      <w:r>
        <w:rPr>
          <w:rStyle w:val="32"/>
          <w:rFonts w:hint="eastAsia" w:asciiTheme="majorEastAsia" w:hAnsiTheme="majorEastAsia" w:eastAsiaTheme="majorEastAsia" w:cstheme="majorEastAsia"/>
          <w:kern w:val="2"/>
          <w:szCs w:val="22"/>
          <w:highlight w:val="none"/>
          <w:lang w:val="en-US" w:eastAsia="zh-CN"/>
        </w:rPr>
        <w:t>无。</w:t>
      </w:r>
    </w:p>
    <w:p>
      <w:pPr>
        <w:pStyle w:val="58"/>
        <w:shd w:val="clear" w:color="auto" w:fill="FFFFFF"/>
        <w:spacing w:line="440" w:lineRule="exact"/>
        <w:ind w:firstLine="420"/>
        <w:jc w:val="right"/>
        <w:rPr>
          <w:rStyle w:val="32"/>
          <w:rFonts w:hint="eastAsia" w:asciiTheme="majorEastAsia" w:hAnsiTheme="majorEastAsia" w:eastAsiaTheme="majorEastAsia" w:cstheme="majorEastAsia"/>
          <w:bCs/>
          <w:color w:val="000000"/>
          <w:sz w:val="21"/>
          <w:szCs w:val="21"/>
          <w:highlight w:val="none"/>
          <w:lang w:val="zh-CN"/>
        </w:rPr>
      </w:pPr>
    </w:p>
    <w:p>
      <w:pPr>
        <w:pStyle w:val="58"/>
        <w:shd w:val="clear" w:color="auto" w:fill="FFFFFF"/>
        <w:spacing w:line="440" w:lineRule="exact"/>
        <w:ind w:firstLine="420"/>
        <w:jc w:val="right"/>
        <w:rPr>
          <w:rStyle w:val="32"/>
          <w:rFonts w:asciiTheme="majorEastAsia" w:hAnsiTheme="majorEastAsia" w:eastAsiaTheme="majorEastAsia" w:cstheme="majorEastAsia"/>
          <w:bCs/>
          <w:color w:val="000000"/>
          <w:sz w:val="21"/>
          <w:szCs w:val="21"/>
          <w:highlight w:val="none"/>
          <w:lang w:val="zh-CN"/>
        </w:rPr>
      </w:pPr>
      <w:r>
        <w:rPr>
          <w:rStyle w:val="32"/>
          <w:rFonts w:hint="eastAsia" w:asciiTheme="majorEastAsia" w:hAnsiTheme="majorEastAsia" w:eastAsiaTheme="majorEastAsia" w:cstheme="majorEastAsia"/>
          <w:bCs/>
          <w:color w:val="000000"/>
          <w:sz w:val="21"/>
          <w:szCs w:val="21"/>
          <w:highlight w:val="none"/>
          <w:lang w:val="zh-CN"/>
        </w:rPr>
        <w:t>安徽筑圣建设工程有限公司</w:t>
      </w:r>
    </w:p>
    <w:p>
      <w:pPr>
        <w:spacing w:line="440" w:lineRule="exact"/>
        <w:ind w:firstLine="440"/>
        <w:jc w:val="right"/>
        <w:rPr>
          <w:rStyle w:val="32"/>
          <w:rFonts w:asciiTheme="majorEastAsia" w:hAnsiTheme="majorEastAsia" w:eastAsiaTheme="majorEastAsia" w:cstheme="majorEastAsia"/>
          <w:kern w:val="2"/>
          <w:szCs w:val="21"/>
          <w:highlight w:val="none"/>
        </w:rPr>
      </w:pPr>
      <w:r>
        <w:rPr>
          <w:rStyle w:val="32"/>
          <w:rFonts w:hint="eastAsia" w:asciiTheme="majorEastAsia" w:hAnsiTheme="majorEastAsia" w:eastAsiaTheme="majorEastAsia" w:cstheme="majorEastAsia"/>
          <w:kern w:val="2"/>
          <w:szCs w:val="21"/>
          <w:highlight w:val="none"/>
        </w:rPr>
        <w:t>安徽大别山工程咨询有限公司</w:t>
      </w:r>
    </w:p>
    <w:p>
      <w:pPr>
        <w:pStyle w:val="50"/>
        <w:spacing w:after="0" w:line="440" w:lineRule="exact"/>
        <w:ind w:firstLine="440"/>
        <w:jc w:val="right"/>
        <w:rPr>
          <w:rStyle w:val="32"/>
          <w:rFonts w:hint="eastAsia" w:asciiTheme="majorEastAsia" w:hAnsiTheme="majorEastAsia" w:eastAsiaTheme="majorEastAsia" w:cstheme="majorEastAsia"/>
          <w:highlight w:val="none"/>
          <w:lang w:eastAsia="zh-CN"/>
        </w:rPr>
      </w:pPr>
      <w:r>
        <w:rPr>
          <w:rStyle w:val="32"/>
          <w:rFonts w:hint="eastAsia" w:asciiTheme="majorEastAsia" w:hAnsiTheme="majorEastAsia" w:eastAsiaTheme="majorEastAsia" w:cstheme="majorEastAsia"/>
          <w:szCs w:val="21"/>
          <w:highlight w:val="none"/>
          <w:lang w:eastAsia="zh-CN"/>
        </w:rPr>
        <w:t>2021年</w:t>
      </w:r>
      <w:r>
        <w:rPr>
          <w:rStyle w:val="32"/>
          <w:rFonts w:hint="eastAsia" w:asciiTheme="majorEastAsia" w:hAnsiTheme="majorEastAsia" w:eastAsiaTheme="majorEastAsia" w:cstheme="majorEastAsia"/>
          <w:szCs w:val="21"/>
          <w:highlight w:val="none"/>
          <w:lang w:val="en-US" w:eastAsia="zh-CN"/>
        </w:rPr>
        <w:t>9</w:t>
      </w:r>
      <w:r>
        <w:rPr>
          <w:rStyle w:val="32"/>
          <w:rFonts w:hint="eastAsia" w:asciiTheme="majorEastAsia" w:hAnsiTheme="majorEastAsia" w:eastAsiaTheme="majorEastAsia" w:cstheme="majorEastAsia"/>
          <w:szCs w:val="21"/>
          <w:highlight w:val="none"/>
          <w:lang w:eastAsia="zh-CN"/>
        </w:rPr>
        <w:t>月</w:t>
      </w:r>
      <w:r>
        <w:rPr>
          <w:rStyle w:val="32"/>
          <w:rFonts w:hint="eastAsia" w:asciiTheme="majorEastAsia" w:hAnsiTheme="majorEastAsia" w:eastAsiaTheme="majorEastAsia" w:cstheme="majorEastAsia"/>
          <w:szCs w:val="21"/>
          <w:highlight w:val="none"/>
          <w:lang w:val="en-US" w:eastAsia="zh-CN"/>
        </w:rPr>
        <w:t>28</w:t>
      </w:r>
      <w:r>
        <w:rPr>
          <w:rStyle w:val="32"/>
          <w:rFonts w:hint="eastAsia" w:asciiTheme="majorEastAsia" w:hAnsiTheme="majorEastAsia" w:eastAsiaTheme="majorEastAsia" w:cstheme="majorEastAsia"/>
          <w:szCs w:val="21"/>
          <w:highlight w:val="none"/>
          <w:lang w:eastAsia="zh-CN"/>
        </w:rPr>
        <w:t>日</w:t>
      </w:r>
    </w:p>
    <w:p>
      <w:pPr>
        <w:ind w:firstLine="880"/>
        <w:rPr>
          <w:rStyle w:val="32"/>
          <w:rFonts w:ascii="黑体" w:hAnsi="黑体" w:eastAsia="黑体" w:cs="黑体"/>
          <w:bCs/>
          <w:kern w:val="44"/>
          <w:sz w:val="44"/>
          <w:szCs w:val="44"/>
          <w:highlight w:val="none"/>
        </w:rPr>
      </w:pPr>
      <w:r>
        <w:rPr>
          <w:rStyle w:val="32"/>
          <w:rFonts w:ascii="黑体" w:hAnsi="黑体" w:eastAsia="黑体" w:cs="黑体"/>
          <w:bCs/>
          <w:kern w:val="44"/>
          <w:sz w:val="44"/>
          <w:szCs w:val="44"/>
          <w:highlight w:val="none"/>
        </w:rPr>
        <w:br w:type="page"/>
      </w:r>
    </w:p>
    <w:p>
      <w:pPr>
        <w:pStyle w:val="28"/>
        <w:rPr>
          <w:rStyle w:val="32"/>
          <w:highlight w:val="none"/>
        </w:rPr>
      </w:pPr>
      <w:r>
        <w:rPr>
          <w:rStyle w:val="32"/>
          <w:highlight w:val="none"/>
        </w:rPr>
        <w:t xml:space="preserve">第二章  </w:t>
      </w:r>
      <w:r>
        <w:rPr>
          <w:rStyle w:val="32"/>
          <w:rFonts w:hint="eastAsia"/>
          <w:highlight w:val="none"/>
          <w:lang w:eastAsia="zh-CN"/>
        </w:rPr>
        <w:t>供应商</w:t>
      </w:r>
      <w:r>
        <w:rPr>
          <w:rStyle w:val="32"/>
          <w:highlight w:val="none"/>
        </w:rPr>
        <w:t>须知</w:t>
      </w:r>
    </w:p>
    <w:p>
      <w:pPr>
        <w:spacing w:line="240" w:lineRule="exact"/>
        <w:ind w:firstLine="0" w:firstLineChars="0"/>
        <w:rPr>
          <w:rStyle w:val="32"/>
          <w:highlight w:val="none"/>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815"/>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704" w:type="dxa"/>
            <w:tcBorders>
              <w:tl2br w:val="nil"/>
              <w:tr2bl w:val="nil"/>
            </w:tcBorders>
            <w:vAlign w:val="center"/>
          </w:tcPr>
          <w:p>
            <w:pPr>
              <w:pStyle w:val="71"/>
              <w:rPr>
                <w:rStyle w:val="32"/>
                <w:b/>
                <w:highlight w:val="none"/>
              </w:rPr>
            </w:pPr>
            <w:r>
              <w:rPr>
                <w:rStyle w:val="32"/>
                <w:b/>
                <w:highlight w:val="none"/>
              </w:rPr>
              <w:t>条款号</w:t>
            </w:r>
          </w:p>
        </w:tc>
        <w:tc>
          <w:tcPr>
            <w:tcW w:w="1815" w:type="dxa"/>
            <w:tcBorders>
              <w:tl2br w:val="nil"/>
              <w:tr2bl w:val="nil"/>
            </w:tcBorders>
            <w:vAlign w:val="center"/>
          </w:tcPr>
          <w:p>
            <w:pPr>
              <w:pStyle w:val="71"/>
              <w:ind w:firstLine="420" w:firstLineChars="190"/>
              <w:rPr>
                <w:rStyle w:val="32"/>
                <w:b/>
                <w:highlight w:val="none"/>
              </w:rPr>
            </w:pPr>
            <w:r>
              <w:rPr>
                <w:rStyle w:val="32"/>
                <w:b/>
                <w:highlight w:val="none"/>
              </w:rPr>
              <w:t>条款名称</w:t>
            </w:r>
          </w:p>
        </w:tc>
        <w:tc>
          <w:tcPr>
            <w:tcW w:w="6553" w:type="dxa"/>
            <w:tcBorders>
              <w:tl2br w:val="nil"/>
              <w:tr2bl w:val="nil"/>
            </w:tcBorders>
            <w:vAlign w:val="center"/>
          </w:tcPr>
          <w:p>
            <w:pPr>
              <w:pStyle w:val="71"/>
              <w:jc w:val="center"/>
              <w:rPr>
                <w:rStyle w:val="32"/>
                <w:b/>
                <w:highlight w:val="none"/>
              </w:rPr>
            </w:pPr>
            <w:r>
              <w:rPr>
                <w:rStyle w:val="32"/>
                <w:b/>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w:t>
            </w:r>
          </w:p>
        </w:tc>
        <w:tc>
          <w:tcPr>
            <w:tcW w:w="1815" w:type="dxa"/>
            <w:tcBorders>
              <w:tl2br w:val="nil"/>
              <w:tr2bl w:val="nil"/>
            </w:tcBorders>
            <w:vAlign w:val="center"/>
          </w:tcPr>
          <w:p>
            <w:pPr>
              <w:pStyle w:val="71"/>
              <w:jc w:val="center"/>
              <w:rPr>
                <w:rStyle w:val="32"/>
                <w:highlight w:val="none"/>
              </w:rPr>
            </w:pPr>
            <w:r>
              <w:rPr>
                <w:rStyle w:val="32"/>
                <w:highlight w:val="none"/>
              </w:rPr>
              <w:t>采购人</w:t>
            </w:r>
          </w:p>
        </w:tc>
        <w:tc>
          <w:tcPr>
            <w:tcW w:w="6553" w:type="dxa"/>
            <w:tcBorders>
              <w:tl2br w:val="nil"/>
              <w:tr2bl w:val="nil"/>
            </w:tcBorders>
            <w:vAlign w:val="center"/>
          </w:tcPr>
          <w:p>
            <w:pPr>
              <w:pStyle w:val="71"/>
              <w:rPr>
                <w:rStyle w:val="32"/>
                <w:rFonts w:hint="eastAsia" w:eastAsia="宋体"/>
                <w:kern w:val="2"/>
                <w:highlight w:val="none"/>
                <w:lang w:eastAsia="zh-CN"/>
              </w:rPr>
            </w:pPr>
            <w:r>
              <w:rPr>
                <w:rStyle w:val="32"/>
                <w:kern w:val="2"/>
                <w:highlight w:val="none"/>
              </w:rPr>
              <w:t>名称：</w:t>
            </w:r>
            <w:r>
              <w:rPr>
                <w:rStyle w:val="32"/>
                <w:rFonts w:hint="eastAsia"/>
                <w:kern w:val="2"/>
                <w:highlight w:val="none"/>
                <w:lang w:eastAsia="zh-CN"/>
              </w:rPr>
              <w:t>安徽筑圣建设工程有限公司</w:t>
            </w:r>
          </w:p>
          <w:p>
            <w:pPr>
              <w:pStyle w:val="71"/>
              <w:spacing w:line="440" w:lineRule="exact"/>
              <w:rPr>
                <w:rStyle w:val="32"/>
                <w:kern w:val="2"/>
                <w:highlight w:val="none"/>
              </w:rPr>
            </w:pPr>
            <w:r>
              <w:rPr>
                <w:rStyle w:val="32"/>
                <w:kern w:val="2"/>
                <w:highlight w:val="none"/>
              </w:rPr>
              <w:t>地址：</w:t>
            </w:r>
            <w:r>
              <w:rPr>
                <w:rStyle w:val="32"/>
                <w:rFonts w:hint="eastAsia"/>
                <w:kern w:val="2"/>
                <w:highlight w:val="none"/>
              </w:rPr>
              <w:t>安徽霍山经济开发区高桥湾路</w:t>
            </w:r>
          </w:p>
          <w:p>
            <w:pPr>
              <w:pStyle w:val="71"/>
              <w:rPr>
                <w:rStyle w:val="32"/>
                <w:rFonts w:hint="eastAsia" w:eastAsia="宋体"/>
                <w:kern w:val="2"/>
                <w:highlight w:val="none"/>
                <w:lang w:eastAsia="zh-CN"/>
              </w:rPr>
            </w:pPr>
            <w:r>
              <w:rPr>
                <w:rStyle w:val="32"/>
                <w:kern w:val="2"/>
                <w:highlight w:val="none"/>
              </w:rPr>
              <w:t>联系人：</w:t>
            </w:r>
            <w:r>
              <w:rPr>
                <w:rStyle w:val="32"/>
                <w:rFonts w:hint="eastAsia"/>
                <w:kern w:val="2"/>
                <w:highlight w:val="none"/>
                <w:lang w:eastAsia="zh-CN"/>
              </w:rPr>
              <w:t>叶先生</w:t>
            </w:r>
          </w:p>
          <w:p>
            <w:pPr>
              <w:pStyle w:val="71"/>
              <w:rPr>
                <w:rStyle w:val="32"/>
                <w:rFonts w:hint="eastAsia" w:eastAsia="宋体"/>
                <w:kern w:val="2"/>
                <w:highlight w:val="none"/>
                <w:lang w:eastAsia="zh-CN"/>
              </w:rPr>
            </w:pPr>
            <w:r>
              <w:rPr>
                <w:rStyle w:val="32"/>
                <w:kern w:val="2"/>
                <w:highlight w:val="none"/>
              </w:rPr>
              <w:t>电话：</w:t>
            </w:r>
            <w:r>
              <w:rPr>
                <w:rStyle w:val="32"/>
                <w:rFonts w:hint="eastAsia"/>
                <w:kern w:val="2"/>
                <w:highlight w:val="none"/>
                <w:lang w:eastAsia="zh-CN"/>
              </w:rPr>
              <w:t>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w:t>
            </w:r>
          </w:p>
        </w:tc>
        <w:tc>
          <w:tcPr>
            <w:tcW w:w="1815" w:type="dxa"/>
            <w:tcBorders>
              <w:tl2br w:val="nil"/>
              <w:tr2bl w:val="nil"/>
            </w:tcBorders>
            <w:vAlign w:val="center"/>
          </w:tcPr>
          <w:p>
            <w:pPr>
              <w:pStyle w:val="71"/>
              <w:jc w:val="center"/>
              <w:rPr>
                <w:rStyle w:val="32"/>
                <w:highlight w:val="none"/>
              </w:rPr>
            </w:pPr>
            <w:r>
              <w:rPr>
                <w:rStyle w:val="32"/>
                <w:kern w:val="2"/>
                <w:highlight w:val="none"/>
              </w:rPr>
              <w:t>采购代理机构</w:t>
            </w:r>
          </w:p>
        </w:tc>
        <w:tc>
          <w:tcPr>
            <w:tcW w:w="6553" w:type="dxa"/>
            <w:tcBorders>
              <w:tl2br w:val="nil"/>
              <w:tr2bl w:val="nil"/>
            </w:tcBorders>
            <w:vAlign w:val="center"/>
          </w:tcPr>
          <w:p>
            <w:pPr>
              <w:pStyle w:val="71"/>
              <w:rPr>
                <w:rStyle w:val="32"/>
                <w:kern w:val="2"/>
                <w:highlight w:val="none"/>
              </w:rPr>
            </w:pPr>
            <w:r>
              <w:rPr>
                <w:rStyle w:val="32"/>
                <w:kern w:val="2"/>
                <w:highlight w:val="none"/>
              </w:rPr>
              <w:t>采购代理机构：安徽大别山工程咨询有限公司</w:t>
            </w:r>
          </w:p>
          <w:p>
            <w:pPr>
              <w:pStyle w:val="71"/>
              <w:rPr>
                <w:rStyle w:val="32"/>
                <w:kern w:val="2"/>
                <w:highlight w:val="none"/>
              </w:rPr>
            </w:pPr>
            <w:r>
              <w:rPr>
                <w:rStyle w:val="32"/>
                <w:kern w:val="2"/>
                <w:highlight w:val="none"/>
              </w:rPr>
              <w:t>地    址：安徽霍山经济开发区高桥湾路</w:t>
            </w:r>
          </w:p>
          <w:p>
            <w:pPr>
              <w:pStyle w:val="71"/>
              <w:rPr>
                <w:rStyle w:val="32"/>
                <w:rFonts w:hint="eastAsia" w:eastAsia="宋体"/>
                <w:kern w:val="2"/>
                <w:highlight w:val="none"/>
                <w:lang w:eastAsia="zh-CN"/>
              </w:rPr>
            </w:pPr>
            <w:r>
              <w:rPr>
                <w:rStyle w:val="32"/>
                <w:kern w:val="2"/>
                <w:highlight w:val="none"/>
              </w:rPr>
              <w:t>联 系 人：</w:t>
            </w:r>
            <w:r>
              <w:rPr>
                <w:rStyle w:val="32"/>
                <w:rFonts w:hint="eastAsia"/>
                <w:kern w:val="2"/>
                <w:highlight w:val="none"/>
                <w:lang w:eastAsia="zh-CN"/>
              </w:rPr>
              <w:t>郑先生</w:t>
            </w:r>
          </w:p>
          <w:p>
            <w:pPr>
              <w:pStyle w:val="71"/>
              <w:rPr>
                <w:rStyle w:val="32"/>
                <w:rFonts w:hint="default" w:eastAsia="宋体"/>
                <w:highlight w:val="none"/>
                <w:lang w:val="en-US" w:eastAsia="zh-CN"/>
              </w:rPr>
            </w:pPr>
            <w:r>
              <w:rPr>
                <w:rStyle w:val="32"/>
                <w:kern w:val="2"/>
                <w:highlight w:val="none"/>
              </w:rPr>
              <w:t>电    话：0564-50</w:t>
            </w:r>
            <w:r>
              <w:rPr>
                <w:rStyle w:val="32"/>
                <w:rFonts w:hint="eastAsia"/>
                <w:kern w:val="2"/>
                <w:highlight w:val="none"/>
              </w:rPr>
              <w:t>231</w:t>
            </w:r>
            <w:r>
              <w:rPr>
                <w:rStyle w:val="32"/>
                <w:kern w:val="2"/>
                <w:highlight w:val="none"/>
              </w:rPr>
              <w:t>33</w:t>
            </w:r>
            <w:r>
              <w:rPr>
                <w:rStyle w:val="32"/>
                <w:rFonts w:hint="eastAsia"/>
                <w:kern w:val="2"/>
                <w:highlight w:val="none"/>
                <w:lang w:val="en-US" w:eastAsia="zh-CN"/>
              </w:rPr>
              <w:t>/18098744536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w:t>
            </w:r>
          </w:p>
        </w:tc>
        <w:tc>
          <w:tcPr>
            <w:tcW w:w="1815" w:type="dxa"/>
            <w:tcBorders>
              <w:tl2br w:val="nil"/>
              <w:tr2bl w:val="nil"/>
            </w:tcBorders>
            <w:vAlign w:val="center"/>
          </w:tcPr>
          <w:p>
            <w:pPr>
              <w:pStyle w:val="71"/>
              <w:jc w:val="center"/>
              <w:rPr>
                <w:rStyle w:val="32"/>
                <w:highlight w:val="none"/>
              </w:rPr>
            </w:pPr>
            <w:r>
              <w:rPr>
                <w:rStyle w:val="32"/>
                <w:highlight w:val="none"/>
              </w:rPr>
              <w:t>项目名称</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霍山县殡仪馆和城市公益性公墓一期后续配套工程EPC项目围墙工程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4</w:t>
            </w:r>
          </w:p>
        </w:tc>
        <w:tc>
          <w:tcPr>
            <w:tcW w:w="1815" w:type="dxa"/>
            <w:tcBorders>
              <w:tl2br w:val="nil"/>
              <w:tr2bl w:val="nil"/>
            </w:tcBorders>
            <w:vAlign w:val="center"/>
          </w:tcPr>
          <w:p>
            <w:pPr>
              <w:pStyle w:val="71"/>
              <w:jc w:val="center"/>
              <w:rPr>
                <w:rStyle w:val="32"/>
                <w:highlight w:val="none"/>
              </w:rPr>
            </w:pPr>
            <w:r>
              <w:rPr>
                <w:rStyle w:val="32"/>
                <w:highlight w:val="none"/>
              </w:rPr>
              <w:t>项目地点</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霍山县衡山镇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5</w:t>
            </w:r>
          </w:p>
        </w:tc>
        <w:tc>
          <w:tcPr>
            <w:tcW w:w="1815" w:type="dxa"/>
            <w:tcBorders>
              <w:tl2br w:val="nil"/>
              <w:tr2bl w:val="nil"/>
            </w:tcBorders>
            <w:vAlign w:val="center"/>
          </w:tcPr>
          <w:p>
            <w:pPr>
              <w:pStyle w:val="71"/>
              <w:jc w:val="center"/>
              <w:rPr>
                <w:rStyle w:val="32"/>
                <w:highlight w:val="none"/>
              </w:rPr>
            </w:pPr>
            <w:r>
              <w:rPr>
                <w:rStyle w:val="32"/>
                <w:highlight w:val="none"/>
              </w:rPr>
              <w:t>资金来源及比例</w:t>
            </w:r>
          </w:p>
        </w:tc>
        <w:tc>
          <w:tcPr>
            <w:tcW w:w="6553" w:type="dxa"/>
            <w:tcBorders>
              <w:tl2br w:val="nil"/>
              <w:tr2bl w:val="nil"/>
            </w:tcBorders>
            <w:vAlign w:val="center"/>
          </w:tcPr>
          <w:p>
            <w:pPr>
              <w:pStyle w:val="71"/>
              <w:rPr>
                <w:rStyle w:val="32"/>
                <w:highlight w:val="none"/>
              </w:rPr>
            </w:pPr>
            <w:r>
              <w:rPr>
                <w:rStyle w:val="32"/>
                <w:highlight w:val="none"/>
              </w:rPr>
              <w:t>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6</w:t>
            </w:r>
          </w:p>
        </w:tc>
        <w:tc>
          <w:tcPr>
            <w:tcW w:w="1815" w:type="dxa"/>
            <w:tcBorders>
              <w:tl2br w:val="nil"/>
              <w:tr2bl w:val="nil"/>
            </w:tcBorders>
            <w:vAlign w:val="center"/>
          </w:tcPr>
          <w:p>
            <w:pPr>
              <w:pStyle w:val="71"/>
              <w:jc w:val="center"/>
              <w:rPr>
                <w:rStyle w:val="32"/>
                <w:highlight w:val="none"/>
              </w:rPr>
            </w:pPr>
            <w:r>
              <w:rPr>
                <w:rStyle w:val="32"/>
                <w:highlight w:val="none"/>
              </w:rPr>
              <w:t>资金落实情况</w:t>
            </w:r>
          </w:p>
        </w:tc>
        <w:tc>
          <w:tcPr>
            <w:tcW w:w="6553" w:type="dxa"/>
            <w:tcBorders>
              <w:tl2br w:val="nil"/>
              <w:tr2bl w:val="nil"/>
            </w:tcBorders>
            <w:vAlign w:val="center"/>
          </w:tcPr>
          <w:p>
            <w:pPr>
              <w:pStyle w:val="71"/>
              <w:rPr>
                <w:rStyle w:val="32"/>
                <w:highlight w:val="none"/>
              </w:rPr>
            </w:pPr>
            <w:r>
              <w:rPr>
                <w:rStyle w:val="32"/>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7</w:t>
            </w:r>
          </w:p>
        </w:tc>
        <w:tc>
          <w:tcPr>
            <w:tcW w:w="1815" w:type="dxa"/>
            <w:tcBorders>
              <w:tl2br w:val="nil"/>
              <w:tr2bl w:val="nil"/>
            </w:tcBorders>
            <w:vAlign w:val="center"/>
          </w:tcPr>
          <w:p>
            <w:pPr>
              <w:pStyle w:val="71"/>
              <w:jc w:val="center"/>
              <w:rPr>
                <w:rStyle w:val="32"/>
                <w:highlight w:val="none"/>
              </w:rPr>
            </w:pPr>
            <w:r>
              <w:rPr>
                <w:rStyle w:val="32"/>
                <w:highlight w:val="none"/>
              </w:rPr>
              <w:t>项目范围</w:t>
            </w:r>
          </w:p>
        </w:tc>
        <w:tc>
          <w:tcPr>
            <w:tcW w:w="6553" w:type="dxa"/>
            <w:tcBorders>
              <w:tl2br w:val="nil"/>
              <w:tr2bl w:val="nil"/>
            </w:tcBorders>
            <w:vAlign w:val="center"/>
          </w:tcPr>
          <w:p>
            <w:pPr>
              <w:pStyle w:val="71"/>
              <w:rPr>
                <w:rStyle w:val="32"/>
                <w:highlight w:val="none"/>
              </w:rPr>
            </w:pPr>
            <w:r>
              <w:rPr>
                <w:rStyle w:val="32"/>
                <w:rFonts w:hint="eastAsia"/>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rFonts w:hint="eastAsia"/>
                <w:highlight w:val="none"/>
              </w:rPr>
              <w:t>期限</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right="0" w:rightChars="0"/>
              <w:textAlignment w:val="center"/>
              <w:rPr>
                <w:rStyle w:val="32"/>
                <w:highlight w:val="none"/>
              </w:rPr>
            </w:pPr>
            <w:r>
              <w:rPr>
                <w:rStyle w:val="32"/>
                <w:rFonts w:hint="eastAsia"/>
                <w:sz w:val="22"/>
                <w:szCs w:val="22"/>
                <w:highlight w:val="none"/>
                <w:lang w:val="en-US" w:eastAsia="zh-CN" w:bidi="ar-SA"/>
              </w:rPr>
              <w:t>合同签订后三个月内完成施工任务。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9</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highlight w:val="none"/>
              </w:rPr>
              <w:t>要求</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left="0" w:leftChars="0" w:right="0" w:rightChars="0" w:firstLine="0" w:firstLineChars="0"/>
              <w:textAlignment w:val="center"/>
              <w:rPr>
                <w:rStyle w:val="32"/>
                <w:rFonts w:ascii="宋体" w:hAnsi="宋体"/>
                <w:szCs w:val="22"/>
                <w:highlight w:val="none"/>
              </w:rPr>
            </w:pPr>
            <w:r>
              <w:rPr>
                <w:rStyle w:val="32"/>
                <w:rFonts w:hint="eastAsia"/>
                <w:b/>
                <w:bCs/>
                <w:color w:val="FF0000"/>
                <w:sz w:val="22"/>
                <w:szCs w:val="22"/>
                <w:highlight w:val="none"/>
                <w:lang w:val="en-US" w:eastAsia="zh-CN" w:bidi="ar-SA"/>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资质条件、能力和信誉</w:t>
            </w:r>
          </w:p>
        </w:tc>
        <w:tc>
          <w:tcPr>
            <w:tcW w:w="6553" w:type="dxa"/>
            <w:tcBorders>
              <w:tl2br w:val="nil"/>
              <w:tr2bl w:val="nil"/>
            </w:tcBorders>
            <w:vAlign w:val="center"/>
          </w:tcPr>
          <w:p>
            <w:pPr>
              <w:pStyle w:val="71"/>
              <w:rPr>
                <w:rStyle w:val="32"/>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11</w:t>
            </w:r>
          </w:p>
        </w:tc>
        <w:tc>
          <w:tcPr>
            <w:tcW w:w="1815" w:type="dxa"/>
            <w:tcBorders>
              <w:tl2br w:val="nil"/>
              <w:tr2bl w:val="nil"/>
            </w:tcBorders>
            <w:vAlign w:val="center"/>
          </w:tcPr>
          <w:p>
            <w:pPr>
              <w:pStyle w:val="71"/>
              <w:jc w:val="center"/>
              <w:rPr>
                <w:rStyle w:val="32"/>
                <w:highlight w:val="none"/>
              </w:rPr>
            </w:pPr>
            <w:r>
              <w:rPr>
                <w:rStyle w:val="32"/>
                <w:highlight w:val="none"/>
              </w:rPr>
              <w:t>是否接受联合体报价</w:t>
            </w:r>
          </w:p>
        </w:tc>
        <w:tc>
          <w:tcPr>
            <w:tcW w:w="6553" w:type="dxa"/>
            <w:tcBorders>
              <w:tl2br w:val="nil"/>
              <w:tr2bl w:val="nil"/>
            </w:tcBorders>
            <w:vAlign w:val="center"/>
          </w:tcPr>
          <w:p>
            <w:pPr>
              <w:pStyle w:val="71"/>
              <w:rPr>
                <w:rStyle w:val="32"/>
                <w:highlight w:val="none"/>
              </w:rPr>
            </w:pPr>
            <w:r>
              <w:rPr>
                <w:rStyle w:val="32"/>
                <w:rFonts w:hint="eastAsia"/>
                <w:highlight w:val="none"/>
                <w:lang w:val="en-US" w:eastAsia="zh-CN"/>
              </w:rPr>
              <w:t>不</w:t>
            </w:r>
            <w:r>
              <w:rPr>
                <w:rStyle w:val="32"/>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不得存在的其他关联情形</w:t>
            </w:r>
          </w:p>
        </w:tc>
        <w:tc>
          <w:tcPr>
            <w:tcW w:w="6553" w:type="dxa"/>
            <w:tcBorders>
              <w:tl2br w:val="nil"/>
              <w:tr2bl w:val="nil"/>
            </w:tcBorders>
            <w:vAlign w:val="center"/>
          </w:tcPr>
          <w:p>
            <w:pPr>
              <w:pStyle w:val="71"/>
              <w:rPr>
                <w:rStyle w:val="32"/>
                <w:highlight w:val="none"/>
              </w:rPr>
            </w:pPr>
            <w:r>
              <w:rPr>
                <w:rStyle w:val="32"/>
                <w:highlight w:val="none"/>
              </w:rPr>
              <w:t>(1)与采购人存在利害关系且可能影响询比采购公正性；</w:t>
            </w:r>
          </w:p>
          <w:p>
            <w:pPr>
              <w:pStyle w:val="71"/>
              <w:rPr>
                <w:rStyle w:val="32"/>
                <w:highlight w:val="none"/>
              </w:rPr>
            </w:pPr>
            <w:r>
              <w:rPr>
                <w:rStyle w:val="32"/>
                <w:highlight w:val="none"/>
              </w:rPr>
              <w:t>(2)与本询比采购项目的其他</w:t>
            </w:r>
            <w:r>
              <w:rPr>
                <w:rStyle w:val="32"/>
                <w:rFonts w:hint="eastAsia"/>
                <w:highlight w:val="none"/>
                <w:lang w:eastAsia="zh-CN"/>
              </w:rPr>
              <w:t>供应商</w:t>
            </w:r>
            <w:r>
              <w:rPr>
                <w:rStyle w:val="32"/>
                <w:highlight w:val="none"/>
              </w:rPr>
              <w:t>为同一个单位负责人；</w:t>
            </w:r>
          </w:p>
          <w:p>
            <w:pPr>
              <w:pStyle w:val="71"/>
              <w:rPr>
                <w:rStyle w:val="32"/>
                <w:highlight w:val="none"/>
              </w:rPr>
            </w:pPr>
            <w:r>
              <w:rPr>
                <w:rStyle w:val="32"/>
                <w:highlight w:val="none"/>
              </w:rPr>
              <w:t>(3)与本询比采购项目的其他</w:t>
            </w:r>
            <w:r>
              <w:rPr>
                <w:rStyle w:val="32"/>
                <w:rFonts w:hint="eastAsia"/>
                <w:highlight w:val="none"/>
                <w:lang w:eastAsia="zh-CN"/>
              </w:rPr>
              <w:t>供应商</w:t>
            </w:r>
            <w:r>
              <w:rPr>
                <w:rStyle w:val="32"/>
                <w:highlight w:val="none"/>
              </w:rPr>
              <w:t>存在控股、管理关系；</w:t>
            </w:r>
          </w:p>
          <w:p>
            <w:pPr>
              <w:pStyle w:val="71"/>
              <w:rPr>
                <w:rStyle w:val="32"/>
                <w:highlight w:val="none"/>
              </w:rPr>
            </w:pPr>
            <w:r>
              <w:rPr>
                <w:rStyle w:val="32"/>
                <w:highlight w:val="none"/>
              </w:rPr>
              <w:t>(4)与本项目的相关采购人存在隶属关系或者其他利害关系；</w:t>
            </w:r>
          </w:p>
          <w:p>
            <w:pPr>
              <w:pStyle w:val="71"/>
              <w:rPr>
                <w:rStyle w:val="32"/>
                <w:highlight w:val="none"/>
              </w:rPr>
            </w:pPr>
            <w:r>
              <w:rPr>
                <w:rStyle w:val="32"/>
                <w:highlight w:val="none"/>
              </w:rPr>
              <w:t>(5)被依法暂停或者取消报价资格；</w:t>
            </w:r>
          </w:p>
          <w:p>
            <w:pPr>
              <w:pStyle w:val="71"/>
              <w:rPr>
                <w:rStyle w:val="32"/>
                <w:highlight w:val="none"/>
              </w:rPr>
            </w:pPr>
            <w:r>
              <w:rPr>
                <w:rStyle w:val="32"/>
                <w:highlight w:val="none"/>
              </w:rPr>
              <w:t>(6)被责令停产停业、暂扣或者吊销许可证、暂扣或者吊销执照；</w:t>
            </w:r>
          </w:p>
          <w:p>
            <w:pPr>
              <w:pStyle w:val="71"/>
              <w:rPr>
                <w:rStyle w:val="32"/>
                <w:highlight w:val="none"/>
              </w:rPr>
            </w:pPr>
            <w:r>
              <w:rPr>
                <w:rStyle w:val="32"/>
                <w:highlight w:val="none"/>
              </w:rPr>
              <w:t>(7)进入清算程序，或被宣告破产，或其他丧失履约能力的情形；</w:t>
            </w:r>
          </w:p>
          <w:p>
            <w:pPr>
              <w:pStyle w:val="71"/>
              <w:rPr>
                <w:rStyle w:val="32"/>
                <w:highlight w:val="none"/>
              </w:rPr>
            </w:pPr>
            <w:r>
              <w:rPr>
                <w:rStyle w:val="32"/>
                <w:highlight w:val="none"/>
              </w:rPr>
              <w:t>(8)在最近三年内发生发生过重大质量、安全责任事故(以相关行业主管部门的行政处罚决定或司法机关出具的有关法律文书为准)；</w:t>
            </w:r>
          </w:p>
          <w:p>
            <w:pPr>
              <w:pStyle w:val="71"/>
              <w:rPr>
                <w:rStyle w:val="32"/>
                <w:highlight w:val="none"/>
              </w:rPr>
            </w:pPr>
            <w:r>
              <w:rPr>
                <w:rStyle w:val="32"/>
                <w:highlight w:val="none"/>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szCs w:val="21"/>
                <w:highlight w:val="none"/>
              </w:rPr>
              <w:t>13</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不得存在的其他不良状况或不良信用</w:t>
            </w:r>
          </w:p>
        </w:tc>
        <w:tc>
          <w:tcPr>
            <w:tcW w:w="6553" w:type="dxa"/>
            <w:tcBorders>
              <w:tl2br w:val="nil"/>
              <w:tr2bl w:val="nil"/>
            </w:tcBorders>
            <w:vAlign w:val="center"/>
          </w:tcPr>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(1）</w:t>
            </w:r>
            <w:r>
              <w:rPr>
                <w:rStyle w:val="32"/>
                <w:rFonts w:hint="eastAsia"/>
                <w:sz w:val="22"/>
                <w:szCs w:val="22"/>
                <w:highlight w:val="none"/>
                <w:lang w:eastAsia="zh-CN"/>
              </w:rPr>
              <w:t>供应商</w:t>
            </w:r>
            <w:r>
              <w:rPr>
                <w:rStyle w:val="32"/>
                <w:sz w:val="22"/>
                <w:szCs w:val="22"/>
                <w:highlight w:val="none"/>
              </w:rPr>
              <w:t>被人民法院列入失信被执行人的，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w:t>
            </w:r>
            <w:r>
              <w:rPr>
                <w:rStyle w:val="32"/>
                <w:rFonts w:hint="eastAsia"/>
                <w:sz w:val="22"/>
                <w:szCs w:val="22"/>
                <w:highlight w:val="none"/>
              </w:rPr>
              <w:t>网</w:t>
            </w:r>
            <w:r>
              <w:rPr>
                <w:rStyle w:val="32"/>
                <w:sz w:val="22"/>
                <w:szCs w:val="22"/>
                <w:highlight w:val="none"/>
              </w:rPr>
              <w:t>（www.creditchina.gov.cn）；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(2）</w:t>
            </w:r>
            <w:r>
              <w:rPr>
                <w:rStyle w:val="32"/>
                <w:rFonts w:hint="eastAsia"/>
                <w:sz w:val="22"/>
                <w:szCs w:val="22"/>
                <w:highlight w:val="none"/>
                <w:lang w:eastAsia="zh-CN"/>
              </w:rPr>
              <w:t>供应商</w:t>
            </w:r>
            <w:r>
              <w:rPr>
                <w:rStyle w:val="32"/>
                <w:sz w:val="22"/>
                <w:szCs w:val="22"/>
                <w:highlight w:val="none"/>
              </w:rPr>
              <w:t>被工商行政管理部门列入企业经营异常名录的，</w:t>
            </w:r>
          </w:p>
          <w:p>
            <w:pPr>
              <w:pStyle w:val="58"/>
              <w:shd w:val="clear" w:color="auto" w:fill="FFFFFF"/>
              <w:spacing w:line="400" w:lineRule="exact"/>
              <w:ind w:firstLineChars="0"/>
              <w:textAlignment w:val="auto"/>
              <w:rPr>
                <w:rStyle w:val="32"/>
                <w:sz w:val="22"/>
                <w:szCs w:val="22"/>
                <w:highlight w:val="none"/>
              </w:rPr>
            </w:pPr>
            <w:r>
              <w:rPr>
                <w:rStyle w:val="32"/>
                <w:rFonts w:hint="eastAsia"/>
                <w:sz w:val="22"/>
                <w:szCs w:val="22"/>
                <w:highlight w:val="none"/>
              </w:rPr>
              <w:t>国家企业信用信息公示系统网站（www.gsxt.gov.cn）；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(3）</w:t>
            </w:r>
            <w:r>
              <w:rPr>
                <w:rStyle w:val="32"/>
                <w:rFonts w:hint="eastAsia"/>
                <w:sz w:val="22"/>
                <w:szCs w:val="22"/>
                <w:highlight w:val="none"/>
                <w:lang w:eastAsia="zh-CN"/>
              </w:rPr>
              <w:t>供应商</w:t>
            </w:r>
            <w:r>
              <w:rPr>
                <w:rStyle w:val="32"/>
                <w:sz w:val="22"/>
                <w:szCs w:val="22"/>
                <w:highlight w:val="none"/>
              </w:rPr>
              <w:t>被税务部门列入重大税收违法案件当事人名单的，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信用中国官网（www.creditchina.gov.cn）；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(4）</w:t>
            </w:r>
            <w:r>
              <w:rPr>
                <w:rStyle w:val="32"/>
                <w:rFonts w:hint="eastAsia"/>
                <w:sz w:val="22"/>
                <w:szCs w:val="22"/>
                <w:highlight w:val="none"/>
                <w:lang w:eastAsia="zh-CN"/>
              </w:rPr>
              <w:t>供应商</w:t>
            </w:r>
            <w:r>
              <w:rPr>
                <w:rStyle w:val="32"/>
                <w:sz w:val="22"/>
                <w:szCs w:val="22"/>
                <w:highlight w:val="none"/>
              </w:rPr>
              <w:t>被政府采购监管部门列入政府采购严重违法失信行为记录名单的，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14</w:t>
            </w:r>
          </w:p>
        </w:tc>
        <w:tc>
          <w:tcPr>
            <w:tcW w:w="1815" w:type="dxa"/>
            <w:tcBorders>
              <w:tl2br w:val="nil"/>
              <w:tr2bl w:val="nil"/>
            </w:tcBorders>
            <w:vAlign w:val="center"/>
          </w:tcPr>
          <w:p>
            <w:pPr>
              <w:pStyle w:val="71"/>
              <w:jc w:val="center"/>
              <w:rPr>
                <w:rStyle w:val="32"/>
                <w:highlight w:val="none"/>
              </w:rPr>
            </w:pPr>
            <w:r>
              <w:rPr>
                <w:rStyle w:val="32"/>
                <w:highlight w:val="none"/>
              </w:rPr>
              <w:t>踏勘现场</w:t>
            </w:r>
          </w:p>
        </w:tc>
        <w:tc>
          <w:tcPr>
            <w:tcW w:w="6553" w:type="dxa"/>
            <w:tcBorders>
              <w:tl2br w:val="nil"/>
              <w:tr2bl w:val="nil"/>
            </w:tcBorders>
            <w:vAlign w:val="center"/>
          </w:tcPr>
          <w:p>
            <w:pPr>
              <w:pStyle w:val="71"/>
              <w:rPr>
                <w:rStyle w:val="32"/>
                <w:sz w:val="24"/>
                <w:szCs w:val="20"/>
                <w:highlight w:val="none"/>
              </w:rPr>
            </w:pPr>
            <w:r>
              <w:rPr>
                <w:rStyle w:val="32"/>
                <w:rFonts w:hint="eastAsia"/>
                <w:highlight w:val="none"/>
                <w:lang w:eastAsia="zh-CN"/>
              </w:rPr>
              <w:t>供应商</w:t>
            </w:r>
            <w:r>
              <w:rPr>
                <w:rStyle w:val="32"/>
                <w:highlight w:val="none"/>
              </w:rPr>
              <w:t>自行勘察现场。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15</w:t>
            </w:r>
          </w:p>
        </w:tc>
        <w:tc>
          <w:tcPr>
            <w:tcW w:w="1815" w:type="dxa"/>
            <w:tcBorders>
              <w:tl2br w:val="nil"/>
              <w:tr2bl w:val="nil"/>
            </w:tcBorders>
            <w:vAlign w:val="center"/>
          </w:tcPr>
          <w:p>
            <w:pPr>
              <w:pStyle w:val="71"/>
              <w:jc w:val="center"/>
              <w:rPr>
                <w:rStyle w:val="32"/>
                <w:highlight w:val="none"/>
              </w:rPr>
            </w:pPr>
            <w:r>
              <w:rPr>
                <w:rStyle w:val="32"/>
                <w:highlight w:val="none"/>
              </w:rPr>
              <w:t>报价预备会</w:t>
            </w:r>
          </w:p>
        </w:tc>
        <w:tc>
          <w:tcPr>
            <w:tcW w:w="6553" w:type="dxa"/>
            <w:tcBorders>
              <w:tl2br w:val="nil"/>
              <w:tr2bl w:val="nil"/>
            </w:tcBorders>
            <w:vAlign w:val="center"/>
          </w:tcPr>
          <w:p>
            <w:pPr>
              <w:pStyle w:val="71"/>
              <w:rPr>
                <w:rStyle w:val="32"/>
                <w:highlight w:val="none"/>
              </w:rPr>
            </w:pPr>
            <w:r>
              <w:rPr>
                <w:rStyle w:val="32"/>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16</w:t>
            </w:r>
          </w:p>
        </w:tc>
        <w:tc>
          <w:tcPr>
            <w:tcW w:w="1815" w:type="dxa"/>
            <w:tcBorders>
              <w:tl2br w:val="nil"/>
              <w:tr2bl w:val="nil"/>
            </w:tcBorders>
            <w:vAlign w:val="center"/>
          </w:tcPr>
          <w:p>
            <w:pPr>
              <w:pStyle w:val="71"/>
              <w:jc w:val="center"/>
              <w:rPr>
                <w:rStyle w:val="32"/>
                <w:highlight w:val="none"/>
              </w:rPr>
            </w:pPr>
            <w:r>
              <w:rPr>
                <w:rStyle w:val="32"/>
                <w:highlight w:val="none"/>
              </w:rPr>
              <w:t>分</w:t>
            </w:r>
            <w:r>
              <w:rPr>
                <w:rStyle w:val="32"/>
                <w:rFonts w:hint="eastAsia"/>
                <w:highlight w:val="none"/>
              </w:rPr>
              <w:t xml:space="preserve"> </w:t>
            </w:r>
            <w:r>
              <w:rPr>
                <w:rStyle w:val="32"/>
                <w:highlight w:val="none"/>
              </w:rPr>
              <w:t>包</w:t>
            </w:r>
          </w:p>
        </w:tc>
        <w:tc>
          <w:tcPr>
            <w:tcW w:w="6553" w:type="dxa"/>
            <w:tcBorders>
              <w:tl2br w:val="nil"/>
              <w:tr2bl w:val="nil"/>
            </w:tcBorders>
            <w:vAlign w:val="center"/>
          </w:tcPr>
          <w:p>
            <w:pPr>
              <w:pStyle w:val="71"/>
              <w:rPr>
                <w:rStyle w:val="32"/>
                <w:highlight w:val="none"/>
              </w:rPr>
            </w:pPr>
            <w:r>
              <w:rPr>
                <w:rStyle w:val="3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17</w:t>
            </w:r>
          </w:p>
        </w:tc>
        <w:tc>
          <w:tcPr>
            <w:tcW w:w="1815" w:type="dxa"/>
            <w:tcBorders>
              <w:tl2br w:val="nil"/>
              <w:tr2bl w:val="nil"/>
            </w:tcBorders>
            <w:vAlign w:val="center"/>
          </w:tcPr>
          <w:p>
            <w:pPr>
              <w:pStyle w:val="71"/>
              <w:jc w:val="center"/>
              <w:rPr>
                <w:rStyle w:val="32"/>
                <w:highlight w:val="none"/>
              </w:rPr>
            </w:pPr>
            <w:r>
              <w:rPr>
                <w:rStyle w:val="32"/>
                <w:highlight w:val="none"/>
              </w:rPr>
              <w:t>构成询比采购文件的其他材料</w:t>
            </w:r>
          </w:p>
        </w:tc>
        <w:tc>
          <w:tcPr>
            <w:tcW w:w="6553" w:type="dxa"/>
            <w:tcBorders>
              <w:tl2br w:val="nil"/>
              <w:tr2bl w:val="nil"/>
            </w:tcBorders>
            <w:vAlign w:val="center"/>
          </w:tcPr>
          <w:p>
            <w:pPr>
              <w:pStyle w:val="71"/>
              <w:rPr>
                <w:rStyle w:val="32"/>
                <w:highlight w:val="none"/>
              </w:rPr>
            </w:pPr>
            <w:r>
              <w:rPr>
                <w:rStyle w:val="32"/>
                <w:highlight w:val="none"/>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要求澄清询比采购文件的截止时间</w:t>
            </w:r>
          </w:p>
        </w:tc>
        <w:tc>
          <w:tcPr>
            <w:tcW w:w="6553" w:type="dxa"/>
            <w:tcBorders>
              <w:tl2br w:val="nil"/>
              <w:tr2bl w:val="nil"/>
            </w:tcBorders>
            <w:vAlign w:val="center"/>
          </w:tcPr>
          <w:p>
            <w:pPr>
              <w:pStyle w:val="71"/>
              <w:rPr>
                <w:rStyle w:val="32"/>
                <w:highlight w:val="none"/>
              </w:rPr>
            </w:pPr>
            <w:r>
              <w:rPr>
                <w:rStyle w:val="32"/>
                <w:highlight w:val="none"/>
              </w:rPr>
              <w:t>时间：递交报价文件截止之日1天前；</w:t>
            </w:r>
          </w:p>
          <w:p>
            <w:pPr>
              <w:pStyle w:val="71"/>
              <w:rPr>
                <w:rStyle w:val="32"/>
                <w:highlight w:val="none"/>
              </w:rPr>
            </w:pPr>
            <w:r>
              <w:rPr>
                <w:rStyle w:val="32"/>
                <w:highlight w:val="none"/>
              </w:rPr>
              <w:t>形式：书面形式（如邮件、信函、传真等）。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19</w:t>
            </w:r>
          </w:p>
        </w:tc>
        <w:tc>
          <w:tcPr>
            <w:tcW w:w="1815" w:type="dxa"/>
            <w:tcBorders>
              <w:tl2br w:val="nil"/>
              <w:tr2bl w:val="nil"/>
            </w:tcBorders>
            <w:vAlign w:val="center"/>
          </w:tcPr>
          <w:p>
            <w:pPr>
              <w:pStyle w:val="71"/>
              <w:jc w:val="center"/>
              <w:rPr>
                <w:rStyle w:val="32"/>
                <w:highlight w:val="none"/>
              </w:rPr>
            </w:pPr>
            <w:r>
              <w:rPr>
                <w:rStyle w:val="32"/>
                <w:highlight w:val="none"/>
              </w:rPr>
              <w:t>询比采购文件澄清发出的形式</w:t>
            </w:r>
          </w:p>
        </w:tc>
        <w:tc>
          <w:tcPr>
            <w:tcW w:w="6553" w:type="dxa"/>
            <w:tcBorders>
              <w:tl2br w:val="nil"/>
              <w:tr2bl w:val="nil"/>
            </w:tcBorders>
            <w:vAlign w:val="center"/>
          </w:tcPr>
          <w:p>
            <w:pPr>
              <w:pStyle w:val="71"/>
              <w:rPr>
                <w:rStyle w:val="32"/>
                <w:highlight w:val="none"/>
              </w:rPr>
            </w:pPr>
            <w:r>
              <w:rPr>
                <w:rStyle w:val="32"/>
                <w:highlight w:val="none"/>
              </w:rPr>
              <w:t>询比采购文件澄清将在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确认收到询比采购文件澄清</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21</w:t>
            </w:r>
          </w:p>
        </w:tc>
        <w:tc>
          <w:tcPr>
            <w:tcW w:w="1815" w:type="dxa"/>
            <w:tcBorders>
              <w:tl2br w:val="nil"/>
              <w:tr2bl w:val="nil"/>
            </w:tcBorders>
            <w:vAlign w:val="center"/>
          </w:tcPr>
          <w:p>
            <w:pPr>
              <w:pStyle w:val="71"/>
              <w:jc w:val="center"/>
              <w:rPr>
                <w:rStyle w:val="32"/>
                <w:highlight w:val="none"/>
              </w:rPr>
            </w:pPr>
            <w:r>
              <w:rPr>
                <w:rStyle w:val="32"/>
                <w:highlight w:val="none"/>
              </w:rPr>
              <w:t>询比采购文件修改发出的形式</w:t>
            </w:r>
          </w:p>
        </w:tc>
        <w:tc>
          <w:tcPr>
            <w:tcW w:w="6553" w:type="dxa"/>
            <w:tcBorders>
              <w:tl2br w:val="nil"/>
              <w:tr2bl w:val="nil"/>
            </w:tcBorders>
            <w:vAlign w:val="center"/>
          </w:tcPr>
          <w:p>
            <w:pPr>
              <w:pStyle w:val="71"/>
              <w:rPr>
                <w:rStyle w:val="32"/>
                <w:highlight w:val="none"/>
              </w:rPr>
            </w:pPr>
            <w:r>
              <w:rPr>
                <w:rStyle w:val="32"/>
                <w:highlight w:val="none"/>
              </w:rPr>
              <w:t>询比采购文件修改将在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确认收到询比采购文件修改</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应关注采购公告载明的网站，及时下载询比采购文件修改，</w:t>
            </w:r>
            <w:r>
              <w:rPr>
                <w:rStyle w:val="32"/>
                <w:szCs w:val="21"/>
                <w:highlight w:val="none"/>
              </w:rPr>
              <w:t>无需回复确认</w:t>
            </w:r>
            <w:r>
              <w:rPr>
                <w:rStyle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23</w:t>
            </w:r>
          </w:p>
        </w:tc>
        <w:tc>
          <w:tcPr>
            <w:tcW w:w="1815" w:type="dxa"/>
            <w:tcBorders>
              <w:tl2br w:val="nil"/>
              <w:tr2bl w:val="nil"/>
            </w:tcBorders>
            <w:vAlign w:val="center"/>
          </w:tcPr>
          <w:p>
            <w:pPr>
              <w:pStyle w:val="71"/>
              <w:jc w:val="center"/>
              <w:rPr>
                <w:rStyle w:val="32"/>
                <w:highlight w:val="none"/>
              </w:rPr>
            </w:pPr>
            <w:r>
              <w:rPr>
                <w:rStyle w:val="32"/>
                <w:highlight w:val="none"/>
              </w:rPr>
              <w:t>报价文件包含的内容</w:t>
            </w:r>
          </w:p>
        </w:tc>
        <w:tc>
          <w:tcPr>
            <w:tcW w:w="6553" w:type="dxa"/>
            <w:tcBorders>
              <w:tl2br w:val="nil"/>
              <w:tr2bl w:val="nil"/>
            </w:tcBorders>
            <w:vAlign w:val="center"/>
          </w:tcPr>
          <w:p>
            <w:pPr>
              <w:pStyle w:val="71"/>
              <w:rPr>
                <w:rStyle w:val="32"/>
                <w:highlight w:val="none"/>
              </w:rPr>
            </w:pPr>
            <w:r>
              <w:rPr>
                <w:rStyle w:val="32"/>
                <w:highlight w:val="none"/>
              </w:rPr>
              <w:t>见报价清单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24</w:t>
            </w:r>
          </w:p>
        </w:tc>
        <w:tc>
          <w:tcPr>
            <w:tcW w:w="1815" w:type="dxa"/>
            <w:tcBorders>
              <w:tl2br w:val="nil"/>
              <w:tr2bl w:val="nil"/>
            </w:tcBorders>
            <w:vAlign w:val="center"/>
          </w:tcPr>
          <w:p>
            <w:pPr>
              <w:pStyle w:val="71"/>
              <w:jc w:val="center"/>
              <w:rPr>
                <w:rStyle w:val="32"/>
                <w:highlight w:val="none"/>
              </w:rPr>
            </w:pPr>
            <w:r>
              <w:rPr>
                <w:rStyle w:val="32"/>
                <w:highlight w:val="none"/>
              </w:rPr>
              <w:t>增值税税金的计算方法</w:t>
            </w:r>
          </w:p>
        </w:tc>
        <w:tc>
          <w:tcPr>
            <w:tcW w:w="6553" w:type="dxa"/>
            <w:tcBorders>
              <w:tl2br w:val="nil"/>
              <w:tr2bl w:val="nil"/>
            </w:tcBorders>
            <w:vAlign w:val="center"/>
          </w:tcPr>
          <w:p>
            <w:pPr>
              <w:pStyle w:val="71"/>
              <w:rPr>
                <w:rStyle w:val="32"/>
                <w:rFonts w:hint="default" w:eastAsia="宋体"/>
                <w:highlight w:val="none"/>
                <w:lang w:val="en-US" w:eastAsia="zh-CN"/>
              </w:rPr>
            </w:pPr>
            <w:r>
              <w:rPr>
                <w:rStyle w:val="32"/>
                <w:highlight w:val="none"/>
              </w:rPr>
              <w:t>报价为含税价</w:t>
            </w:r>
            <w:r>
              <w:rPr>
                <w:rStyle w:val="32"/>
                <w:rFonts w:hint="eastAsia"/>
                <w:highlight w:val="none"/>
                <w:lang w:eastAsia="zh-CN"/>
              </w:rPr>
              <w:t>，提供</w:t>
            </w:r>
            <w:r>
              <w:rPr>
                <w:rStyle w:val="32"/>
                <w:rFonts w:hint="eastAsia"/>
                <w:highlight w:val="none"/>
                <w:lang w:val="en-US" w:eastAsia="zh-CN"/>
              </w:rPr>
              <w:t>3%增值税专票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25</w:t>
            </w:r>
          </w:p>
        </w:tc>
        <w:tc>
          <w:tcPr>
            <w:tcW w:w="1815" w:type="dxa"/>
            <w:tcBorders>
              <w:tl2br w:val="nil"/>
              <w:tr2bl w:val="nil"/>
            </w:tcBorders>
            <w:vAlign w:val="center"/>
          </w:tcPr>
          <w:p>
            <w:pPr>
              <w:pStyle w:val="71"/>
              <w:jc w:val="center"/>
              <w:rPr>
                <w:rStyle w:val="32"/>
                <w:highlight w:val="none"/>
              </w:rPr>
            </w:pPr>
            <w:r>
              <w:rPr>
                <w:rStyle w:val="32"/>
                <w:highlight w:val="none"/>
              </w:rPr>
              <w:t>报价方式和</w:t>
            </w:r>
          </w:p>
          <w:p>
            <w:pPr>
              <w:pStyle w:val="71"/>
              <w:jc w:val="center"/>
              <w:rPr>
                <w:rStyle w:val="32"/>
                <w:highlight w:val="none"/>
              </w:rPr>
            </w:pPr>
            <w:r>
              <w:rPr>
                <w:rStyle w:val="32"/>
                <w:highlight w:val="none"/>
              </w:rPr>
              <w:t>最高报价限价</w:t>
            </w:r>
          </w:p>
        </w:tc>
        <w:tc>
          <w:tcPr>
            <w:tcW w:w="6553" w:type="dxa"/>
            <w:tcBorders>
              <w:tl2br w:val="nil"/>
              <w:tr2bl w:val="nil"/>
            </w:tcBorders>
            <w:vAlign w:val="center"/>
          </w:tcPr>
          <w:p>
            <w:pPr>
              <w:pStyle w:val="71"/>
              <w:rPr>
                <w:rStyle w:val="32"/>
                <w:highlight w:val="none"/>
              </w:rPr>
            </w:pPr>
            <w:r>
              <w:rPr>
                <w:rStyle w:val="32"/>
                <w:rFonts w:hint="eastAsia"/>
                <w:sz w:val="21"/>
                <w:szCs w:val="21"/>
                <w:highlight w:val="none"/>
                <w:lang w:eastAsia="zh-CN"/>
              </w:rPr>
              <w:t>本项目采用单价报价，</w:t>
            </w:r>
            <w:r>
              <w:rPr>
                <w:rStyle w:val="32"/>
                <w:rFonts w:hint="eastAsia"/>
                <w:sz w:val="21"/>
                <w:szCs w:val="21"/>
                <w:highlight w:val="none"/>
                <w:u w:val="single"/>
                <w:lang w:val="en-US" w:eastAsia="zh-CN"/>
              </w:rPr>
              <w:t>实心围墙单价</w:t>
            </w:r>
            <w:r>
              <w:rPr>
                <w:rStyle w:val="32"/>
                <w:rFonts w:hint="eastAsia"/>
                <w:sz w:val="21"/>
                <w:szCs w:val="21"/>
                <w:highlight w:val="none"/>
                <w:u w:val="single"/>
                <w:lang w:eastAsia="zh-CN"/>
              </w:rPr>
              <w:t>最高</w:t>
            </w:r>
            <w:r>
              <w:rPr>
                <w:rStyle w:val="32"/>
                <w:rFonts w:hint="eastAsia"/>
                <w:sz w:val="21"/>
                <w:szCs w:val="21"/>
                <w:highlight w:val="none"/>
                <w:u w:val="single"/>
                <w:lang w:val="en-US" w:eastAsia="zh-CN"/>
              </w:rPr>
              <w:t>限价为1198.83元/m，总计2157892.63元。通透式单价最高限价为765.81元/m,总计275691.79元</w:t>
            </w:r>
            <w:r>
              <w:rPr>
                <w:rStyle w:val="32"/>
                <w:sz w:val="21"/>
                <w:szCs w:val="21"/>
                <w:highlight w:val="none"/>
              </w:rPr>
              <w:t>，超过此限价的报价为无效响应</w:t>
            </w:r>
            <w:r>
              <w:rPr>
                <w:rStyle w:val="32"/>
                <w:rFonts w:hint="eastAsia"/>
                <w:sz w:val="21"/>
                <w:szCs w:val="21"/>
                <w:highlight w:val="none"/>
                <w:lang w:eastAsia="zh-CN"/>
              </w:rPr>
              <w:t>。</w:t>
            </w:r>
            <w:r>
              <w:rPr>
                <w:rStyle w:val="32"/>
                <w:rFonts w:hint="eastAsia"/>
                <w:sz w:val="21"/>
                <w:szCs w:val="21"/>
                <w:highlight w:val="none"/>
                <w:u w:val="none"/>
                <w:lang w:val="en-US" w:eastAsia="zh-CN"/>
              </w:rPr>
              <w:t>（报价依据采购需求清单及工程量清单）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26</w:t>
            </w:r>
          </w:p>
        </w:tc>
        <w:tc>
          <w:tcPr>
            <w:tcW w:w="1815" w:type="dxa"/>
            <w:tcBorders>
              <w:tl2br w:val="nil"/>
              <w:tr2bl w:val="nil"/>
            </w:tcBorders>
            <w:vAlign w:val="center"/>
          </w:tcPr>
          <w:p>
            <w:pPr>
              <w:pStyle w:val="71"/>
              <w:rPr>
                <w:rStyle w:val="32"/>
                <w:highlight w:val="none"/>
              </w:rPr>
            </w:pPr>
            <w:r>
              <w:rPr>
                <w:rStyle w:val="32"/>
                <w:highlight w:val="none"/>
              </w:rPr>
              <w:t>是否接受调价函</w:t>
            </w:r>
          </w:p>
        </w:tc>
        <w:tc>
          <w:tcPr>
            <w:tcW w:w="6553" w:type="dxa"/>
            <w:tcBorders>
              <w:tl2br w:val="nil"/>
              <w:tr2bl w:val="nil"/>
            </w:tcBorders>
            <w:vAlign w:val="center"/>
          </w:tcPr>
          <w:p>
            <w:pPr>
              <w:pStyle w:val="71"/>
              <w:rPr>
                <w:rStyle w:val="32"/>
                <w:highlight w:val="none"/>
              </w:rPr>
            </w:pPr>
            <w:r>
              <w:rPr>
                <w:rStyle w:val="32"/>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27</w:t>
            </w:r>
          </w:p>
        </w:tc>
        <w:tc>
          <w:tcPr>
            <w:tcW w:w="1815" w:type="dxa"/>
            <w:tcBorders>
              <w:tl2br w:val="nil"/>
              <w:tr2bl w:val="nil"/>
            </w:tcBorders>
            <w:vAlign w:val="center"/>
          </w:tcPr>
          <w:p>
            <w:pPr>
              <w:pStyle w:val="71"/>
              <w:rPr>
                <w:rStyle w:val="32"/>
                <w:highlight w:val="none"/>
              </w:rPr>
            </w:pPr>
            <w:r>
              <w:rPr>
                <w:rStyle w:val="32"/>
                <w:highlight w:val="none"/>
              </w:rPr>
              <w:t>报价的其他要求</w:t>
            </w:r>
          </w:p>
        </w:tc>
        <w:tc>
          <w:tcPr>
            <w:tcW w:w="6553" w:type="dxa"/>
            <w:tcBorders>
              <w:tl2br w:val="nil"/>
              <w:tr2bl w:val="nil"/>
            </w:tcBorders>
            <w:vAlign w:val="center"/>
          </w:tcPr>
          <w:p>
            <w:pPr>
              <w:pStyle w:val="71"/>
              <w:rPr>
                <w:rStyle w:val="32"/>
                <w:rFonts w:hint="eastAsia" w:eastAsia="宋体"/>
                <w:highlight w:val="none"/>
                <w:lang w:val="en-US"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28</w:t>
            </w:r>
          </w:p>
        </w:tc>
        <w:tc>
          <w:tcPr>
            <w:tcW w:w="1815" w:type="dxa"/>
            <w:tcBorders>
              <w:tl2br w:val="nil"/>
              <w:tr2bl w:val="nil"/>
            </w:tcBorders>
            <w:vAlign w:val="center"/>
          </w:tcPr>
          <w:p>
            <w:pPr>
              <w:pStyle w:val="71"/>
              <w:jc w:val="center"/>
              <w:rPr>
                <w:rStyle w:val="32"/>
                <w:highlight w:val="none"/>
              </w:rPr>
            </w:pPr>
            <w:r>
              <w:rPr>
                <w:rStyle w:val="32"/>
                <w:highlight w:val="none"/>
              </w:rPr>
              <w:t>询比有效期</w:t>
            </w:r>
          </w:p>
        </w:tc>
        <w:tc>
          <w:tcPr>
            <w:tcW w:w="6553" w:type="dxa"/>
            <w:tcBorders>
              <w:tl2br w:val="nil"/>
              <w:tr2bl w:val="nil"/>
            </w:tcBorders>
            <w:vAlign w:val="center"/>
          </w:tcPr>
          <w:p>
            <w:pPr>
              <w:pStyle w:val="71"/>
              <w:rPr>
                <w:rStyle w:val="32"/>
                <w:highlight w:val="none"/>
              </w:rPr>
            </w:pPr>
            <w:r>
              <w:rPr>
                <w:rStyle w:val="32"/>
                <w:rFonts w:hint="eastAsia"/>
                <w:highlight w:val="none"/>
              </w:rPr>
              <w:t>60</w:t>
            </w:r>
            <w:r>
              <w:rPr>
                <w:rStyle w:val="32"/>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29</w:t>
            </w:r>
          </w:p>
        </w:tc>
        <w:tc>
          <w:tcPr>
            <w:tcW w:w="1815" w:type="dxa"/>
            <w:tcBorders>
              <w:tl2br w:val="nil"/>
              <w:tr2bl w:val="nil"/>
            </w:tcBorders>
            <w:vAlign w:val="center"/>
          </w:tcPr>
          <w:p>
            <w:pPr>
              <w:pStyle w:val="71"/>
              <w:jc w:val="center"/>
              <w:rPr>
                <w:rStyle w:val="32"/>
                <w:highlight w:val="none"/>
              </w:rPr>
            </w:pPr>
            <w:r>
              <w:rPr>
                <w:rStyle w:val="32"/>
                <w:highlight w:val="none"/>
              </w:rPr>
              <w:t>报价保证金</w:t>
            </w:r>
          </w:p>
        </w:tc>
        <w:tc>
          <w:tcPr>
            <w:tcW w:w="6553" w:type="dxa"/>
            <w:tcBorders>
              <w:tl2br w:val="nil"/>
              <w:tr2bl w:val="nil"/>
            </w:tcBorders>
            <w:vAlign w:val="center"/>
          </w:tcPr>
          <w:p>
            <w:pPr>
              <w:pStyle w:val="71"/>
              <w:rPr>
                <w:rStyle w:val="32"/>
                <w:highlight w:val="none"/>
              </w:rPr>
            </w:pPr>
            <w:r>
              <w:rPr>
                <w:rStyle w:val="32"/>
                <w:rFonts w:hint="eastAsia"/>
                <w:highlight w:val="none"/>
              </w:rPr>
              <w:t>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30</w:t>
            </w:r>
          </w:p>
        </w:tc>
        <w:tc>
          <w:tcPr>
            <w:tcW w:w="1815" w:type="dxa"/>
            <w:tcBorders>
              <w:tl2br w:val="nil"/>
              <w:tr2bl w:val="nil"/>
            </w:tcBorders>
            <w:vAlign w:val="center"/>
          </w:tcPr>
          <w:p>
            <w:pPr>
              <w:pStyle w:val="71"/>
              <w:jc w:val="center"/>
              <w:rPr>
                <w:rStyle w:val="32"/>
                <w:highlight w:val="none"/>
              </w:rPr>
            </w:pPr>
            <w:r>
              <w:rPr>
                <w:rStyle w:val="32"/>
                <w:highlight w:val="none"/>
              </w:rPr>
              <w:t>资格审查资料的特殊要求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31</w:t>
            </w:r>
          </w:p>
        </w:tc>
        <w:tc>
          <w:tcPr>
            <w:tcW w:w="1815" w:type="dxa"/>
            <w:tcBorders>
              <w:tl2br w:val="nil"/>
              <w:tr2bl w:val="nil"/>
            </w:tcBorders>
            <w:vAlign w:val="center"/>
          </w:tcPr>
          <w:p>
            <w:pPr>
              <w:pStyle w:val="71"/>
              <w:jc w:val="center"/>
              <w:rPr>
                <w:rStyle w:val="32"/>
                <w:highlight w:val="none"/>
              </w:rPr>
            </w:pPr>
            <w:r>
              <w:rPr>
                <w:rStyle w:val="32"/>
                <w:highlight w:val="none"/>
              </w:rPr>
              <w:t>近年财务状况的年份要求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32</w:t>
            </w:r>
          </w:p>
        </w:tc>
        <w:tc>
          <w:tcPr>
            <w:tcW w:w="1815" w:type="dxa"/>
            <w:tcBorders>
              <w:tl2br w:val="nil"/>
              <w:tr2bl w:val="nil"/>
            </w:tcBorders>
            <w:vAlign w:val="center"/>
          </w:tcPr>
          <w:p>
            <w:pPr>
              <w:pStyle w:val="71"/>
              <w:jc w:val="center"/>
              <w:rPr>
                <w:rStyle w:val="32"/>
                <w:highlight w:val="none"/>
              </w:rPr>
            </w:pPr>
            <w:r>
              <w:rPr>
                <w:rStyle w:val="32"/>
                <w:highlight w:val="none"/>
              </w:rPr>
              <w:t>近年完成的类似项目的年份要求</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33</w:t>
            </w:r>
          </w:p>
        </w:tc>
        <w:tc>
          <w:tcPr>
            <w:tcW w:w="1815" w:type="dxa"/>
            <w:tcBorders>
              <w:tl2br w:val="nil"/>
              <w:tr2bl w:val="nil"/>
            </w:tcBorders>
            <w:vAlign w:val="center"/>
          </w:tcPr>
          <w:p>
            <w:pPr>
              <w:pStyle w:val="71"/>
              <w:jc w:val="center"/>
              <w:rPr>
                <w:rStyle w:val="32"/>
                <w:highlight w:val="none"/>
              </w:rPr>
            </w:pPr>
            <w:r>
              <w:rPr>
                <w:rStyle w:val="32"/>
                <w:color w:val="000000"/>
                <w:highlight w:val="none"/>
              </w:rPr>
              <w:t>响应性文件的密封和标记</w:t>
            </w:r>
          </w:p>
        </w:tc>
        <w:tc>
          <w:tcPr>
            <w:tcW w:w="6553" w:type="dxa"/>
            <w:tcBorders>
              <w:tl2br w:val="nil"/>
              <w:tr2bl w:val="nil"/>
            </w:tcBorders>
            <w:vAlign w:val="center"/>
          </w:tcPr>
          <w:p>
            <w:pPr>
              <w:snapToGrid w:val="0"/>
              <w:spacing w:line="360" w:lineRule="exact"/>
              <w:ind w:firstLine="418" w:firstLineChars="190"/>
            </w:pPr>
            <w:r>
              <w:rPr>
                <w:rFonts w:hint="eastAsia"/>
                <w:lang w:eastAsia="zh-CN"/>
              </w:rPr>
              <w:t>供应商</w:t>
            </w:r>
            <w:r>
              <w:t>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p>
            <w:pPr>
              <w:snapToGrid w:val="0"/>
              <w:spacing w:line="360" w:lineRule="exact"/>
              <w:ind w:firstLine="418" w:firstLineChars="190"/>
              <w:rPr>
                <w:rFonts w:hint="eastAsia" w:eastAsia="黑体"/>
                <w:lang w:eastAsia="zh-CN"/>
              </w:rPr>
            </w:pPr>
            <w:r>
              <w:rPr>
                <w:rFonts w:hint="eastAsia" w:ascii="宋体" w:hAnsi="宋体" w:eastAsia="宋体" w:cstheme="minorBidi"/>
                <w:b w:val="0"/>
                <w:sz w:val="22"/>
                <w:lang w:val="en-US" w:eastAsia="zh-CN" w:bidi="ar-SA"/>
              </w:rPr>
              <w:t>供应商应提交与所投标段数相同份数的响应文件供评标委员会进行评审。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34</w:t>
            </w:r>
          </w:p>
        </w:tc>
        <w:tc>
          <w:tcPr>
            <w:tcW w:w="1815" w:type="dxa"/>
            <w:tcBorders>
              <w:tl2br w:val="nil"/>
              <w:tr2bl w:val="nil"/>
            </w:tcBorders>
            <w:vAlign w:val="center"/>
          </w:tcPr>
          <w:p>
            <w:pPr>
              <w:pStyle w:val="71"/>
              <w:jc w:val="center"/>
              <w:rPr>
                <w:rStyle w:val="32"/>
                <w:highlight w:val="none"/>
              </w:rPr>
            </w:pPr>
            <w:r>
              <w:rPr>
                <w:rStyle w:val="32"/>
                <w:highlight w:val="none"/>
              </w:rPr>
              <w:t>封套上应载明的信息</w:t>
            </w:r>
          </w:p>
        </w:tc>
        <w:tc>
          <w:tcPr>
            <w:tcW w:w="6553" w:type="dxa"/>
            <w:tcBorders>
              <w:tl2br w:val="nil"/>
              <w:tr2bl w:val="nil"/>
            </w:tcBorders>
            <w:vAlign w:val="center"/>
          </w:tcPr>
          <w:tbl>
            <w:tblPr>
              <w:tblStyle w:val="13"/>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1"/>
                    <w:jc w:val="center"/>
                    <w:rPr>
                      <w:rStyle w:val="32"/>
                      <w:rFonts w:hint="eastAsia" w:eastAsia="宋体"/>
                      <w:highlight w:val="none"/>
                      <w:lang w:eastAsia="zh-CN"/>
                    </w:rPr>
                  </w:pPr>
                  <w:r>
                    <w:rPr>
                      <w:rStyle w:val="32"/>
                      <w:rFonts w:hint="eastAsia"/>
                      <w:highlight w:val="none"/>
                      <w:lang w:eastAsia="zh-CN"/>
                    </w:rPr>
                    <w:t>霍山县殡仪馆和城市公益性公墓一期后续配套工程EPC项目围墙工程询比</w:t>
                  </w:r>
                  <w:r>
                    <w:rPr>
                      <w:rStyle w:val="32"/>
                      <w:rFonts w:hint="eastAsia"/>
                      <w:highlight w:val="none"/>
                    </w:rPr>
                    <w:t>投标</w:t>
                  </w:r>
                  <w:r>
                    <w:rPr>
                      <w:rStyle w:val="32"/>
                      <w:highlight w:val="none"/>
                    </w:rPr>
                    <w:t>文件</w:t>
                  </w:r>
                  <w:r>
                    <w:rPr>
                      <w:rStyle w:val="32"/>
                      <w:rFonts w:hint="eastAsia"/>
                      <w:highlight w:val="none"/>
                      <w:lang w:eastAsia="zh-CN"/>
                    </w:rPr>
                    <w:t>（</w:t>
                  </w:r>
                  <w:r>
                    <w:rPr>
                      <w:rStyle w:val="32"/>
                      <w:rFonts w:hint="eastAsia"/>
                      <w:highlight w:val="none"/>
                      <w:u w:val="single"/>
                      <w:lang w:val="en-US" w:eastAsia="zh-CN"/>
                    </w:rPr>
                    <w:t xml:space="preserve">      </w:t>
                  </w:r>
                  <w:r>
                    <w:rPr>
                      <w:rStyle w:val="32"/>
                      <w:rFonts w:hint="eastAsia"/>
                      <w:highlight w:val="none"/>
                      <w:lang w:val="en-US" w:eastAsia="zh-CN"/>
                    </w:rPr>
                    <w:t>标段</w:t>
                  </w:r>
                  <w:r>
                    <w:rPr>
                      <w:rStyle w:val="32"/>
                      <w:rFonts w:hint="eastAsia"/>
                      <w:highlight w:val="none"/>
                      <w:lang w:eastAsia="zh-CN"/>
                    </w:rPr>
                    <w:t>）</w:t>
                  </w:r>
                </w:p>
                <w:p>
                  <w:pPr>
                    <w:pStyle w:val="71"/>
                    <w:jc w:val="center"/>
                    <w:rPr>
                      <w:rStyle w:val="32"/>
                      <w:highlight w:val="none"/>
                    </w:rPr>
                  </w:pPr>
                  <w:r>
                    <w:rPr>
                      <w:rStyle w:val="32"/>
                      <w:highlight w:val="none"/>
                    </w:rPr>
                    <w:t>在  年  月  日  时  分（递交截止时间）前不得开启</w:t>
                  </w:r>
                </w:p>
                <w:p>
                  <w:pPr>
                    <w:pStyle w:val="71"/>
                    <w:jc w:val="center"/>
                    <w:rPr>
                      <w:rStyle w:val="32"/>
                      <w:highlight w:val="none"/>
                    </w:rPr>
                  </w:pPr>
                  <w:r>
                    <w:rPr>
                      <w:rStyle w:val="32"/>
                      <w:rFonts w:hint="eastAsia"/>
                      <w:highlight w:val="none"/>
                      <w:lang w:eastAsia="zh-CN"/>
                    </w:rPr>
                    <w:t>供应商</w:t>
                  </w:r>
                  <w:r>
                    <w:rPr>
                      <w:rStyle w:val="32"/>
                      <w:highlight w:val="none"/>
                    </w:rPr>
                    <w:t xml:space="preserve">名称：                      </w:t>
                  </w:r>
                </w:p>
              </w:tc>
            </w:tr>
          </w:tbl>
          <w:p>
            <w:pPr>
              <w:pStyle w:val="71"/>
              <w:jc w:val="left"/>
              <w:rPr>
                <w:rStyle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35</w:t>
            </w:r>
          </w:p>
          <w:p>
            <w:pPr>
              <w:pStyle w:val="71"/>
              <w:jc w:val="center"/>
              <w:rPr>
                <w:rStyle w:val="32"/>
                <w:highlight w:val="none"/>
              </w:rPr>
            </w:pPr>
          </w:p>
        </w:tc>
        <w:tc>
          <w:tcPr>
            <w:tcW w:w="1815" w:type="dxa"/>
            <w:tcBorders>
              <w:tl2br w:val="nil"/>
              <w:tr2bl w:val="nil"/>
            </w:tcBorders>
            <w:vAlign w:val="center"/>
          </w:tcPr>
          <w:p>
            <w:pPr>
              <w:pStyle w:val="71"/>
              <w:jc w:val="center"/>
              <w:rPr>
                <w:rStyle w:val="32"/>
                <w:highlight w:val="none"/>
              </w:rPr>
            </w:pPr>
            <w:r>
              <w:rPr>
                <w:rStyle w:val="32"/>
                <w:highlight w:val="none"/>
              </w:rPr>
              <w:t>递交报价文件地点</w:t>
            </w:r>
          </w:p>
        </w:tc>
        <w:tc>
          <w:tcPr>
            <w:tcW w:w="6553" w:type="dxa"/>
            <w:tcBorders>
              <w:tl2br w:val="nil"/>
              <w:tr2bl w:val="nil"/>
            </w:tcBorders>
            <w:vAlign w:val="center"/>
          </w:tcPr>
          <w:p>
            <w:pPr>
              <w:pStyle w:val="71"/>
              <w:jc w:val="left"/>
              <w:rPr>
                <w:rStyle w:val="32"/>
                <w:szCs w:val="20"/>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3"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36</w:t>
            </w:r>
          </w:p>
        </w:tc>
        <w:tc>
          <w:tcPr>
            <w:tcW w:w="1815" w:type="dxa"/>
            <w:tcBorders>
              <w:tl2br w:val="nil"/>
              <w:tr2bl w:val="nil"/>
            </w:tcBorders>
            <w:vAlign w:val="center"/>
          </w:tcPr>
          <w:p>
            <w:pPr>
              <w:pStyle w:val="71"/>
              <w:jc w:val="center"/>
              <w:rPr>
                <w:rStyle w:val="32"/>
                <w:highlight w:val="none"/>
              </w:rPr>
            </w:pPr>
            <w:r>
              <w:rPr>
                <w:rStyle w:val="32"/>
                <w:highlight w:val="none"/>
              </w:rPr>
              <w:t>是否退还报价文件</w:t>
            </w:r>
          </w:p>
        </w:tc>
        <w:tc>
          <w:tcPr>
            <w:tcW w:w="6553" w:type="dxa"/>
            <w:tcBorders>
              <w:tl2br w:val="nil"/>
              <w:tr2bl w:val="nil"/>
            </w:tcBorders>
            <w:vAlign w:val="center"/>
          </w:tcPr>
          <w:p>
            <w:pPr>
              <w:pStyle w:val="71"/>
              <w:jc w:val="left"/>
              <w:rPr>
                <w:rStyle w:val="32"/>
                <w:highlight w:val="none"/>
              </w:rPr>
            </w:pPr>
            <w:r>
              <w:rPr>
                <w:rStyle w:val="32"/>
                <w:highlight w:val="none"/>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37</w:t>
            </w:r>
          </w:p>
        </w:tc>
        <w:tc>
          <w:tcPr>
            <w:tcW w:w="1815" w:type="dxa"/>
            <w:tcBorders>
              <w:tl2br w:val="nil"/>
              <w:tr2bl w:val="nil"/>
            </w:tcBorders>
            <w:vAlign w:val="center"/>
          </w:tcPr>
          <w:p>
            <w:pPr>
              <w:pStyle w:val="71"/>
              <w:jc w:val="center"/>
              <w:rPr>
                <w:rStyle w:val="32"/>
                <w:highlight w:val="none"/>
              </w:rPr>
            </w:pPr>
            <w:r>
              <w:rPr>
                <w:rStyle w:val="32"/>
                <w:highlight w:val="none"/>
              </w:rPr>
              <w:t>开启时间和地点</w:t>
            </w:r>
          </w:p>
        </w:tc>
        <w:tc>
          <w:tcPr>
            <w:tcW w:w="6553" w:type="dxa"/>
            <w:tcBorders>
              <w:tl2br w:val="nil"/>
              <w:tr2bl w:val="nil"/>
            </w:tcBorders>
            <w:vAlign w:val="center"/>
          </w:tcPr>
          <w:p>
            <w:pPr>
              <w:pStyle w:val="71"/>
              <w:jc w:val="left"/>
              <w:rPr>
                <w:rStyle w:val="32"/>
                <w:highlight w:val="none"/>
              </w:rPr>
            </w:pPr>
            <w:r>
              <w:rPr>
                <w:rStyle w:val="32"/>
                <w:highlight w:val="none"/>
              </w:rPr>
              <w:t>开启时间：同报价截止时间</w:t>
            </w:r>
          </w:p>
          <w:p>
            <w:pPr>
              <w:pStyle w:val="71"/>
              <w:jc w:val="left"/>
              <w:rPr>
                <w:rStyle w:val="32"/>
                <w:highlight w:val="none"/>
              </w:rPr>
            </w:pPr>
            <w:r>
              <w:rPr>
                <w:rStyle w:val="32"/>
                <w:highlight w:val="none"/>
              </w:rPr>
              <w:t>开启地点：同递交报价文件地点</w:t>
            </w:r>
          </w:p>
          <w:p>
            <w:pPr>
              <w:pStyle w:val="71"/>
              <w:jc w:val="left"/>
              <w:rPr>
                <w:rStyle w:val="32"/>
                <w:highlight w:val="none"/>
              </w:rPr>
            </w:pPr>
            <w:r>
              <w:rPr>
                <w:rStyle w:val="32"/>
                <w:rFonts w:hint="eastAsia"/>
                <w:highlight w:val="none"/>
                <w:lang w:eastAsia="zh-CN"/>
              </w:rPr>
              <w:t>供应商</w:t>
            </w:r>
            <w:r>
              <w:rPr>
                <w:rStyle w:val="32"/>
                <w:highlight w:val="none"/>
              </w:rPr>
              <w:t>应派法定代表人或委托代理人参加。</w:t>
            </w:r>
            <w:r>
              <w:rPr>
                <w:rStyle w:val="32"/>
                <w:rFonts w:hint="eastAsia" w:ascii="Times New Roman" w:hAnsi="Times New Roman" w:cs="Times New Roman"/>
                <w:highlight w:val="none"/>
              </w:rPr>
              <w:t>若法人代表本人参加开标会则只需查验身份证；若代理人参加开标会则需查验法人授权委托书、代理人居民身份证（评标现场查验原件）。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38</w:t>
            </w:r>
          </w:p>
        </w:tc>
        <w:tc>
          <w:tcPr>
            <w:tcW w:w="1815" w:type="dxa"/>
            <w:tcBorders>
              <w:tl2br w:val="nil"/>
              <w:tr2bl w:val="nil"/>
            </w:tcBorders>
            <w:vAlign w:val="center"/>
          </w:tcPr>
          <w:p>
            <w:pPr>
              <w:pStyle w:val="71"/>
              <w:jc w:val="center"/>
              <w:rPr>
                <w:rStyle w:val="32"/>
                <w:highlight w:val="none"/>
              </w:rPr>
            </w:pPr>
            <w:r>
              <w:rPr>
                <w:rStyle w:val="32"/>
                <w:highlight w:val="none"/>
              </w:rPr>
              <w:t>评审小组的组建</w:t>
            </w:r>
          </w:p>
        </w:tc>
        <w:tc>
          <w:tcPr>
            <w:tcW w:w="6553" w:type="dxa"/>
            <w:tcBorders>
              <w:tl2br w:val="nil"/>
              <w:tr2bl w:val="nil"/>
            </w:tcBorders>
            <w:vAlign w:val="center"/>
          </w:tcPr>
          <w:p>
            <w:pPr>
              <w:pStyle w:val="71"/>
              <w:jc w:val="left"/>
              <w:rPr>
                <w:rStyle w:val="32"/>
                <w:highlight w:val="none"/>
              </w:rPr>
            </w:pPr>
            <w:r>
              <w:rPr>
                <w:rStyle w:val="32"/>
                <w:highlight w:val="none"/>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39</w:t>
            </w:r>
          </w:p>
        </w:tc>
        <w:tc>
          <w:tcPr>
            <w:tcW w:w="1815" w:type="dxa"/>
            <w:tcBorders>
              <w:tl2br w:val="nil"/>
              <w:tr2bl w:val="nil"/>
            </w:tcBorders>
            <w:vAlign w:val="center"/>
          </w:tcPr>
          <w:p>
            <w:pPr>
              <w:pStyle w:val="71"/>
              <w:jc w:val="center"/>
              <w:rPr>
                <w:rStyle w:val="32"/>
                <w:highlight w:val="none"/>
              </w:rPr>
            </w:pPr>
            <w:r>
              <w:rPr>
                <w:rStyle w:val="32"/>
                <w:highlight w:val="none"/>
              </w:rPr>
              <w:t>评审小组推荐成交候选人的人数</w:t>
            </w:r>
          </w:p>
        </w:tc>
        <w:tc>
          <w:tcPr>
            <w:tcW w:w="6553" w:type="dxa"/>
            <w:tcBorders>
              <w:tl2br w:val="nil"/>
              <w:tr2bl w:val="nil"/>
            </w:tcBorders>
            <w:vAlign w:val="center"/>
          </w:tcPr>
          <w:p>
            <w:pPr>
              <w:pStyle w:val="71"/>
              <w:jc w:val="left"/>
              <w:rPr>
                <w:rStyle w:val="32"/>
                <w:highlight w:val="none"/>
              </w:rPr>
            </w:pPr>
            <w:r>
              <w:rPr>
                <w:rStyle w:val="32"/>
                <w:highlight w:val="none"/>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40</w:t>
            </w:r>
          </w:p>
        </w:tc>
        <w:tc>
          <w:tcPr>
            <w:tcW w:w="1815" w:type="dxa"/>
            <w:tcBorders>
              <w:tl2br w:val="nil"/>
              <w:tr2bl w:val="nil"/>
            </w:tcBorders>
            <w:vAlign w:val="center"/>
          </w:tcPr>
          <w:p>
            <w:pPr>
              <w:pStyle w:val="71"/>
              <w:jc w:val="center"/>
              <w:rPr>
                <w:rStyle w:val="32"/>
                <w:highlight w:val="none"/>
              </w:rPr>
            </w:pPr>
            <w:r>
              <w:rPr>
                <w:rStyle w:val="32"/>
                <w:highlight w:val="none"/>
              </w:rPr>
              <w:t>成交候选人公示媒介及期限</w:t>
            </w:r>
          </w:p>
        </w:tc>
        <w:tc>
          <w:tcPr>
            <w:tcW w:w="6553" w:type="dxa"/>
            <w:tcBorders>
              <w:tl2br w:val="nil"/>
              <w:tr2bl w:val="nil"/>
            </w:tcBorders>
            <w:vAlign w:val="center"/>
          </w:tcPr>
          <w:p>
            <w:pPr>
              <w:pStyle w:val="71"/>
              <w:jc w:val="left"/>
              <w:rPr>
                <w:rStyle w:val="32"/>
                <w:highlight w:val="none"/>
              </w:rPr>
            </w:pPr>
            <w:r>
              <w:rPr>
                <w:rStyle w:val="32"/>
                <w:highlight w:val="none"/>
              </w:rPr>
              <w:t>公示媒介：安徽大别山国投集团（www.ahdmig.cn）</w:t>
            </w:r>
          </w:p>
          <w:p>
            <w:pPr>
              <w:pStyle w:val="71"/>
              <w:jc w:val="left"/>
              <w:rPr>
                <w:rStyle w:val="32"/>
                <w:highlight w:val="none"/>
              </w:rPr>
            </w:pPr>
            <w:r>
              <w:rPr>
                <w:rStyle w:val="32"/>
                <w:highlight w:val="none"/>
              </w:rPr>
              <w:t>公示期限：1个工作日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41</w:t>
            </w:r>
          </w:p>
        </w:tc>
        <w:tc>
          <w:tcPr>
            <w:tcW w:w="1815" w:type="dxa"/>
            <w:tcBorders>
              <w:tl2br w:val="nil"/>
              <w:tr2bl w:val="nil"/>
            </w:tcBorders>
            <w:vAlign w:val="center"/>
          </w:tcPr>
          <w:p>
            <w:pPr>
              <w:pStyle w:val="71"/>
              <w:jc w:val="center"/>
              <w:rPr>
                <w:rStyle w:val="32"/>
                <w:highlight w:val="none"/>
              </w:rPr>
            </w:pPr>
            <w:r>
              <w:rPr>
                <w:rStyle w:val="32"/>
                <w:highlight w:val="none"/>
              </w:rPr>
              <w:t>确定成交候选人</w:t>
            </w:r>
          </w:p>
        </w:tc>
        <w:tc>
          <w:tcPr>
            <w:tcW w:w="6553" w:type="dxa"/>
            <w:tcBorders>
              <w:tl2br w:val="nil"/>
              <w:tr2bl w:val="nil"/>
            </w:tcBorders>
            <w:vAlign w:val="center"/>
          </w:tcPr>
          <w:p>
            <w:pPr>
              <w:pStyle w:val="71"/>
              <w:jc w:val="left"/>
              <w:rPr>
                <w:rStyle w:val="32"/>
                <w:highlight w:val="none"/>
              </w:rPr>
            </w:pPr>
            <w:r>
              <w:rPr>
                <w:rStyle w:val="32"/>
                <w:highlight w:val="none"/>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42</w:t>
            </w:r>
          </w:p>
        </w:tc>
        <w:tc>
          <w:tcPr>
            <w:tcW w:w="1815" w:type="dxa"/>
            <w:tcBorders>
              <w:tl2br w:val="nil"/>
              <w:tr2bl w:val="nil"/>
            </w:tcBorders>
            <w:vAlign w:val="center"/>
          </w:tcPr>
          <w:p>
            <w:pPr>
              <w:pStyle w:val="71"/>
              <w:jc w:val="center"/>
              <w:rPr>
                <w:rStyle w:val="32"/>
                <w:highlight w:val="none"/>
              </w:rPr>
            </w:pPr>
            <w:r>
              <w:rPr>
                <w:rStyle w:val="32"/>
                <w:highlight w:val="none"/>
              </w:rPr>
              <w:t>是否授权评审小组确定成交人</w:t>
            </w:r>
          </w:p>
        </w:tc>
        <w:tc>
          <w:tcPr>
            <w:tcW w:w="6553" w:type="dxa"/>
            <w:tcBorders>
              <w:tl2br w:val="nil"/>
              <w:tr2bl w:val="nil"/>
            </w:tcBorders>
            <w:vAlign w:val="center"/>
          </w:tcPr>
          <w:p>
            <w:pPr>
              <w:pStyle w:val="71"/>
              <w:jc w:val="left"/>
              <w:rPr>
                <w:rStyle w:val="32"/>
                <w:rFonts w:hint="eastAsia"/>
                <w:highlight w:val="none"/>
              </w:rPr>
            </w:pPr>
            <w:r>
              <w:rPr>
                <w:rStyle w:val="32"/>
                <w:rFonts w:hint="eastAsia"/>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43</w:t>
            </w:r>
          </w:p>
        </w:tc>
        <w:tc>
          <w:tcPr>
            <w:tcW w:w="1815" w:type="dxa"/>
            <w:tcBorders>
              <w:tl2br w:val="nil"/>
              <w:tr2bl w:val="nil"/>
            </w:tcBorders>
            <w:vAlign w:val="center"/>
          </w:tcPr>
          <w:p>
            <w:pPr>
              <w:pStyle w:val="71"/>
              <w:jc w:val="center"/>
              <w:rPr>
                <w:rStyle w:val="32"/>
                <w:highlight w:val="none"/>
              </w:rPr>
            </w:pPr>
            <w:r>
              <w:rPr>
                <w:rStyle w:val="32"/>
                <w:highlight w:val="none"/>
              </w:rPr>
              <w:t>成交通知书和成交结果通知发出的形式</w:t>
            </w:r>
          </w:p>
        </w:tc>
        <w:tc>
          <w:tcPr>
            <w:tcW w:w="6553" w:type="dxa"/>
            <w:tcBorders>
              <w:tl2br w:val="nil"/>
              <w:tr2bl w:val="nil"/>
            </w:tcBorders>
            <w:vAlign w:val="center"/>
          </w:tcPr>
          <w:p>
            <w:pPr>
              <w:pStyle w:val="71"/>
              <w:jc w:val="left"/>
              <w:rPr>
                <w:rStyle w:val="32"/>
                <w:highlight w:val="none"/>
              </w:rPr>
            </w:pPr>
            <w:r>
              <w:rPr>
                <w:rStyle w:val="32"/>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44</w:t>
            </w:r>
          </w:p>
        </w:tc>
        <w:tc>
          <w:tcPr>
            <w:tcW w:w="1815" w:type="dxa"/>
            <w:tcBorders>
              <w:tl2br w:val="nil"/>
              <w:tr2bl w:val="nil"/>
            </w:tcBorders>
            <w:vAlign w:val="center"/>
          </w:tcPr>
          <w:p>
            <w:pPr>
              <w:pStyle w:val="71"/>
              <w:jc w:val="center"/>
              <w:rPr>
                <w:rStyle w:val="32"/>
                <w:highlight w:val="none"/>
              </w:rPr>
            </w:pPr>
            <w:r>
              <w:rPr>
                <w:rStyle w:val="32"/>
                <w:highlight w:val="none"/>
              </w:rPr>
              <w:t>履约保证金</w:t>
            </w:r>
          </w:p>
        </w:tc>
        <w:tc>
          <w:tcPr>
            <w:tcW w:w="6553" w:type="dxa"/>
            <w:tcBorders>
              <w:tl2br w:val="nil"/>
              <w:tr2bl w:val="nil"/>
            </w:tcBorders>
            <w:vAlign w:val="center"/>
          </w:tcPr>
          <w:p>
            <w:pPr>
              <w:pStyle w:val="71"/>
              <w:jc w:val="left"/>
              <w:rPr>
                <w:rStyle w:val="32"/>
                <w:highlight w:val="none"/>
              </w:rPr>
            </w:pPr>
            <w:r>
              <w:rPr>
                <w:rStyle w:val="32"/>
                <w:rFonts w:hint="eastAsia"/>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45</w:t>
            </w:r>
          </w:p>
        </w:tc>
        <w:tc>
          <w:tcPr>
            <w:tcW w:w="1815" w:type="dxa"/>
            <w:tcBorders>
              <w:tl2br w:val="nil"/>
              <w:tr2bl w:val="nil"/>
            </w:tcBorders>
            <w:vAlign w:val="center"/>
          </w:tcPr>
          <w:p>
            <w:pPr>
              <w:pStyle w:val="71"/>
              <w:jc w:val="center"/>
              <w:rPr>
                <w:rStyle w:val="32"/>
                <w:highlight w:val="none"/>
              </w:rPr>
            </w:pPr>
            <w:r>
              <w:rPr>
                <w:rStyle w:val="32"/>
                <w:highlight w:val="none"/>
              </w:rPr>
              <w:t>签约合同价的确定原则</w:t>
            </w:r>
          </w:p>
        </w:tc>
        <w:tc>
          <w:tcPr>
            <w:tcW w:w="6553" w:type="dxa"/>
            <w:tcBorders>
              <w:tl2br w:val="nil"/>
              <w:tr2bl w:val="nil"/>
            </w:tcBorders>
            <w:vAlign w:val="center"/>
          </w:tcPr>
          <w:p>
            <w:pPr>
              <w:pStyle w:val="71"/>
              <w:jc w:val="left"/>
              <w:rPr>
                <w:rStyle w:val="32"/>
                <w:highlight w:val="none"/>
              </w:rPr>
            </w:pPr>
            <w:r>
              <w:rPr>
                <w:rStyle w:val="32"/>
                <w:highlight w:val="none"/>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46</w:t>
            </w:r>
          </w:p>
        </w:tc>
        <w:tc>
          <w:tcPr>
            <w:tcW w:w="1815" w:type="dxa"/>
            <w:tcBorders>
              <w:tl2br w:val="nil"/>
              <w:tr2bl w:val="nil"/>
            </w:tcBorders>
            <w:vAlign w:val="center"/>
          </w:tcPr>
          <w:p>
            <w:pPr>
              <w:pStyle w:val="71"/>
              <w:jc w:val="center"/>
              <w:rPr>
                <w:rStyle w:val="32"/>
                <w:color w:val="FF0000"/>
                <w:highlight w:val="none"/>
              </w:rPr>
            </w:pPr>
            <w:r>
              <w:rPr>
                <w:rStyle w:val="32"/>
                <w:highlight w:val="none"/>
              </w:rPr>
              <w:t>付款方式</w:t>
            </w:r>
          </w:p>
        </w:tc>
        <w:tc>
          <w:tcPr>
            <w:tcW w:w="6553" w:type="dxa"/>
            <w:tcBorders>
              <w:tl2br w:val="nil"/>
              <w:tr2bl w:val="nil"/>
            </w:tcBorders>
            <w:vAlign w:val="center"/>
          </w:tcPr>
          <w:p>
            <w:pPr>
              <w:pStyle w:val="71"/>
              <w:jc w:val="left"/>
              <w:rPr>
                <w:rStyle w:val="32"/>
                <w:rFonts w:hint="default"/>
                <w:color w:val="FF0000"/>
                <w:highlight w:val="none"/>
                <w:lang w:val="en-US"/>
              </w:rPr>
            </w:pPr>
            <w:r>
              <w:rPr>
                <w:rStyle w:val="32"/>
                <w:rFonts w:hint="eastAsia"/>
                <w:b/>
                <w:bCs/>
                <w:color w:val="auto"/>
                <w:sz w:val="22"/>
                <w:szCs w:val="22"/>
                <w:highlight w:val="none"/>
                <w:lang w:val="en-US" w:eastAsia="zh-CN" w:bidi="ar-SA"/>
              </w:rPr>
              <w:t>三节付款，工程结束经验收合格后支付50%，剩余工程款一年内付清。（提供不少于3%专票)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47</w:t>
            </w:r>
          </w:p>
        </w:tc>
        <w:tc>
          <w:tcPr>
            <w:tcW w:w="1815" w:type="dxa"/>
            <w:tcBorders>
              <w:tl2br w:val="nil"/>
              <w:tr2bl w:val="nil"/>
            </w:tcBorders>
            <w:vAlign w:val="center"/>
          </w:tcPr>
          <w:p>
            <w:pPr>
              <w:snapToGrid w:val="0"/>
              <w:spacing w:line="240" w:lineRule="auto"/>
              <w:ind w:firstLineChars="0"/>
              <w:rPr>
                <w:rStyle w:val="32"/>
                <w:szCs w:val="22"/>
                <w:highlight w:val="none"/>
              </w:rPr>
            </w:pPr>
            <w:r>
              <w:rPr>
                <w:rStyle w:val="32"/>
                <w:b/>
                <w:bCs/>
                <w:color w:val="000000"/>
                <w:szCs w:val="21"/>
                <w:highlight w:val="none"/>
              </w:rPr>
              <w:t>采购代理服务费</w:t>
            </w:r>
          </w:p>
        </w:tc>
        <w:tc>
          <w:tcPr>
            <w:tcW w:w="6553" w:type="dxa"/>
            <w:tcBorders>
              <w:tl2br w:val="nil"/>
              <w:tr2bl w:val="nil"/>
            </w:tcBorders>
            <w:vAlign w:val="center"/>
          </w:tcPr>
          <w:p>
            <w:pPr>
              <w:snapToGrid w:val="0"/>
              <w:spacing w:line="240" w:lineRule="auto"/>
              <w:ind w:firstLine="0" w:firstLineChars="0"/>
              <w:jc w:val="left"/>
              <w:rPr>
                <w:rStyle w:val="32"/>
                <w:szCs w:val="22"/>
                <w:highlight w:val="none"/>
              </w:rPr>
            </w:pPr>
            <w:r>
              <w:rPr>
                <w:rStyle w:val="32"/>
                <w:rFonts w:hint="eastAsia"/>
                <w:b/>
                <w:bCs/>
                <w:color w:val="000000"/>
                <w:szCs w:val="21"/>
                <w:highlight w:val="none"/>
              </w:rPr>
              <w:t>采购代理服务费：代理服务费用标准按照安徽筑圣建设工程有限公司劳务、专业分包企业库及货物类供应商库征集（二次）公告约定标准，由采购人承担，按季度统一支付。</w:t>
            </w:r>
          </w:p>
        </w:tc>
      </w:tr>
    </w:tbl>
    <w:p>
      <w:pPr>
        <w:pStyle w:val="29"/>
        <w:jc w:val="both"/>
        <w:rPr>
          <w:rStyle w:val="32"/>
          <w:highlight w:val="none"/>
        </w:rPr>
      </w:pPr>
    </w:p>
    <w:p>
      <w:pPr>
        <w:ind w:firstLine="600"/>
        <w:rPr>
          <w:rStyle w:val="32"/>
          <w:rFonts w:ascii="黑体" w:hAnsi="黑体" w:eastAsia="黑体" w:cs="黑体"/>
          <w:bCs/>
          <w:iCs/>
          <w:kern w:val="2"/>
          <w:sz w:val="30"/>
          <w:szCs w:val="30"/>
          <w:highlight w:val="none"/>
        </w:rPr>
      </w:pPr>
    </w:p>
    <w:p>
      <w:pPr>
        <w:pStyle w:val="28"/>
        <w:rPr>
          <w:rStyle w:val="32"/>
          <w:rFonts w:ascii="宋体" w:hAnsi="宋体"/>
          <w:b/>
          <w:sz w:val="24"/>
          <w:highlight w:val="none"/>
        </w:rPr>
      </w:pPr>
      <w:r>
        <w:rPr>
          <w:rStyle w:val="32"/>
          <w:highlight w:val="none"/>
        </w:rPr>
        <w:br w:type="page"/>
      </w:r>
      <w:r>
        <w:rPr>
          <w:rStyle w:val="32"/>
          <w:highlight w:val="none"/>
        </w:rPr>
        <w:t>第三章  评审办法</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3.1报价文件的评审</w:t>
      </w:r>
    </w:p>
    <w:p>
      <w:pPr>
        <w:ind w:firstLine="440"/>
        <w:rPr>
          <w:rStyle w:val="32"/>
          <w:highlight w:val="none"/>
        </w:rPr>
      </w:pPr>
      <w:r>
        <w:rPr>
          <w:rStyle w:val="32"/>
          <w:highlight w:val="none"/>
        </w:rPr>
        <w:t>1、评审工作由依法组建的询比小组负责。询比小组根据询比文件规定的方法和标准独立评审，负责完成评审的全过程并推荐成交候选人。</w:t>
      </w:r>
    </w:p>
    <w:p>
      <w:pPr>
        <w:ind w:firstLine="440"/>
        <w:rPr>
          <w:rStyle w:val="32"/>
          <w:highlight w:val="none"/>
        </w:rPr>
      </w:pPr>
      <w:r>
        <w:rPr>
          <w:rStyle w:val="32"/>
          <w:highlight w:val="none"/>
        </w:rPr>
        <w:t>2、审查</w:t>
      </w:r>
      <w:r>
        <w:rPr>
          <w:rStyle w:val="32"/>
          <w:rFonts w:hint="eastAsia"/>
          <w:highlight w:val="none"/>
          <w:lang w:eastAsia="zh-CN"/>
        </w:rPr>
        <w:t>供应商</w:t>
      </w:r>
      <w:r>
        <w:rPr>
          <w:rStyle w:val="32"/>
          <w:highlight w:val="none"/>
        </w:rPr>
        <w:t>的报价是否超过采购预算：询比小组将审查每个</w:t>
      </w:r>
      <w:r>
        <w:rPr>
          <w:rStyle w:val="32"/>
          <w:rFonts w:hint="eastAsia"/>
          <w:highlight w:val="none"/>
          <w:lang w:eastAsia="zh-CN"/>
        </w:rPr>
        <w:t>供应商</w:t>
      </w:r>
      <w:r>
        <w:rPr>
          <w:rStyle w:val="32"/>
          <w:highlight w:val="none"/>
        </w:rPr>
        <w:t>的报价，如超过采购预算，则其报价文件将被拒绝。</w:t>
      </w:r>
    </w:p>
    <w:p>
      <w:pPr>
        <w:ind w:firstLine="440"/>
        <w:rPr>
          <w:rStyle w:val="32"/>
          <w:highlight w:val="none"/>
        </w:rPr>
      </w:pPr>
      <w:r>
        <w:rPr>
          <w:rStyle w:val="32"/>
          <w:highlight w:val="none"/>
        </w:rPr>
        <w:t>3、审查</w:t>
      </w:r>
      <w:r>
        <w:rPr>
          <w:rStyle w:val="32"/>
          <w:rFonts w:hint="eastAsia"/>
          <w:highlight w:val="none"/>
          <w:lang w:eastAsia="zh-CN"/>
        </w:rPr>
        <w:t>供应商</w:t>
      </w:r>
      <w:r>
        <w:rPr>
          <w:rStyle w:val="32"/>
          <w:highlight w:val="none"/>
        </w:rPr>
        <w:t>是否具备合格的</w:t>
      </w:r>
      <w:r>
        <w:rPr>
          <w:rStyle w:val="32"/>
          <w:rFonts w:hint="eastAsia"/>
          <w:highlight w:val="none"/>
          <w:lang w:eastAsia="zh-CN"/>
        </w:rPr>
        <w:t>供应商</w:t>
      </w:r>
      <w:r>
        <w:rPr>
          <w:rStyle w:val="32"/>
          <w:highlight w:val="none"/>
        </w:rPr>
        <w:t>资格：询比小组将审查每个</w:t>
      </w:r>
      <w:r>
        <w:rPr>
          <w:rStyle w:val="32"/>
          <w:rFonts w:hint="eastAsia"/>
          <w:highlight w:val="none"/>
          <w:lang w:eastAsia="zh-CN"/>
        </w:rPr>
        <w:t>供应商</w:t>
      </w:r>
      <w:r>
        <w:rPr>
          <w:rStyle w:val="32"/>
          <w:highlight w:val="none"/>
        </w:rPr>
        <w:t>提交的资格证明文件是否齐全、合法、有效，如果</w:t>
      </w:r>
      <w:r>
        <w:rPr>
          <w:rStyle w:val="32"/>
          <w:rFonts w:hint="eastAsia"/>
          <w:highlight w:val="none"/>
          <w:lang w:eastAsia="zh-CN"/>
        </w:rPr>
        <w:t>供应商</w:t>
      </w:r>
      <w:r>
        <w:rPr>
          <w:rStyle w:val="32"/>
          <w:highlight w:val="none"/>
        </w:rPr>
        <w:t>没有按照要求提交全部证明文件，或者提交的资格证明文件是非法的、无效的，则其报价文件将被拒绝。</w:t>
      </w:r>
    </w:p>
    <w:p>
      <w:pPr>
        <w:ind w:firstLine="440"/>
        <w:rPr>
          <w:rStyle w:val="32"/>
          <w:highlight w:val="none"/>
        </w:rPr>
      </w:pPr>
      <w:r>
        <w:rPr>
          <w:rStyle w:val="32"/>
          <w:highlight w:val="none"/>
        </w:rPr>
        <w:t>4、审查报价文件是否实质性响应询比文件的要求:</w:t>
      </w:r>
    </w:p>
    <w:p>
      <w:pPr>
        <w:ind w:firstLine="440"/>
        <w:rPr>
          <w:rStyle w:val="32"/>
          <w:highlight w:val="none"/>
        </w:rPr>
      </w:pPr>
      <w:r>
        <w:rPr>
          <w:rStyle w:val="32"/>
          <w:highlight w:val="none"/>
        </w:rPr>
        <w:t>4.1对于经审查确定为资格合格的</w:t>
      </w:r>
      <w:r>
        <w:rPr>
          <w:rStyle w:val="32"/>
          <w:rFonts w:hint="eastAsia"/>
          <w:highlight w:val="none"/>
          <w:lang w:eastAsia="zh-CN"/>
        </w:rPr>
        <w:t>供应商</w:t>
      </w:r>
      <w:r>
        <w:rPr>
          <w:rStyle w:val="32"/>
          <w:highlight w:val="none"/>
        </w:rPr>
        <w:t>，询比小组将审查其报价文件是否对询比文件的所有事项、格式、条款和技术规范等要求都做出了实质性响应。</w:t>
      </w:r>
    </w:p>
    <w:p>
      <w:pPr>
        <w:ind w:firstLine="440"/>
        <w:rPr>
          <w:rStyle w:val="32"/>
          <w:highlight w:val="none"/>
        </w:rPr>
      </w:pPr>
      <w:r>
        <w:rPr>
          <w:rStyle w:val="32"/>
          <w:highlight w:val="none"/>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32"/>
          <w:highlight w:val="none"/>
        </w:rPr>
      </w:pPr>
      <w:r>
        <w:rPr>
          <w:rStyle w:val="32"/>
          <w:highlight w:val="none"/>
        </w:rPr>
        <w:t>4.3报价文件有下列情形之一的属于重大偏离，将被作为废标处理：</w:t>
      </w:r>
    </w:p>
    <w:p>
      <w:pPr>
        <w:ind w:firstLine="440"/>
        <w:rPr>
          <w:rStyle w:val="32"/>
          <w:highlight w:val="none"/>
        </w:rPr>
      </w:pPr>
      <w:r>
        <w:rPr>
          <w:rStyle w:val="32"/>
          <w:highlight w:val="none"/>
        </w:rPr>
        <w:t>（1）报价文件未按询价文件规定有效签署和加盖公章的；</w:t>
      </w:r>
    </w:p>
    <w:p>
      <w:pPr>
        <w:ind w:firstLine="440"/>
        <w:rPr>
          <w:rStyle w:val="32"/>
          <w:highlight w:val="none"/>
        </w:rPr>
      </w:pPr>
      <w:r>
        <w:rPr>
          <w:rStyle w:val="32"/>
          <w:highlight w:val="none"/>
        </w:rPr>
        <w:t>（2）报价文件载明的项目完成期限超过询价文件规定的；</w:t>
      </w:r>
    </w:p>
    <w:p>
      <w:pPr>
        <w:ind w:firstLine="440"/>
        <w:rPr>
          <w:rStyle w:val="32"/>
          <w:highlight w:val="none"/>
        </w:rPr>
      </w:pPr>
      <w:r>
        <w:rPr>
          <w:rStyle w:val="32"/>
          <w:highlight w:val="none"/>
        </w:rPr>
        <w:t>（3）明显不符合询价文件规定的技术规格、标准以及商务条款要求的；</w:t>
      </w:r>
    </w:p>
    <w:p>
      <w:pPr>
        <w:ind w:firstLine="440"/>
        <w:rPr>
          <w:rStyle w:val="32"/>
          <w:highlight w:val="none"/>
        </w:rPr>
      </w:pPr>
      <w:r>
        <w:rPr>
          <w:rStyle w:val="32"/>
          <w:highlight w:val="none"/>
        </w:rPr>
        <w:t>（4）报价文件</w:t>
      </w:r>
      <w:r>
        <w:rPr>
          <w:rStyle w:val="32"/>
          <w:rFonts w:hint="eastAsia"/>
          <w:highlight w:val="none"/>
          <w:lang w:eastAsia="zh-CN"/>
        </w:rPr>
        <w:t>服务</w:t>
      </w:r>
      <w:r>
        <w:rPr>
          <w:rStyle w:val="32"/>
          <w:highlight w:val="none"/>
        </w:rPr>
        <w:t>标准和方法等明显不符合询价文件要求的；</w:t>
      </w:r>
    </w:p>
    <w:p>
      <w:pPr>
        <w:ind w:firstLine="440"/>
        <w:rPr>
          <w:rStyle w:val="32"/>
          <w:highlight w:val="none"/>
        </w:rPr>
      </w:pPr>
      <w:r>
        <w:rPr>
          <w:rStyle w:val="32"/>
          <w:highlight w:val="none"/>
        </w:rPr>
        <w:t>（5）报价文件附有采购人不能接受的条件的；</w:t>
      </w:r>
    </w:p>
    <w:p>
      <w:pPr>
        <w:ind w:firstLine="440"/>
        <w:rPr>
          <w:rStyle w:val="32"/>
          <w:highlight w:val="none"/>
        </w:rPr>
      </w:pPr>
      <w:r>
        <w:rPr>
          <w:rStyle w:val="32"/>
          <w:highlight w:val="none"/>
        </w:rPr>
        <w:t>（6）不符合询比文件规定的其他实质性要求的。</w:t>
      </w:r>
    </w:p>
    <w:p>
      <w:pPr>
        <w:ind w:firstLine="440"/>
        <w:rPr>
          <w:rStyle w:val="32"/>
          <w:highlight w:val="none"/>
        </w:rPr>
      </w:pPr>
      <w:r>
        <w:rPr>
          <w:rStyle w:val="32"/>
          <w:highlight w:val="none"/>
        </w:rPr>
        <w:t>5、报价的审查：所有</w:t>
      </w:r>
      <w:r>
        <w:rPr>
          <w:rStyle w:val="32"/>
          <w:rFonts w:hint="eastAsia"/>
          <w:highlight w:val="none"/>
          <w:lang w:eastAsia="zh-CN"/>
        </w:rPr>
        <w:t>供应商</w:t>
      </w:r>
      <w:r>
        <w:rPr>
          <w:rStyle w:val="32"/>
          <w:highlight w:val="none"/>
        </w:rPr>
        <w:t>的报价均以报价文件中报价表的总报价为准。询比文件报价表中的总报价即为评标价。报价文件中的分项报价合计与总报价不一致的，</w:t>
      </w:r>
      <w:r>
        <w:rPr>
          <w:rStyle w:val="32"/>
          <w:rFonts w:hint="eastAsia"/>
          <w:highlight w:val="none"/>
          <w:lang w:eastAsia="zh-CN"/>
        </w:rPr>
        <w:t>供应商</w:t>
      </w:r>
      <w:r>
        <w:rPr>
          <w:rStyle w:val="32"/>
          <w:highlight w:val="none"/>
        </w:rPr>
        <w:t>应按总报价相应修改分项报价。如果</w:t>
      </w:r>
      <w:r>
        <w:rPr>
          <w:rStyle w:val="32"/>
          <w:rFonts w:hint="eastAsia"/>
          <w:highlight w:val="none"/>
          <w:lang w:eastAsia="zh-CN"/>
        </w:rPr>
        <w:t>供应商</w:t>
      </w:r>
      <w:r>
        <w:rPr>
          <w:rStyle w:val="32"/>
          <w:highlight w:val="none"/>
        </w:rPr>
        <w:t>不按照上述原则修正其总报价及分项报价，则其报价文件将被拒绝。</w:t>
      </w:r>
    </w:p>
    <w:p>
      <w:pPr>
        <w:ind w:firstLine="440"/>
        <w:rPr>
          <w:rStyle w:val="32"/>
          <w:highlight w:val="none"/>
        </w:rPr>
      </w:pPr>
      <w:r>
        <w:rPr>
          <w:rStyle w:val="32"/>
          <w:highlight w:val="none"/>
        </w:rPr>
        <w:t>6、澄清：询比小组对报价文件中含义不明确、同类问题表述不一致或者有明显文字错误的内容，可以要求</w:t>
      </w:r>
      <w:r>
        <w:rPr>
          <w:rStyle w:val="32"/>
          <w:rFonts w:hint="eastAsia"/>
          <w:highlight w:val="none"/>
          <w:lang w:eastAsia="zh-CN"/>
        </w:rPr>
        <w:t>供应商</w:t>
      </w:r>
      <w:r>
        <w:rPr>
          <w:rStyle w:val="32"/>
          <w:highlight w:val="none"/>
        </w:rPr>
        <w:t>在规定的时间内作出必要的澄清、说明或者补正。</w:t>
      </w:r>
      <w:r>
        <w:rPr>
          <w:rStyle w:val="32"/>
          <w:rFonts w:hint="eastAsia"/>
          <w:highlight w:val="none"/>
          <w:lang w:eastAsia="zh-CN"/>
        </w:rPr>
        <w:t>供应商</w:t>
      </w:r>
      <w:r>
        <w:rPr>
          <w:rStyle w:val="32"/>
          <w:highlight w:val="none"/>
        </w:rPr>
        <w:t>的澄清、说明或者补正应当采用书面形式，由其法定代表人或授权代理人签字，并不得超出报价文件的范围或者改变报价文件的实质性内容。</w:t>
      </w:r>
      <w:r>
        <w:rPr>
          <w:rStyle w:val="32"/>
          <w:rFonts w:hint="eastAsia"/>
          <w:highlight w:val="none"/>
          <w:lang w:eastAsia="zh-CN"/>
        </w:rPr>
        <w:t>供应商</w:t>
      </w:r>
      <w:r>
        <w:rPr>
          <w:rStyle w:val="32"/>
          <w:highlight w:val="none"/>
        </w:rPr>
        <w:t>拒不进行澄清、说明、补正的，或者不能在规定时间内作出书面澄清、说明、补正的，询比小组将否决其报价。</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3.2否决或取消询比</w:t>
      </w:r>
    </w:p>
    <w:p>
      <w:pPr>
        <w:ind w:firstLineChars="0"/>
        <w:rPr>
          <w:rStyle w:val="32"/>
          <w:highlight w:val="none"/>
        </w:rPr>
      </w:pPr>
      <w:r>
        <w:rPr>
          <w:rStyle w:val="32"/>
          <w:rFonts w:cs="Times New Roman"/>
          <w:b/>
          <w:bCs/>
          <w:highlight w:val="none"/>
        </w:rPr>
        <w:t>3.2.1</w:t>
      </w:r>
      <w:r>
        <w:rPr>
          <w:rStyle w:val="32"/>
          <w:highlight w:val="none"/>
        </w:rPr>
        <w:t>参照中华人民共和国政府采购法律法规和《国有企业采购操作规范》的有关规定，出现下列情形之一的，询比小组将否决所有</w:t>
      </w:r>
      <w:r>
        <w:rPr>
          <w:rStyle w:val="32"/>
          <w:rFonts w:hint="eastAsia"/>
          <w:highlight w:val="none"/>
          <w:lang w:eastAsia="zh-CN"/>
        </w:rPr>
        <w:t>供应商</w:t>
      </w:r>
      <w:r>
        <w:rPr>
          <w:rStyle w:val="32"/>
          <w:highlight w:val="none"/>
        </w:rPr>
        <w:t>的报价或取消采购活动：</w:t>
      </w:r>
    </w:p>
    <w:p>
      <w:pPr>
        <w:ind w:firstLine="440"/>
        <w:rPr>
          <w:rStyle w:val="32"/>
          <w:highlight w:val="none"/>
        </w:rPr>
      </w:pPr>
      <w:r>
        <w:rPr>
          <w:rStyle w:val="32"/>
          <w:highlight w:val="none"/>
        </w:rPr>
        <w:t xml:space="preserve">1、出现影响采购公正的违法、违规行为的； </w:t>
      </w:r>
    </w:p>
    <w:p>
      <w:pPr>
        <w:ind w:firstLine="440"/>
        <w:rPr>
          <w:rStyle w:val="32"/>
          <w:highlight w:val="none"/>
        </w:rPr>
      </w:pPr>
      <w:r>
        <w:rPr>
          <w:rStyle w:val="32"/>
          <w:highlight w:val="none"/>
        </w:rPr>
        <w:t>2、因重大变故，采购任务取消的;</w:t>
      </w:r>
    </w:p>
    <w:p>
      <w:pPr>
        <w:ind w:firstLine="440"/>
        <w:rPr>
          <w:rStyle w:val="32"/>
          <w:highlight w:val="none"/>
        </w:rPr>
      </w:pPr>
      <w:r>
        <w:rPr>
          <w:rStyle w:val="32"/>
          <w:highlight w:val="none"/>
        </w:rPr>
        <w:t>3、询比小组经评审认为所有投标文件都不符合询比文件要求的。</w:t>
      </w:r>
    </w:p>
    <w:p>
      <w:pPr>
        <w:pStyle w:val="63"/>
        <w:ind w:left="0" w:leftChars="0" w:firstLineChars="0"/>
        <w:rPr>
          <w:rStyle w:val="32"/>
          <w:sz w:val="22"/>
          <w:szCs w:val="22"/>
          <w:highlight w:val="none"/>
        </w:rPr>
      </w:pPr>
      <w:r>
        <w:rPr>
          <w:rStyle w:val="32"/>
          <w:rFonts w:cs="Times New Roman"/>
          <w:b/>
          <w:bCs/>
          <w:sz w:val="22"/>
          <w:szCs w:val="22"/>
          <w:highlight w:val="none"/>
        </w:rPr>
        <w:t>3.2.2</w:t>
      </w:r>
      <w:r>
        <w:rPr>
          <w:rStyle w:val="32"/>
          <w:sz w:val="22"/>
          <w:szCs w:val="22"/>
          <w:highlight w:val="none"/>
        </w:rPr>
        <w:t>如果参与的</w:t>
      </w:r>
      <w:r>
        <w:rPr>
          <w:rStyle w:val="32"/>
          <w:rFonts w:hint="eastAsia"/>
          <w:sz w:val="22"/>
          <w:szCs w:val="22"/>
          <w:highlight w:val="none"/>
          <w:lang w:eastAsia="zh-CN"/>
        </w:rPr>
        <w:t>供应商</w:t>
      </w:r>
      <w:r>
        <w:rPr>
          <w:rStyle w:val="32"/>
          <w:sz w:val="22"/>
          <w:szCs w:val="22"/>
          <w:highlight w:val="none"/>
        </w:rPr>
        <w:t>不足2家的，可经采购人批准后，现场转为单一来源谈判方式采购。</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3.3评审方法和标准</w:t>
      </w:r>
    </w:p>
    <w:p>
      <w:pPr>
        <w:pStyle w:val="63"/>
        <w:ind w:left="0" w:leftChars="0" w:firstLineChars="0"/>
        <w:rPr>
          <w:rStyle w:val="32"/>
          <w:b/>
          <w:bCs/>
          <w:sz w:val="22"/>
          <w:szCs w:val="22"/>
          <w:highlight w:val="none"/>
        </w:rPr>
      </w:pPr>
      <w:r>
        <w:rPr>
          <w:rStyle w:val="32"/>
          <w:b/>
          <w:bCs/>
          <w:sz w:val="22"/>
          <w:szCs w:val="22"/>
          <w:highlight w:val="none"/>
        </w:rPr>
        <w:t>3.3.1询比小组首先进行资格性审查、符合性审查。</w:t>
      </w:r>
    </w:p>
    <w:p>
      <w:pPr>
        <w:pStyle w:val="63"/>
        <w:ind w:left="0" w:leftChars="0" w:firstLineChars="0"/>
        <w:rPr>
          <w:rStyle w:val="32"/>
          <w:rFonts w:cs="Times New Roman"/>
          <w:b/>
          <w:bCs/>
          <w:sz w:val="22"/>
          <w:szCs w:val="22"/>
          <w:highlight w:val="none"/>
        </w:rPr>
      </w:pPr>
      <w:r>
        <w:rPr>
          <w:rStyle w:val="32"/>
          <w:b/>
          <w:bCs/>
          <w:sz w:val="22"/>
          <w:szCs w:val="22"/>
          <w:highlight w:val="none"/>
        </w:rPr>
        <w:t>3.3.2</w:t>
      </w:r>
      <w:r>
        <w:rPr>
          <w:rStyle w:val="32"/>
          <w:rFonts w:cs="Times New Roman"/>
          <w:b/>
          <w:bCs/>
          <w:sz w:val="22"/>
          <w:szCs w:val="22"/>
          <w:highlight w:val="none"/>
        </w:rPr>
        <w:t>询比小组按现场签到顺序分别邀请对询比</w:t>
      </w:r>
      <w:r>
        <w:rPr>
          <w:rStyle w:val="32"/>
          <w:rFonts w:hint="eastAsia" w:cs="Times New Roman"/>
          <w:b/>
          <w:bCs/>
          <w:sz w:val="22"/>
          <w:szCs w:val="22"/>
          <w:highlight w:val="none"/>
        </w:rPr>
        <w:t>文件</w:t>
      </w:r>
      <w:r>
        <w:rPr>
          <w:rStyle w:val="32"/>
          <w:rFonts w:cs="Times New Roman"/>
          <w:b/>
          <w:bCs/>
          <w:sz w:val="22"/>
          <w:szCs w:val="22"/>
          <w:highlight w:val="none"/>
        </w:rPr>
        <w:t>响应</w:t>
      </w:r>
      <w:r>
        <w:rPr>
          <w:rStyle w:val="32"/>
          <w:rFonts w:hint="eastAsia" w:cs="Times New Roman"/>
          <w:b/>
          <w:bCs/>
          <w:sz w:val="22"/>
          <w:szCs w:val="22"/>
          <w:highlight w:val="none"/>
        </w:rPr>
        <w:t>的</w:t>
      </w:r>
      <w:r>
        <w:rPr>
          <w:rStyle w:val="32"/>
          <w:rFonts w:hint="eastAsia" w:cs="Times New Roman"/>
          <w:b/>
          <w:bCs/>
          <w:sz w:val="22"/>
          <w:szCs w:val="22"/>
          <w:highlight w:val="none"/>
          <w:lang w:eastAsia="zh-CN"/>
        </w:rPr>
        <w:t>供应商</w:t>
      </w:r>
      <w:r>
        <w:rPr>
          <w:rStyle w:val="32"/>
          <w:rFonts w:cs="Times New Roman"/>
          <w:b/>
          <w:bCs/>
          <w:sz w:val="22"/>
          <w:szCs w:val="22"/>
          <w:highlight w:val="none"/>
        </w:rPr>
        <w:t>进行沟通评议</w:t>
      </w:r>
      <w:r>
        <w:rPr>
          <w:rStyle w:val="32"/>
          <w:rFonts w:hint="eastAsia" w:cs="Times New Roman"/>
          <w:b/>
          <w:bCs/>
          <w:sz w:val="22"/>
          <w:szCs w:val="22"/>
          <w:highlight w:val="none"/>
        </w:rPr>
        <w:t>并对响应文件进行评审，分别对</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的业绩、</w:t>
      </w:r>
      <w:r>
        <w:rPr>
          <w:rStyle w:val="32"/>
          <w:rFonts w:hint="eastAsia" w:cs="Times New Roman"/>
          <w:b/>
          <w:bCs/>
          <w:sz w:val="22"/>
          <w:szCs w:val="22"/>
          <w:highlight w:val="none"/>
          <w:lang w:eastAsia="zh-CN"/>
        </w:rPr>
        <w:t>机械、</w:t>
      </w:r>
      <w:r>
        <w:rPr>
          <w:rStyle w:val="32"/>
          <w:rFonts w:hint="eastAsia" w:cs="Times New Roman"/>
          <w:b/>
          <w:bCs/>
          <w:sz w:val="22"/>
          <w:szCs w:val="22"/>
          <w:highlight w:val="none"/>
        </w:rPr>
        <w:t>工期、服务、质量、价格</w:t>
      </w:r>
      <w:r>
        <w:rPr>
          <w:rStyle w:val="32"/>
          <w:rFonts w:hint="eastAsia" w:cs="Times New Roman"/>
          <w:b/>
          <w:bCs/>
          <w:sz w:val="22"/>
          <w:szCs w:val="22"/>
          <w:highlight w:val="none"/>
          <w:lang w:val="en-US" w:eastAsia="zh-CN"/>
        </w:rPr>
        <w:t>及其他因素</w:t>
      </w:r>
      <w:r>
        <w:rPr>
          <w:rStyle w:val="32"/>
          <w:rFonts w:hint="eastAsia" w:cs="Times New Roman"/>
          <w:b/>
          <w:bCs/>
          <w:sz w:val="22"/>
          <w:szCs w:val="22"/>
          <w:highlight w:val="none"/>
        </w:rPr>
        <w:t>进行询问比较，采购人不保证</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低价中标</w:t>
      </w:r>
      <w:r>
        <w:rPr>
          <w:rStyle w:val="32"/>
          <w:rFonts w:cs="Times New Roman"/>
          <w:b/>
          <w:bCs/>
          <w:sz w:val="22"/>
          <w:szCs w:val="22"/>
          <w:highlight w:val="none"/>
        </w:rPr>
        <w:t>。</w:t>
      </w:r>
    </w:p>
    <w:p>
      <w:pPr>
        <w:pStyle w:val="63"/>
        <w:ind w:left="0" w:leftChars="0" w:firstLineChars="0"/>
        <w:rPr>
          <w:rStyle w:val="32"/>
          <w:rFonts w:cs="Times New Roman"/>
          <w:b/>
          <w:bCs/>
          <w:sz w:val="22"/>
          <w:szCs w:val="22"/>
          <w:highlight w:val="none"/>
        </w:rPr>
      </w:pPr>
      <w:r>
        <w:rPr>
          <w:rStyle w:val="32"/>
          <w:b/>
          <w:bCs/>
          <w:sz w:val="22"/>
          <w:szCs w:val="22"/>
          <w:highlight w:val="none"/>
        </w:rPr>
        <w:t>3.3.3</w:t>
      </w:r>
      <w:r>
        <w:rPr>
          <w:rStyle w:val="32"/>
          <w:rFonts w:cs="Times New Roman"/>
          <w:b/>
          <w:bCs/>
          <w:sz w:val="22"/>
          <w:szCs w:val="22"/>
          <w:highlight w:val="none"/>
        </w:rPr>
        <w:t>评议结束后，</w:t>
      </w:r>
      <w:r>
        <w:rPr>
          <w:rStyle w:val="32"/>
          <w:rFonts w:hint="eastAsia" w:cs="Times New Roman"/>
          <w:b/>
          <w:bCs/>
          <w:sz w:val="22"/>
          <w:szCs w:val="22"/>
          <w:highlight w:val="none"/>
          <w:lang w:eastAsia="zh-CN"/>
        </w:rPr>
        <w:t>供应商</w:t>
      </w:r>
      <w:r>
        <w:rPr>
          <w:rStyle w:val="32"/>
          <w:rFonts w:cs="Times New Roman"/>
          <w:b/>
          <w:bCs/>
          <w:sz w:val="22"/>
          <w:szCs w:val="22"/>
          <w:highlight w:val="none"/>
        </w:rPr>
        <w:t>再报出最终报价，由询比小组综合评审，</w:t>
      </w:r>
      <w:r>
        <w:rPr>
          <w:rStyle w:val="32"/>
          <w:rFonts w:hint="eastAsia" w:cs="Times New Roman"/>
          <w:b/>
          <w:bCs/>
          <w:sz w:val="22"/>
          <w:szCs w:val="22"/>
          <w:highlight w:val="none"/>
          <w:lang w:eastAsia="zh-CN"/>
        </w:rPr>
        <w:t>采购人</w:t>
      </w:r>
      <w:r>
        <w:rPr>
          <w:rStyle w:val="32"/>
          <w:rFonts w:hint="eastAsia" w:cs="Times New Roman"/>
          <w:b/>
          <w:bCs/>
          <w:sz w:val="22"/>
          <w:szCs w:val="22"/>
          <w:highlight w:val="none"/>
        </w:rPr>
        <w:t>根据综合评审结果</w:t>
      </w:r>
      <w:r>
        <w:rPr>
          <w:rStyle w:val="32"/>
          <w:rFonts w:hint="eastAsia" w:cs="Times New Roman"/>
          <w:b/>
          <w:bCs/>
          <w:sz w:val="22"/>
          <w:szCs w:val="22"/>
          <w:highlight w:val="none"/>
          <w:lang w:eastAsia="zh-CN"/>
        </w:rPr>
        <w:t>确定</w:t>
      </w:r>
      <w:r>
        <w:rPr>
          <w:rStyle w:val="32"/>
          <w:rFonts w:cs="Times New Roman"/>
          <w:b/>
          <w:bCs/>
          <w:sz w:val="22"/>
          <w:szCs w:val="22"/>
          <w:highlight w:val="none"/>
        </w:rPr>
        <w:t>成交候选人</w:t>
      </w:r>
      <w:r>
        <w:rPr>
          <w:rStyle w:val="32"/>
          <w:rFonts w:hint="eastAsia" w:cs="Times New Roman"/>
          <w:b/>
          <w:bCs/>
          <w:sz w:val="22"/>
          <w:szCs w:val="22"/>
          <w:highlight w:val="none"/>
          <w:lang w:eastAsia="zh-CN"/>
        </w:rPr>
        <w:t>，若同一个供应商同时报名两个及以上标段时，最多只允许承包一个标段，即第一个成交的标段</w:t>
      </w:r>
      <w:r>
        <w:rPr>
          <w:rStyle w:val="32"/>
          <w:rFonts w:cs="Times New Roman"/>
          <w:b/>
          <w:bCs/>
          <w:sz w:val="22"/>
          <w:szCs w:val="22"/>
          <w:highlight w:val="none"/>
        </w:rPr>
        <w:t>。</w:t>
      </w:r>
    </w:p>
    <w:p>
      <w:pPr>
        <w:pStyle w:val="63"/>
        <w:ind w:left="0" w:leftChars="0" w:firstLineChars="0"/>
        <w:rPr>
          <w:rStyle w:val="32"/>
          <w:rFonts w:hint="default" w:eastAsia="宋体" w:cs="Times New Roman"/>
          <w:b/>
          <w:bCs/>
          <w:sz w:val="22"/>
          <w:szCs w:val="22"/>
          <w:highlight w:val="none"/>
          <w:lang w:val="en-US" w:eastAsia="zh-CN"/>
        </w:rPr>
      </w:pPr>
      <w:r>
        <w:rPr>
          <w:rStyle w:val="32"/>
          <w:rFonts w:hint="eastAsia" w:cs="Times New Roman"/>
          <w:b/>
          <w:bCs/>
          <w:sz w:val="22"/>
          <w:szCs w:val="22"/>
          <w:highlight w:val="none"/>
          <w:lang w:val="en-US" w:eastAsia="zh-CN"/>
        </w:rPr>
        <w:t>3.3.4该项目成交价为3个标段成交候选人报价最低价，如供应商不接受报价，视为放弃中标候选人资格。</w:t>
      </w:r>
    </w:p>
    <w:p>
      <w:pPr>
        <w:pStyle w:val="28"/>
        <w:rPr>
          <w:rStyle w:val="32"/>
          <w:highlight w:val="none"/>
        </w:rPr>
      </w:pPr>
    </w:p>
    <w:p>
      <w:pPr>
        <w:ind w:firstLine="0" w:firstLineChars="0"/>
        <w:rPr>
          <w:rStyle w:val="32"/>
          <w:highlight w:val="none"/>
        </w:rPr>
        <w:sectPr>
          <w:footerReference r:id="rId12" w:type="default"/>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Pr>
        <w:pStyle w:val="28"/>
        <w:numPr>
          <w:ilvl w:val="0"/>
          <w:numId w:val="1"/>
        </w:numPr>
        <w:rPr>
          <w:rStyle w:val="32"/>
          <w:highlight w:val="none"/>
        </w:rPr>
      </w:pPr>
      <w:r>
        <w:rPr>
          <w:rStyle w:val="32"/>
          <w:highlight w:val="none"/>
        </w:rPr>
        <w:t xml:space="preserve"> </w:t>
      </w:r>
      <w:r>
        <w:rPr>
          <w:rStyle w:val="32"/>
          <w:rFonts w:hint="eastAsia"/>
          <w:highlight w:val="none"/>
        </w:rPr>
        <w:t>采购</w:t>
      </w:r>
      <w:r>
        <w:rPr>
          <w:rStyle w:val="32"/>
          <w:highlight w:val="none"/>
        </w:rPr>
        <w:t>需求</w:t>
      </w:r>
    </w:p>
    <w:p>
      <w:pPr>
        <w:ind w:left="0" w:leftChars="0" w:firstLine="0" w:firstLineChars="0"/>
        <w:jc w:val="center"/>
        <w:rPr>
          <w:rFonts w:hint="eastAsia" w:eastAsiaTheme="minorEastAsia"/>
          <w:sz w:val="44"/>
          <w:szCs w:val="44"/>
          <w:lang w:eastAsia="zh-CN"/>
        </w:rPr>
      </w:pPr>
      <w:r>
        <w:rPr>
          <w:rFonts w:hint="eastAsia"/>
          <w:sz w:val="44"/>
          <w:szCs w:val="44"/>
        </w:rPr>
        <w:t>霍山县殡仪馆和城市公益性公墓一期后</w:t>
      </w:r>
      <w:r>
        <w:rPr>
          <w:rFonts w:hint="eastAsia"/>
          <w:sz w:val="44"/>
          <w:szCs w:val="44"/>
          <w:lang w:eastAsia="zh-CN"/>
        </w:rPr>
        <w:t>　　　　</w:t>
      </w:r>
      <w:r>
        <w:rPr>
          <w:rFonts w:hint="eastAsia"/>
          <w:sz w:val="44"/>
          <w:szCs w:val="44"/>
        </w:rPr>
        <w:t>续配套工程</w:t>
      </w:r>
      <w:r>
        <w:rPr>
          <w:rFonts w:hint="eastAsia"/>
          <w:sz w:val="44"/>
          <w:szCs w:val="44"/>
          <w:lang w:val="en-US" w:eastAsia="zh-CN"/>
        </w:rPr>
        <w:t>EPC项目</w:t>
      </w:r>
      <w:r>
        <w:rPr>
          <w:rFonts w:hint="eastAsia"/>
          <w:sz w:val="44"/>
          <w:szCs w:val="44"/>
        </w:rPr>
        <w:t>围墙工程</w:t>
      </w:r>
      <w:r>
        <w:rPr>
          <w:rFonts w:hint="eastAsia"/>
          <w:sz w:val="44"/>
          <w:szCs w:val="44"/>
          <w:lang w:eastAsia="zh-CN"/>
        </w:rPr>
        <w:t>采购需求</w: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tabs>
          <w:tab w:val="left" w:pos="681"/>
        </w:tabs>
        <w:bidi w:val="0"/>
        <w:jc w:val="left"/>
        <w:rPr>
          <w:rFonts w:hint="default" w:asciiTheme="minorHAnsi" w:hAnsiTheme="minorHAnsi" w:eastAsiaTheme="minorEastAsia" w:cstheme="minorBidi"/>
          <w:kern w:val="2"/>
          <w:sz w:val="32"/>
          <w:szCs w:val="32"/>
          <w:lang w:val="en-US" w:eastAsia="zh-CN" w:bidi="ar-SA"/>
        </w:rPr>
      </w:pPr>
      <w:r>
        <w:rPr>
          <w:rFonts w:hint="eastAsia"/>
          <w:lang w:val="en-US" w:eastAsia="zh-CN"/>
        </w:rPr>
        <w:tab/>
      </w:r>
      <w:r>
        <w:rPr>
          <w:rFonts w:hint="default" w:ascii="Calibri" w:hAnsi="Calibri" w:cs="Calibri"/>
          <w:sz w:val="32"/>
          <w:szCs w:val="32"/>
          <w:lang w:val="en-US" w:eastAsia="zh-CN"/>
        </w:rPr>
        <w:t>①</w:t>
      </w:r>
      <w:r>
        <w:rPr>
          <w:rFonts w:hint="eastAsia"/>
          <w:sz w:val="32"/>
          <w:szCs w:val="32"/>
          <w:lang w:val="en-US" w:eastAsia="zh-CN"/>
        </w:rPr>
        <w:t>.实心围墙1800米；</w:t>
      </w:r>
      <w:r>
        <w:rPr>
          <w:rFonts w:hint="default" w:ascii="Calibri" w:hAnsi="Calibri" w:cs="Calibri"/>
          <w:sz w:val="32"/>
          <w:szCs w:val="32"/>
          <w:lang w:val="en-US" w:eastAsia="zh-CN"/>
        </w:rPr>
        <w:t>②</w:t>
      </w:r>
      <w:r>
        <w:rPr>
          <w:rFonts w:hint="eastAsia"/>
          <w:sz w:val="32"/>
          <w:szCs w:val="32"/>
          <w:lang w:val="en-US" w:eastAsia="zh-CN"/>
        </w:rPr>
        <w:t>.通透式围墙。</w:t>
      </w:r>
    </w:p>
    <w:p>
      <w:pPr>
        <w:tabs>
          <w:tab w:val="left" w:pos="876"/>
        </w:tabs>
        <w:bidi w:val="0"/>
        <w:jc w:val="left"/>
        <w:rPr>
          <w:rFonts w:hint="eastAsia"/>
          <w:sz w:val="32"/>
          <w:szCs w:val="32"/>
          <w:lang w:val="en-US" w:eastAsia="zh-CN"/>
        </w:rPr>
      </w:pPr>
      <w:r>
        <w:rPr>
          <w:rFonts w:hint="eastAsia"/>
          <w:sz w:val="32"/>
          <w:szCs w:val="32"/>
          <w:lang w:val="en-US" w:eastAsia="zh-CN"/>
        </w:rPr>
        <w:tab/>
      </w:r>
      <w:r>
        <w:rPr>
          <w:rFonts w:hint="eastAsia"/>
          <w:sz w:val="32"/>
          <w:szCs w:val="32"/>
          <w:lang w:val="en-US" w:eastAsia="zh-CN"/>
        </w:rPr>
        <w:t>采购方式：库内询比，要求分为三个标段；</w:t>
      </w:r>
    </w:p>
    <w:p>
      <w:pPr>
        <w:numPr>
          <w:ilvl w:val="0"/>
          <w:numId w:val="2"/>
        </w:numPr>
        <w:tabs>
          <w:tab w:val="left" w:pos="876"/>
        </w:tabs>
        <w:bidi w:val="0"/>
        <w:jc w:val="left"/>
        <w:rPr>
          <w:rFonts w:hint="eastAsia"/>
          <w:sz w:val="32"/>
          <w:szCs w:val="32"/>
          <w:lang w:val="en-US" w:eastAsia="zh-CN"/>
        </w:rPr>
      </w:pPr>
      <w:r>
        <w:rPr>
          <w:rFonts w:hint="eastAsia"/>
          <w:sz w:val="32"/>
          <w:szCs w:val="32"/>
          <w:lang w:val="en-US" w:eastAsia="zh-CN"/>
        </w:rPr>
        <w:t>合同量暂定每标段实心围墙600米，通透式围墙120米，甲方有权根据乙方的施工进度调整合同工程量，乙方需无条件接受。</w:t>
      </w:r>
    </w:p>
    <w:p>
      <w:pPr>
        <w:tabs>
          <w:tab w:val="left" w:pos="876"/>
        </w:tabs>
        <w:bidi w:val="0"/>
        <w:jc w:val="left"/>
        <w:rPr>
          <w:rFonts w:hint="eastAsia"/>
          <w:sz w:val="32"/>
          <w:szCs w:val="32"/>
          <w:lang w:val="en-US" w:eastAsia="zh-CN"/>
        </w:rPr>
      </w:pPr>
      <w:r>
        <w:rPr>
          <w:rFonts w:hint="eastAsia"/>
          <w:sz w:val="32"/>
          <w:szCs w:val="32"/>
          <w:lang w:val="en-US" w:eastAsia="zh-CN"/>
        </w:rPr>
        <w:t>2、为顺利推进围墙项目施工，要求中标单位有良好的当地关系协调能力，中标候选人需在开标后一日内提供当地村委会推荐函（提供给采购人查验），未能按时提供者视为自动放弃中标候选人资格。</w:t>
      </w:r>
    </w:p>
    <w:p>
      <w:pPr>
        <w:numPr>
          <w:ilvl w:val="0"/>
          <w:numId w:val="0"/>
        </w:numPr>
        <w:tabs>
          <w:tab w:val="left" w:pos="621"/>
        </w:tabs>
        <w:bidi w:val="0"/>
        <w:jc w:val="left"/>
        <w:rPr>
          <w:rFonts w:hint="eastAsia"/>
          <w:sz w:val="32"/>
          <w:szCs w:val="32"/>
          <w:lang w:val="en-US" w:eastAsia="zh-CN"/>
        </w:rPr>
      </w:pPr>
      <w:r>
        <w:rPr>
          <w:rFonts w:hint="eastAsia"/>
          <w:sz w:val="32"/>
          <w:szCs w:val="32"/>
          <w:lang w:val="en-US" w:eastAsia="zh-CN"/>
        </w:rPr>
        <w:t>3、供应商必须为库内企业。</w:t>
      </w:r>
    </w:p>
    <w:p>
      <w:pPr>
        <w:numPr>
          <w:ilvl w:val="0"/>
          <w:numId w:val="0"/>
        </w:numPr>
        <w:tabs>
          <w:tab w:val="left" w:pos="621"/>
        </w:tabs>
        <w:bidi w:val="0"/>
        <w:jc w:val="left"/>
        <w:rPr>
          <w:rFonts w:hint="default"/>
          <w:sz w:val="32"/>
          <w:szCs w:val="32"/>
          <w:lang w:val="en-US" w:eastAsia="zh-CN"/>
        </w:rPr>
      </w:pPr>
      <w:r>
        <w:rPr>
          <w:rFonts w:hint="eastAsia"/>
          <w:sz w:val="32"/>
          <w:szCs w:val="32"/>
          <w:lang w:val="en-US" w:eastAsia="zh-CN"/>
        </w:rPr>
        <w:t>4、采购人依据评审小组建议报告确定成交人，不保证投标人低价中标。</w:t>
      </w:r>
    </w:p>
    <w:p>
      <w:pPr>
        <w:ind w:firstLine="440"/>
        <w:rPr>
          <w:rStyle w:val="32"/>
          <w:highlight w:val="none"/>
        </w:rPr>
      </w:pPr>
    </w:p>
    <w:p>
      <w:pPr>
        <w:ind w:firstLine="440"/>
        <w:rPr>
          <w:rStyle w:val="32"/>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jc w:val="center"/>
        <w:rPr>
          <w:rStyle w:val="32"/>
          <w:sz w:val="21"/>
          <w:highlight w:val="none"/>
        </w:rPr>
      </w:pPr>
    </w:p>
    <w:p>
      <w:pPr>
        <w:pStyle w:val="28"/>
        <w:rPr>
          <w:rStyle w:val="32"/>
          <w:highlight w:val="none"/>
        </w:rPr>
      </w:pPr>
      <w:r>
        <w:rPr>
          <w:rStyle w:val="32"/>
          <w:highlight w:val="none"/>
        </w:rPr>
        <w:t>第五章  询比文件格式</w:t>
      </w:r>
    </w:p>
    <w:p>
      <w:pPr>
        <w:pStyle w:val="50"/>
        <w:ind w:firstLine="440"/>
        <w:rPr>
          <w:rStyle w:val="32"/>
          <w:highlight w:val="none"/>
        </w:rPr>
      </w:pPr>
      <w:r>
        <w:rPr>
          <w:rStyle w:val="32"/>
          <w:highlight w:val="none"/>
        </w:rPr>
        <w:br w:type="page"/>
      </w:r>
    </w:p>
    <w:p>
      <w:pPr>
        <w:pStyle w:val="50"/>
        <w:ind w:firstLine="440"/>
        <w:rPr>
          <w:rStyle w:val="32"/>
          <w:highlight w:val="none"/>
        </w:rPr>
      </w:pPr>
    </w:p>
    <w:p>
      <w:pPr>
        <w:spacing w:line="360" w:lineRule="auto"/>
        <w:ind w:firstLineChars="0"/>
        <w:jc w:val="center"/>
        <w:textAlignment w:val="baseline"/>
        <w:rPr>
          <w:rStyle w:val="32"/>
          <w:rFonts w:ascii="黑体" w:hAnsi="黑体" w:eastAsia="黑体" w:cs="黑体"/>
          <w:bCs/>
          <w:sz w:val="32"/>
          <w:szCs w:val="32"/>
          <w:highlight w:val="none"/>
          <w:lang w:val="en-US" w:eastAsia="zh-CN" w:bidi="ar-SA"/>
        </w:rPr>
      </w:pPr>
      <w:r>
        <w:rPr>
          <w:rStyle w:val="32"/>
          <w:rFonts w:hint="eastAsia" w:ascii="黑体" w:hAnsi="黑体" w:eastAsia="黑体" w:cs="黑体"/>
          <w:bCs/>
          <w:sz w:val="32"/>
          <w:szCs w:val="32"/>
          <w:highlight w:val="none"/>
          <w:lang w:val="en-US" w:eastAsia="zh-CN" w:bidi="ar-SA"/>
        </w:rPr>
        <w:t>霍山县殡仪馆和城市公益性公墓一期后续配套工程EPC项目围墙工程</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p>
    <w:p>
      <w:pPr>
        <w:pStyle w:val="63"/>
        <w:widowControl/>
        <w:spacing w:line="360" w:lineRule="auto"/>
        <w:ind w:left="440" w:firstLine="560"/>
        <w:jc w:val="left"/>
        <w:textAlignment w:val="baseline"/>
        <w:rPr>
          <w:rStyle w:val="32"/>
          <w:sz w:val="28"/>
          <w:szCs w:val="28"/>
          <w:highlight w:val="none"/>
        </w:rPr>
      </w:pP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供应商：</w:t>
      </w:r>
      <w:r>
        <w:rPr>
          <w:rStyle w:val="32"/>
          <w:rFonts w:ascii="宋体" w:hAnsi="宋体" w:eastAsia="宋体"/>
          <w:sz w:val="24"/>
          <w:szCs w:val="24"/>
          <w:highlight w:val="none"/>
          <w:u w:val="single"/>
          <w:lang w:val="en-US" w:eastAsia="zh-CN" w:bidi="ar-SA"/>
        </w:rPr>
        <w:t xml:space="preserve">                           </w:t>
      </w:r>
      <w:r>
        <w:rPr>
          <w:rStyle w:val="32"/>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2"/>
          <w:rFonts w:ascii="宋体" w:hAnsi="宋体" w:eastAsia="黑体"/>
          <w:b/>
          <w:sz w:val="28"/>
          <w:szCs w:val="28"/>
          <w:highlight w:val="none"/>
          <w:lang w:val="en-US" w:eastAsia="zh-CN" w:bidi="ar-SA"/>
        </w:rPr>
      </w:pPr>
      <w:r>
        <w:rPr>
          <w:rStyle w:val="32"/>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2"/>
          <w:rFonts w:ascii="宋体" w:hAnsi="宋体" w:eastAsia="宋体"/>
          <w:sz w:val="22"/>
          <w:szCs w:val="21"/>
          <w:highlight w:val="none"/>
          <w:lang w:val="en-US" w:eastAsia="zh-CN" w:bidi="ar-SA"/>
        </w:rPr>
      </w:pPr>
      <w:r>
        <w:rPr>
          <w:rStyle w:val="32"/>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2"/>
          <w:rFonts w:ascii="宋体" w:hAnsi="宋体" w:eastAsia="宋体"/>
          <w:sz w:val="22"/>
          <w:highlight w:val="none"/>
          <w:lang w:val="en-US" w:eastAsia="zh-CN" w:bidi="ar-SA"/>
        </w:rPr>
      </w:pP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报价函</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授权委托书或法定代表人身份证明</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资格审查资料</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hint="eastAsia" w:ascii="宋体" w:hAnsi="宋体"/>
          <w:kern w:val="2"/>
          <w:sz w:val="22"/>
          <w:szCs w:val="22"/>
          <w:highlight w:val="none"/>
          <w:lang w:val="en-US" w:eastAsia="zh-CN" w:bidi="ar-SA"/>
        </w:rPr>
        <w:t>询比服务及服务方案</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已标价报价清单</w:t>
      </w:r>
    </w:p>
    <w:p>
      <w:pPr>
        <w:pStyle w:val="50"/>
        <w:widowControl/>
        <w:numPr>
          <w:ilvl w:val="0"/>
          <w:numId w:val="3"/>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kern w:val="2"/>
          <w:sz w:val="24"/>
          <w:szCs w:val="30"/>
          <w:highlight w:val="none"/>
          <w:lang w:val="en-US" w:eastAsia="zh-CN" w:bidi="ar-SA"/>
        </w:rPr>
      </w:pPr>
      <w:r>
        <w:rPr>
          <w:rStyle w:val="32"/>
          <w:rFonts w:ascii="黑体" w:hAnsi="黑体" w:eastAsia="黑体" w:cs="宋体"/>
          <w:bCs/>
          <w:iCs/>
          <w:kern w:val="2"/>
          <w:sz w:val="24"/>
          <w:szCs w:val="3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我方已仔细研究了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（项目名称）采购文件的全部内容，在考察现场后，愿意按采购文件规定提供总报价为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（2）我方承诺按照合同约定完成</w:t>
      </w:r>
      <w:r>
        <w:rPr>
          <w:rStyle w:val="32"/>
          <w:rFonts w:hint="eastAsia"/>
          <w:sz w:val="22"/>
          <w:szCs w:val="21"/>
          <w:highlight w:val="none"/>
          <w:lang w:val="en-US" w:eastAsia="zh-CN" w:bidi="ar-SA"/>
        </w:rPr>
        <w:t>你方服务需求内所涉及的内容</w:t>
      </w:r>
      <w:r>
        <w:rPr>
          <w:rStyle w:val="32"/>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报 价 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法定代表人或其委托代理人：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地址：</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电话：</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传真：</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邮政编码：</w:t>
      </w:r>
      <w:r>
        <w:rPr>
          <w:rStyle w:val="32"/>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年</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月</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日</w:t>
      </w:r>
    </w:p>
    <w:p>
      <w:pPr>
        <w:widowControl/>
        <w:spacing w:line="240" w:lineRule="auto"/>
        <w:ind w:firstLineChars="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2"/>
          <w:rFonts w:ascii="宋体" w:hAnsi="宋体" w:eastAsia="宋体"/>
          <w:sz w:val="22"/>
          <w:highlight w:val="none"/>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2"/>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本人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（供应商名称）的法定代表人，现委托</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（姓名）为我方代理人。代理人根据授权，以我方名义签署、澄清确认、递交、撤回、修改</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法定代表人：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委托代理人：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2"/>
          <w:rFonts w:ascii="宋体" w:hAnsi="宋体" w:eastAsia="宋体"/>
          <w:sz w:val="22"/>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sz w:val="22"/>
          <w:szCs w:val="21"/>
          <w:highlight w:val="none"/>
          <w:lang w:val="en-US" w:eastAsia="zh-CN" w:bidi="ar-SA"/>
        </w:rPr>
      </w:pPr>
      <w:r>
        <w:rPr>
          <w:rStyle w:val="32"/>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sz w:val="22"/>
          <w:szCs w:val="21"/>
          <w:highlight w:val="none"/>
          <w:lang w:val="en-US" w:eastAsia="zh-CN" w:bidi="ar-SA"/>
        </w:rPr>
      </w:pPr>
      <w:r>
        <w:rPr>
          <w:rStyle w:val="32"/>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供应商名称：</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姓名：</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cs="Times New Roman"/>
          <w:bCs/>
          <w:sz w:val="22"/>
          <w:szCs w:val="21"/>
          <w:highlight w:val="none"/>
          <w:u w:val="single"/>
          <w:lang w:val="en-US" w:eastAsia="zh-CN" w:bidi="ar-SA"/>
        </w:rPr>
        <w:t xml:space="preserve">（法定代表人亲笔签字）  </w:t>
      </w:r>
      <w:r>
        <w:rPr>
          <w:rStyle w:val="32"/>
          <w:rFonts w:ascii="宋体" w:hAnsi="宋体" w:eastAsia="宋体"/>
          <w:sz w:val="22"/>
          <w:szCs w:val="21"/>
          <w:highlight w:val="none"/>
          <w:lang w:val="en-US" w:eastAsia="zh-CN" w:bidi="ar-SA"/>
        </w:rPr>
        <w:t xml:space="preserve"> 性别：</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年龄：</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职务：</w:t>
      </w:r>
      <w:r>
        <w:rPr>
          <w:rStyle w:val="32"/>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2"/>
          <w:szCs w:val="21"/>
          <w:highlight w:val="none"/>
          <w:lang w:val="en-US" w:eastAsia="zh-CN" w:bidi="ar-SA"/>
        </w:rPr>
        <w:t xml:space="preserve">                                                   </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kern w:val="0"/>
          <w:sz w:val="22"/>
          <w:szCs w:val="21"/>
          <w:highlight w:val="none"/>
          <w:lang w:val="en-US" w:eastAsia="zh-CN" w:bidi="ar-SA"/>
        </w:rPr>
      </w:pPr>
      <w:r>
        <w:rPr>
          <w:rStyle w:val="32"/>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sz w:val="20"/>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20"/>
          <w:szCs w:val="20"/>
          <w:highlight w:val="none"/>
          <w:lang w:val="en-US" w:eastAsia="zh-CN" w:bidi="ar-SA"/>
        </w:rPr>
      </w:pPr>
      <w:r>
        <w:rPr>
          <w:rStyle w:val="32"/>
          <w:rFonts w:ascii="黑体" w:hAnsi="黑体" w:eastAsia="黑体" w:cs="黑体"/>
          <w:bCs/>
          <w:iCs/>
          <w:kern w:val="2"/>
          <w:sz w:val="20"/>
          <w:szCs w:val="2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供应商基本情况</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highlight w:val="none"/>
          <w:lang w:val="en-US" w:eastAsia="zh-CN" w:bidi="ar-SA"/>
        </w:rPr>
      </w:pPr>
      <w:r>
        <w:rPr>
          <w:rStyle w:val="32"/>
          <w:rFonts w:hint="eastAsia"/>
          <w:sz w:val="22"/>
          <w:highlight w:val="none"/>
          <w:lang w:val="en-US" w:eastAsia="zh-CN" w:bidi="ar-SA"/>
        </w:rPr>
        <w:t>格式由参加询比的供应商</w:t>
      </w:r>
      <w:r>
        <w:rPr>
          <w:rStyle w:val="32"/>
          <w:rFonts w:hint="eastAsia" w:ascii="宋体" w:hAnsi="宋体" w:eastAsia="宋体"/>
          <w:sz w:val="22"/>
          <w:highlight w:val="none"/>
          <w:lang w:val="en-US" w:eastAsia="zh-CN" w:bidi="ar-SA"/>
        </w:rPr>
        <w:t>自行设计，主要反映</w:t>
      </w:r>
      <w:r>
        <w:rPr>
          <w:rStyle w:val="32"/>
          <w:rFonts w:hint="eastAsia"/>
          <w:sz w:val="22"/>
          <w:highlight w:val="none"/>
          <w:lang w:val="en-US" w:eastAsia="zh-CN" w:bidi="ar-SA"/>
        </w:rPr>
        <w:t>供应商</w:t>
      </w:r>
      <w:r>
        <w:rPr>
          <w:rStyle w:val="32"/>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ind w:left="0" w:leftChars="0" w:firstLine="0" w:firstLineChars="0"/>
        <w:jc w:val="center"/>
        <w:rPr>
          <w:rStyle w:val="32"/>
          <w:rFonts w:hint="eastAsia" w:ascii="黑体" w:hAnsi="黑体" w:eastAsia="黑体" w:cs="黑体"/>
          <w:bCs/>
          <w:iCs/>
          <w:kern w:val="2"/>
          <w:sz w:val="30"/>
          <w:szCs w:val="30"/>
          <w:highlight w:val="none"/>
          <w:lang w:val="en-US" w:eastAsia="zh-CN" w:bidi="ar-SA"/>
        </w:rPr>
      </w:pPr>
      <w:r>
        <w:rPr>
          <w:rStyle w:val="32"/>
          <w:rFonts w:hint="eastAsia" w:ascii="黑体" w:hAnsi="黑体" w:eastAsia="黑体" w:cs="黑体"/>
          <w:bCs/>
          <w:iCs/>
          <w:kern w:val="2"/>
          <w:sz w:val="30"/>
          <w:szCs w:val="30"/>
          <w:highlight w:val="none"/>
          <w:lang w:val="en-US" w:eastAsia="zh-CN" w:bidi="ar-SA"/>
        </w:rPr>
        <w:t>四、询比采购服务方案</w:t>
      </w:r>
    </w:p>
    <w:p>
      <w:pPr>
        <w:rPr>
          <w:rStyle w:val="32"/>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szCs w:val="22"/>
          <w:highlight w:val="none"/>
          <w:lang w:val="en-US" w:eastAsia="zh-CN" w:bidi="ar-SA"/>
        </w:rPr>
      </w:pPr>
      <w:r>
        <w:rPr>
          <w:rStyle w:val="32"/>
          <w:rFonts w:hint="eastAsia"/>
          <w:sz w:val="22"/>
          <w:szCs w:val="22"/>
          <w:highlight w:val="none"/>
          <w:lang w:val="en-US" w:eastAsia="zh-CN" w:bidi="ar-SA"/>
        </w:rPr>
        <w:t>供应商</w:t>
      </w:r>
      <w:r>
        <w:rPr>
          <w:rStyle w:val="32"/>
          <w:rFonts w:hint="eastAsia" w:ascii="宋体" w:hAnsi="宋体" w:eastAsia="宋体"/>
          <w:sz w:val="22"/>
          <w:szCs w:val="22"/>
          <w:highlight w:val="none"/>
          <w:lang w:val="en-US" w:eastAsia="zh-CN" w:bidi="ar-SA"/>
        </w:rPr>
        <w:t>根据项目情况自行编写。（</w:t>
      </w:r>
      <w:r>
        <w:rPr>
          <w:rStyle w:val="32"/>
          <w:rFonts w:hint="eastAsia"/>
          <w:sz w:val="22"/>
          <w:szCs w:val="22"/>
          <w:highlight w:val="none"/>
          <w:lang w:val="en-US" w:eastAsia="zh-CN" w:bidi="ar-SA"/>
        </w:rPr>
        <w:t>服务</w:t>
      </w:r>
      <w:r>
        <w:rPr>
          <w:rStyle w:val="32"/>
          <w:rFonts w:hint="eastAsia" w:ascii="宋体" w:hAnsi="宋体" w:eastAsia="宋体"/>
          <w:sz w:val="22"/>
          <w:szCs w:val="22"/>
          <w:highlight w:val="none"/>
          <w:lang w:val="en-US" w:eastAsia="zh-CN" w:bidi="ar-SA"/>
        </w:rPr>
        <w:t>方案，编写服务方案，例如：驻场人员，费用构成、后勤设施、技术保障、服务内容、组织措施等，格式自拟）</w:t>
      </w: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pStyle w:val="29"/>
        <w:keepNext/>
        <w:keepLines/>
        <w:widowControl/>
        <w:numPr>
          <w:ilvl w:val="0"/>
          <w:numId w:val="0"/>
        </w:numPr>
        <w:spacing w:before="120" w:after="120" w:line="240" w:lineRule="auto"/>
        <w:jc w:val="center"/>
        <w:textAlignment w:val="baseline"/>
        <w:rPr>
          <w:rStyle w:val="32"/>
          <w:rFonts w:ascii="黑体" w:hAnsi="黑体" w:eastAsia="黑体"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t>五、</w:t>
      </w:r>
      <w:r>
        <w:rPr>
          <w:rStyle w:val="32"/>
          <w:rFonts w:ascii="黑体" w:hAnsi="黑体" w:eastAsia="黑体" w:cs="黑体"/>
          <w:bCs/>
          <w:iCs/>
          <w:kern w:val="2"/>
          <w:sz w:val="30"/>
          <w:szCs w:val="30"/>
          <w:highlight w:val="none"/>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000000"/>
          <w:kern w:val="2"/>
          <w:sz w:val="24"/>
          <w:szCs w:val="24"/>
          <w:highlight w:val="none"/>
          <w:lang w:val="en-US" w:eastAsia="zh-CN" w:bidi="ar-SA"/>
        </w:rPr>
      </w:pPr>
      <w:r>
        <w:rPr>
          <w:rStyle w:val="32"/>
          <w:rFonts w:ascii="宋体" w:hAnsi="宋体" w:eastAsia="宋体" w:cs="宋体"/>
          <w:bCs/>
          <w:color w:val="000000"/>
          <w:kern w:val="2"/>
          <w:sz w:val="24"/>
          <w:szCs w:val="24"/>
          <w:highlight w:val="none"/>
          <w:lang w:val="en-US" w:eastAsia="zh-CN" w:bidi="ar-SA"/>
        </w:rPr>
        <w:t>（一）响应报价书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Fonts w:hint="eastAsia"/>
                <w:lang w:val="en-US" w:eastAsia="zh-CN"/>
              </w:rPr>
            </w:pPr>
            <w:r>
              <w:rPr>
                <w:rStyle w:val="32"/>
                <w:rFonts w:hint="eastAsia"/>
                <w:color w:val="000000"/>
                <w:sz w:val="22"/>
                <w:szCs w:val="21"/>
                <w:highlight w:val="none"/>
                <w:lang w:val="en-US" w:eastAsia="zh-CN" w:bidi="ar-SA"/>
              </w:rPr>
              <w:t>投标报价（单价）：</w:t>
            </w:r>
            <w:r>
              <w:rPr>
                <w:rStyle w:val="32"/>
                <w:rFonts w:hint="default" w:ascii="宋体" w:hAnsi="宋体" w:eastAsia="宋体"/>
                <w:color w:val="000000"/>
                <w:sz w:val="22"/>
                <w:szCs w:val="21"/>
                <w:highlight w:val="none"/>
                <w:u w:val="single"/>
                <w:lang w:val="en-US" w:eastAsia="zh-CN" w:bidi="ar-SA"/>
              </w:rPr>
              <w:t xml:space="preserve">                        </w:t>
            </w:r>
            <w:r>
              <w:rPr>
                <w:rStyle w:val="32"/>
                <w:rFonts w:hint="eastAsia"/>
                <w:color w:val="000000"/>
                <w:sz w:val="22"/>
                <w:szCs w:val="21"/>
                <w:highlight w:val="none"/>
                <w:u w:val="singl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Fonts w:hint="default"/>
                <w:lang w:val="en-US" w:eastAsia="zh-CN"/>
              </w:rPr>
            </w:pPr>
            <w:r>
              <w:rPr>
                <w:rStyle w:val="32"/>
                <w:rFonts w:hint="eastAsia"/>
                <w:color w:val="000000"/>
                <w:sz w:val="22"/>
                <w:szCs w:val="21"/>
                <w:highlight w:val="none"/>
                <w:lang w:val="en-US" w:eastAsia="zh-CN" w:bidi="ar-SA"/>
              </w:rPr>
              <w:t>投标报价（合价）：</w:t>
            </w:r>
            <w:r>
              <w:rPr>
                <w:rStyle w:val="32"/>
                <w:rFonts w:hint="default" w:ascii="宋体" w:hAnsi="宋体" w:eastAsia="宋体"/>
                <w:color w:val="000000"/>
                <w:sz w:val="22"/>
                <w:szCs w:val="21"/>
                <w:highlight w:val="none"/>
                <w:u w:val="single"/>
                <w:lang w:val="en-US" w:eastAsia="zh-CN" w:bidi="ar-SA"/>
              </w:rPr>
              <w:t xml:space="preserve">                        </w:t>
            </w:r>
            <w:r>
              <w:rPr>
                <w:rStyle w:val="32"/>
                <w:rFonts w:hint="eastAsia"/>
                <w:color w:val="000000"/>
                <w:sz w:val="22"/>
                <w:szCs w:val="21"/>
                <w:highlight w:val="none"/>
                <w:u w:val="singl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right="-67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color w:val="000000"/>
                <w:sz w:val="22"/>
                <w:szCs w:val="21"/>
                <w:highlight w:val="none"/>
                <w:lang w:val="en-US" w:eastAsia="zh-CN" w:bidi="ar-SA"/>
              </w:rPr>
            </w:pPr>
            <w:r>
              <w:rPr>
                <w:rStyle w:val="32"/>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s="宋体"/>
          <w:b/>
          <w:bCs/>
          <w:color w:val="000000"/>
          <w:sz w:val="22"/>
          <w:szCs w:val="21"/>
          <w:highlight w:val="none"/>
          <w:lang w:val="en-US" w:eastAsia="zh-CN" w:bidi="ar-SA"/>
        </w:rPr>
        <w:t>备注：</w:t>
      </w:r>
      <w:r>
        <w:rPr>
          <w:rStyle w:val="32"/>
          <w:rFonts w:ascii="宋体" w:hAnsi="宋体" w:eastAsia="宋体"/>
          <w:color w:val="000000"/>
          <w:sz w:val="22"/>
          <w:szCs w:val="21"/>
          <w:highlight w:val="none"/>
          <w:lang w:val="en-US" w:eastAsia="zh-CN" w:bidi="ar-SA"/>
        </w:rPr>
        <w:t>1、</w:t>
      </w:r>
      <w:r>
        <w:rPr>
          <w:rStyle w:val="32"/>
          <w:rFonts w:ascii="宋体" w:hAnsi="宋体" w:eastAsia="宋体"/>
          <w:color w:val="000000"/>
          <w:sz w:val="22"/>
          <w:szCs w:val="21"/>
          <w:highlight w:val="none"/>
          <w:lang w:val="zh-CN" w:eastAsia="zh-CN" w:bidi="ar-SA"/>
        </w:rPr>
        <w:t>投标报价为投标人在</w:t>
      </w:r>
      <w:r>
        <w:rPr>
          <w:rStyle w:val="32"/>
          <w:rFonts w:hint="eastAsia"/>
          <w:color w:val="000000"/>
          <w:sz w:val="22"/>
          <w:szCs w:val="21"/>
          <w:highlight w:val="none"/>
          <w:lang w:val="zh-CN" w:eastAsia="zh-CN" w:bidi="ar-SA"/>
        </w:rPr>
        <w:t>询比</w:t>
      </w:r>
      <w:r>
        <w:rPr>
          <w:rStyle w:val="32"/>
          <w:rFonts w:ascii="宋体" w:hAnsi="宋体" w:eastAsia="宋体"/>
          <w:color w:val="000000"/>
          <w:sz w:val="22"/>
          <w:szCs w:val="21"/>
          <w:highlight w:val="none"/>
          <w:lang w:val="zh-CN" w:eastAsia="zh-CN" w:bidi="ar-SA"/>
        </w:rPr>
        <w:t>文件中提出的各项支付金额的总和。</w:t>
      </w:r>
      <w:r>
        <w:rPr>
          <w:rStyle w:val="32"/>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2、</w:t>
      </w:r>
      <w:r>
        <w:rPr>
          <w:rStyle w:val="32"/>
          <w:rFonts w:ascii="宋体" w:hAnsi="宋体" w:eastAsia="宋体" w:cs="宋体"/>
          <w:bCs/>
          <w:color w:val="000000"/>
          <w:sz w:val="22"/>
          <w:szCs w:val="21"/>
          <w:highlight w:val="none"/>
          <w:lang w:val="en-US" w:eastAsia="zh-CN" w:bidi="ar-SA"/>
        </w:rPr>
        <w:t>本《项目报价书》中如存在大写金额与小写金额不一致的，</w:t>
      </w:r>
      <w:r>
        <w:rPr>
          <w:rStyle w:val="32"/>
          <w:rFonts w:ascii="宋体" w:hAnsi="宋体" w:eastAsia="宋体"/>
          <w:color w:val="000000"/>
          <w:sz w:val="22"/>
          <w:szCs w:val="21"/>
          <w:highlight w:val="none"/>
          <w:lang w:val="en-US" w:eastAsia="zh-CN" w:bidi="ar-SA"/>
        </w:rPr>
        <w:t>供应商</w:t>
      </w:r>
      <w:r>
        <w:rPr>
          <w:rStyle w:val="32"/>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b/>
          <w:color w:val="000000"/>
          <w:sz w:val="22"/>
          <w:szCs w:val="21"/>
          <w:highlight w:val="none"/>
          <w:lang w:val="en-US" w:eastAsia="zh-CN" w:bidi="ar-SA"/>
        </w:rPr>
        <w:t xml:space="preserve">    3、本项目为</w:t>
      </w:r>
      <w:r>
        <w:rPr>
          <w:rStyle w:val="32"/>
          <w:rFonts w:hint="eastAsia"/>
          <w:b/>
          <w:color w:val="000000"/>
          <w:sz w:val="22"/>
          <w:szCs w:val="21"/>
          <w:highlight w:val="none"/>
          <w:lang w:val="en-US" w:eastAsia="zh-CN" w:bidi="ar-SA"/>
        </w:rPr>
        <w:t>多</w:t>
      </w:r>
      <w:r>
        <w:rPr>
          <w:rStyle w:val="32"/>
          <w:rFonts w:ascii="宋体" w:hAnsi="宋体" w:eastAsia="宋体"/>
          <w:b/>
          <w:color w:val="000000"/>
          <w:sz w:val="22"/>
          <w:szCs w:val="21"/>
          <w:highlight w:val="none"/>
          <w:lang w:val="en-US" w:eastAsia="zh-CN" w:bidi="ar-SA"/>
        </w:rPr>
        <w:t>轮报价，本《项目报价书》为第一轮报价，第一轮报价高于预算价的按无效投标处理。</w:t>
      </w:r>
    </w:p>
    <w:p>
      <w:pPr>
        <w:widowControl/>
        <w:snapToGrid w:val="0"/>
        <w:spacing w:line="320" w:lineRule="auto"/>
        <w:ind w:firstLine="964" w:firstLineChars="400"/>
        <w:jc w:val="left"/>
        <w:textAlignment w:val="baseline"/>
        <w:rPr>
          <w:rFonts w:hint="default"/>
          <w:lang w:val="en-US" w:eastAsia="zh-CN"/>
        </w:rPr>
      </w:pPr>
      <w:r>
        <w:rPr>
          <w:rStyle w:val="32"/>
          <w:rFonts w:hint="eastAsia" w:ascii="宋体" w:hAnsi="宋体" w:eastAsia="宋体"/>
          <w:b/>
          <w:color w:val="000000"/>
          <w:sz w:val="24"/>
          <w:szCs w:val="22"/>
          <w:highlight w:val="none"/>
          <w:lang w:val="en-US" w:eastAsia="zh-CN" w:bidi="ar-SA"/>
        </w:rPr>
        <w:t>4</w:t>
      </w:r>
      <w:r>
        <w:rPr>
          <w:rStyle w:val="32"/>
          <w:rFonts w:hint="eastAsia"/>
          <w:b/>
          <w:color w:val="000000"/>
          <w:sz w:val="22"/>
          <w:szCs w:val="21"/>
          <w:highlight w:val="none"/>
          <w:lang w:val="en-US" w:eastAsia="zh-CN" w:bidi="ar-SA"/>
        </w:rPr>
        <w:t>、</w:t>
      </w:r>
      <w:r>
        <w:rPr>
          <w:rStyle w:val="32"/>
          <w:rFonts w:hint="eastAsia" w:ascii="宋体" w:hAnsi="宋体" w:eastAsia="宋体"/>
          <w:b/>
          <w:color w:val="000000"/>
          <w:sz w:val="22"/>
          <w:szCs w:val="21"/>
          <w:highlight w:val="none"/>
          <w:lang w:val="en-US" w:eastAsia="zh-CN" w:bidi="ar-SA"/>
        </w:rPr>
        <w:t>合同量暂定每标段实心围墙600米，通透式围墙120米，甲方有权根据乙方的施工进度调整合同工程量，乙方需无条件接受。</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投标单位（公章）：</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法定代表人或其委托代理人：</w:t>
      </w:r>
      <w:r>
        <w:rPr>
          <w:rStyle w:val="32"/>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日   期：</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年</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月</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日</w:t>
      </w:r>
      <w:r>
        <w:rPr>
          <w:rStyle w:val="32"/>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2"/>
          <w:rFonts w:ascii="宋体" w:hAnsi="宋体" w:eastAsia="宋体"/>
          <w:b/>
          <w:color w:val="000000"/>
          <w:sz w:val="22"/>
          <w:szCs w:val="21"/>
          <w:highlight w:val="none"/>
          <w:lang w:val="en-US" w:eastAsia="zh-CN" w:bidi="ar-SA"/>
        </w:rPr>
      </w:pPr>
    </w:p>
    <w:p>
      <w:pPr>
        <w:numPr>
          <w:ilvl w:val="0"/>
          <w:numId w:val="4"/>
        </w:numPr>
        <w:spacing w:line="300" w:lineRule="auto"/>
        <w:ind w:firstLine="440" w:firstLineChars="200"/>
        <w:jc w:val="center"/>
        <w:textAlignment w:val="baseline"/>
        <w:rPr>
          <w:rStyle w:val="32"/>
          <w:rFonts w:ascii="宋体" w:hAnsi="宋体" w:eastAsia="宋体"/>
          <w:sz w:val="22"/>
          <w:highlight w:val="none"/>
          <w:lang w:val="en-US" w:eastAsia="zh-CN" w:bidi="ar-SA"/>
        </w:rPr>
      </w:pPr>
      <w:r>
        <w:rPr>
          <w:rStyle w:val="32"/>
          <w:rFonts w:hint="eastAsia" w:ascii="宋体" w:hAnsi="宋体" w:eastAsia="宋体"/>
          <w:sz w:val="22"/>
          <w:highlight w:val="none"/>
          <w:lang w:val="en-US" w:eastAsia="zh-CN" w:bidi="ar-SA"/>
        </w:rPr>
        <w:t>响应报价书</w:t>
      </w:r>
      <w:r>
        <w:rPr>
          <w:rStyle w:val="32"/>
          <w:rFonts w:hint="eastAsia"/>
          <w:sz w:val="22"/>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1998"/>
        <w:gridCol w:w="1872"/>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单位</w:t>
            </w: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数量</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cs="宋体"/>
                <w:color w:val="000000"/>
                <w:sz w:val="21"/>
                <w:szCs w:val="21"/>
                <w:highlight w:val="none"/>
                <w:lang w:eastAsia="zh-CN"/>
              </w:rPr>
              <w:t>总</w:t>
            </w:r>
            <w:r>
              <w:rPr>
                <w:rFonts w:hint="eastAsia" w:ascii="宋体" w:hAnsi="宋体" w:eastAsia="宋体" w:cs="宋体"/>
                <w:color w:val="000000"/>
                <w:sz w:val="21"/>
                <w:szCs w:val="21"/>
                <w:highlight w:val="none"/>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w:t>
            </w:r>
            <w:r>
              <w:rPr>
                <w:rFonts w:hint="eastAsia" w:cs="宋体"/>
                <w:color w:val="000000"/>
                <w:sz w:val="21"/>
                <w:szCs w:val="21"/>
                <w:highlight w:val="none"/>
                <w:lang w:eastAsia="zh-CN"/>
              </w:rPr>
              <w:t>元</w:t>
            </w:r>
            <w:r>
              <w:rPr>
                <w:rFonts w:hint="eastAsia" w:ascii="宋体" w:hAnsi="宋体" w:eastAsia="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及工程量清单</w:t>
      </w:r>
      <w:r>
        <w:rPr>
          <w:rFonts w:hint="eastAsia" w:ascii="宋体" w:hAnsi="宋体" w:cs="宋体"/>
          <w:color w:val="auto"/>
          <w:sz w:val="24"/>
          <w:szCs w:val="24"/>
          <w:highlight w:val="none"/>
          <w:lang w:eastAsia="zh-CN"/>
        </w:rPr>
        <w:t>分项报价并汇总，表格可自行扩充。</w:t>
      </w: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63"/>
        <w:widowControl/>
        <w:spacing w:line="360" w:lineRule="auto"/>
        <w:ind w:left="0" w:leftChars="0" w:firstLine="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ind w:left="0" w:leftChars="0" w:firstLine="0" w:firstLineChars="0"/>
        <w:jc w:val="center"/>
        <w:rPr>
          <w:rStyle w:val="47"/>
          <w:rFonts w:ascii="黑体" w:hAnsi="黑体" w:eastAsia="黑体" w:cs="黑体"/>
          <w:bCs/>
          <w:iCs/>
          <w:kern w:val="2"/>
          <w:sz w:val="30"/>
          <w:szCs w:val="30"/>
          <w:highlight w:val="none"/>
          <w:lang w:val="en-US" w:eastAsia="zh-CN" w:bidi="ar-SA"/>
        </w:rPr>
      </w:pPr>
      <w:r>
        <w:rPr>
          <w:rStyle w:val="39"/>
          <w:rFonts w:hint="eastAsia" w:cs="黑体"/>
          <w:bCs/>
          <w:iCs/>
          <w:kern w:val="2"/>
          <w:sz w:val="30"/>
          <w:szCs w:val="30"/>
          <w:highlight w:val="none"/>
          <w:lang w:val="en-US" w:eastAsia="zh-CN" w:bidi="ar-SA"/>
        </w:rPr>
        <w:t>六</w:t>
      </w:r>
      <w:r>
        <w:rPr>
          <w:rStyle w:val="39"/>
          <w:rFonts w:ascii="黑体" w:hAnsi="黑体" w:eastAsia="黑体" w:cs="黑体"/>
          <w:bCs/>
          <w:iCs/>
          <w:kern w:val="2"/>
          <w:sz w:val="30"/>
          <w:szCs w:val="30"/>
          <w:highlight w:val="none"/>
          <w:lang w:val="en-US" w:eastAsia="zh-CN" w:bidi="ar-SA"/>
        </w:rPr>
        <w:t>、承诺函</w:t>
      </w: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致：</w:t>
      </w:r>
      <w:r>
        <w:rPr>
          <w:rStyle w:val="32"/>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我单位参与</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（项目名称）的报价，现在此承诺：至报价截止时间为止，近三年内</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（供应商全称）、法定代表人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sz w:val="22"/>
          <w:highlight w:val="none"/>
          <w:u w:val="single"/>
          <w:lang w:val="en-US" w:eastAsia="zh-CN" w:bidi="ar-SA"/>
        </w:rPr>
      </w:pPr>
      <w:r>
        <w:rPr>
          <w:rStyle w:val="32"/>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lang w:val="en-US" w:eastAsia="zh-CN" w:bidi="ar-SA"/>
        </w:rPr>
        <w:t xml:space="preserve">供应商： </w:t>
      </w:r>
      <w:r>
        <w:rPr>
          <w:rStyle w:val="32"/>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年</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月</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日</w:t>
      </w:r>
    </w:p>
    <w:p>
      <w:pPr>
        <w:tabs>
          <w:tab w:val="left" w:pos="3229"/>
        </w:tabs>
        <w:spacing w:line="400" w:lineRule="exact"/>
        <w:ind w:firstLine="440"/>
        <w:jc w:val="right"/>
        <w:rPr>
          <w:rStyle w:val="32"/>
          <w:szCs w:val="22"/>
          <w:highlight w:val="none"/>
        </w:rPr>
      </w:pPr>
    </w:p>
    <w:sectPr>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rPr>
        <w:rStyle w:val="32"/>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lIns="0" tIns="0" rIns="0" bIns="0"/>
                  </wps:wsp>
                </a:graphicData>
              </a:graphic>
            </wp:anchor>
          </w:drawing>
        </mc:Choice>
        <mc:Fallback>
          <w:pict>
            <v:shape id="文本框 1026" o:spid="_x0000_s1026" o:spt="202" type="#_x0000_t202" style="position:absolute;left:0pt;margin-top:0pt;height:14.6pt;width:113.2pt;mso-position-horizontal:center;mso-position-horizontal-relative:margin;z-index:251659264;mso-width-relative:page;mso-height-relative:page;" filled="f" stroked="f" coordsize="21600,21600" o:gfxdata="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hDp2NQAAAAEAQAADwAAAAAAAAABACAAAAAiAAAAZHJzL2Rvd25yZXYueG1sUEsBAhQAFAAAAAgA&#10;h07iQDDQyB63AQAAaQMAAA4AAAAAAAAAAQAgAAAAIwEAAGRycy9lMm9Eb2MueG1sUEsFBgAAAAAG&#10;AAYAWQEAAEwFAAAAAA==&#10;">
              <v:fill on="f" focussize="0,0"/>
              <v:stroke on="f"/>
              <v:imagedata o:title=""/>
              <o:lock v:ext="edit" aspectratio="f"/>
              <v:textbox inset="0mm,0mm,0mm,0mm">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p>
    <w:pPr>
      <w:pStyle w:val="7"/>
      <w:ind w:firstLine="360"/>
      <w:rPr>
        <w:rStyle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40"/>
      </w:pPr>
      <w:r>
        <w:separator/>
      </w:r>
    </w:p>
  </w:footnote>
  <w:footnote w:type="continuationSeparator" w:id="1">
    <w:p>
      <w:pPr>
        <w:spacing w:line="30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5772" w:firstLineChars="3900"/>
      <w:rPr>
        <w:rStyle w:val="32"/>
        <w:spacing w:val="-6"/>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189851"/>
    <w:multiLevelType w:val="singleLevel"/>
    <w:tmpl w:val="80189851"/>
    <w:lvl w:ilvl="0" w:tentative="0">
      <w:start w:val="1"/>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lvl>
  </w:abstractNum>
  <w:abstractNum w:abstractNumId="2">
    <w:nsid w:val="3D05BEB5"/>
    <w:multiLevelType w:val="singleLevel"/>
    <w:tmpl w:val="3D05BEB5"/>
    <w:lvl w:ilvl="0" w:tentative="0">
      <w:start w:val="4"/>
      <w:numFmt w:val="chineseCounting"/>
      <w:suff w:val="space"/>
      <w:lvlText w:val="第%1章"/>
      <w:lvlJc w:val="left"/>
      <w:rPr>
        <w:rFonts w:hint="eastAsia"/>
      </w:rPr>
    </w:lvl>
  </w:abstractNum>
  <w:abstractNum w:abstractNumId="3">
    <w:nsid w:val="493212C3"/>
    <w:multiLevelType w:val="singleLevel"/>
    <w:tmpl w:val="493212C3"/>
    <w:lvl w:ilvl="0" w:tentative="0">
      <w:start w:val="2"/>
      <w:numFmt w:val="chineseCounting"/>
      <w:suff w:val="nothing"/>
      <w:lvlText w:val="（%1）"/>
      <w:lvlJc w:val="left"/>
      <w:pPr>
        <w:widowControl/>
        <w:textAlignment w:val="baseline"/>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1865"/>
    <w:rsid w:val="0008780F"/>
    <w:rsid w:val="00087CF2"/>
    <w:rsid w:val="000D7073"/>
    <w:rsid w:val="00154F59"/>
    <w:rsid w:val="00172A27"/>
    <w:rsid w:val="001B72F8"/>
    <w:rsid w:val="001D3DDB"/>
    <w:rsid w:val="001E7426"/>
    <w:rsid w:val="00247E77"/>
    <w:rsid w:val="00376DD0"/>
    <w:rsid w:val="003D33BC"/>
    <w:rsid w:val="00421914"/>
    <w:rsid w:val="004333BB"/>
    <w:rsid w:val="004939E4"/>
    <w:rsid w:val="004B2C3E"/>
    <w:rsid w:val="005E6258"/>
    <w:rsid w:val="006A62A8"/>
    <w:rsid w:val="00765984"/>
    <w:rsid w:val="00826D68"/>
    <w:rsid w:val="00965352"/>
    <w:rsid w:val="009B689C"/>
    <w:rsid w:val="009E0E99"/>
    <w:rsid w:val="00A7551E"/>
    <w:rsid w:val="00AA77B4"/>
    <w:rsid w:val="00B61A76"/>
    <w:rsid w:val="00B67714"/>
    <w:rsid w:val="00B83217"/>
    <w:rsid w:val="00BB300D"/>
    <w:rsid w:val="00C94BF9"/>
    <w:rsid w:val="00D252D1"/>
    <w:rsid w:val="00D40E3D"/>
    <w:rsid w:val="01D64928"/>
    <w:rsid w:val="026F3B1E"/>
    <w:rsid w:val="02965EE7"/>
    <w:rsid w:val="02C92307"/>
    <w:rsid w:val="041D6B21"/>
    <w:rsid w:val="052C57ED"/>
    <w:rsid w:val="0538234B"/>
    <w:rsid w:val="0563515B"/>
    <w:rsid w:val="05D1211D"/>
    <w:rsid w:val="061D1C79"/>
    <w:rsid w:val="06B67923"/>
    <w:rsid w:val="07F5638C"/>
    <w:rsid w:val="087E1388"/>
    <w:rsid w:val="08853C39"/>
    <w:rsid w:val="089D4965"/>
    <w:rsid w:val="08D60D41"/>
    <w:rsid w:val="090E08C3"/>
    <w:rsid w:val="095353F5"/>
    <w:rsid w:val="0972335F"/>
    <w:rsid w:val="09C32AA2"/>
    <w:rsid w:val="09EB3D58"/>
    <w:rsid w:val="0CB660C9"/>
    <w:rsid w:val="0D150176"/>
    <w:rsid w:val="0D327165"/>
    <w:rsid w:val="0EBE628F"/>
    <w:rsid w:val="0EF76869"/>
    <w:rsid w:val="0F2D39D5"/>
    <w:rsid w:val="0F4E32FA"/>
    <w:rsid w:val="0FDE3C3F"/>
    <w:rsid w:val="0FF32363"/>
    <w:rsid w:val="103D50CF"/>
    <w:rsid w:val="10622A42"/>
    <w:rsid w:val="10794A38"/>
    <w:rsid w:val="10B342EE"/>
    <w:rsid w:val="1181053A"/>
    <w:rsid w:val="119A3D99"/>
    <w:rsid w:val="11A24DA1"/>
    <w:rsid w:val="120E63DB"/>
    <w:rsid w:val="12307270"/>
    <w:rsid w:val="12532894"/>
    <w:rsid w:val="12681CB5"/>
    <w:rsid w:val="12A04D33"/>
    <w:rsid w:val="12F04BA9"/>
    <w:rsid w:val="134D0D1A"/>
    <w:rsid w:val="134E5639"/>
    <w:rsid w:val="135044CB"/>
    <w:rsid w:val="13785852"/>
    <w:rsid w:val="139408B7"/>
    <w:rsid w:val="13DB5039"/>
    <w:rsid w:val="14362C1F"/>
    <w:rsid w:val="146042DC"/>
    <w:rsid w:val="152079E5"/>
    <w:rsid w:val="152942E1"/>
    <w:rsid w:val="154D119A"/>
    <w:rsid w:val="156048C6"/>
    <w:rsid w:val="15B77FE1"/>
    <w:rsid w:val="1638419F"/>
    <w:rsid w:val="16420E06"/>
    <w:rsid w:val="16950A4D"/>
    <w:rsid w:val="16BC24AE"/>
    <w:rsid w:val="16C54127"/>
    <w:rsid w:val="173B3EAF"/>
    <w:rsid w:val="179C34AB"/>
    <w:rsid w:val="17F84009"/>
    <w:rsid w:val="18292B8E"/>
    <w:rsid w:val="182B2747"/>
    <w:rsid w:val="18A43DB0"/>
    <w:rsid w:val="18CB34EF"/>
    <w:rsid w:val="19212A01"/>
    <w:rsid w:val="19383417"/>
    <w:rsid w:val="1993408E"/>
    <w:rsid w:val="19965B57"/>
    <w:rsid w:val="1997285D"/>
    <w:rsid w:val="1A4D6230"/>
    <w:rsid w:val="1AB4027B"/>
    <w:rsid w:val="1AC61BFD"/>
    <w:rsid w:val="1AC90739"/>
    <w:rsid w:val="1B377CAE"/>
    <w:rsid w:val="1B713EF2"/>
    <w:rsid w:val="1B7A7DFD"/>
    <w:rsid w:val="1B92375D"/>
    <w:rsid w:val="1BE25057"/>
    <w:rsid w:val="1D2B6FF7"/>
    <w:rsid w:val="1DFB50B6"/>
    <w:rsid w:val="1F165768"/>
    <w:rsid w:val="1F897D76"/>
    <w:rsid w:val="20091961"/>
    <w:rsid w:val="2066205A"/>
    <w:rsid w:val="2198130E"/>
    <w:rsid w:val="21D07BB9"/>
    <w:rsid w:val="22547290"/>
    <w:rsid w:val="226321E7"/>
    <w:rsid w:val="22F643BD"/>
    <w:rsid w:val="23140AEC"/>
    <w:rsid w:val="24D83C5D"/>
    <w:rsid w:val="2518532B"/>
    <w:rsid w:val="25196DFD"/>
    <w:rsid w:val="25806D5F"/>
    <w:rsid w:val="25834AF2"/>
    <w:rsid w:val="27994BA5"/>
    <w:rsid w:val="27C24BB9"/>
    <w:rsid w:val="27E123CB"/>
    <w:rsid w:val="28664107"/>
    <w:rsid w:val="286D4405"/>
    <w:rsid w:val="2879288F"/>
    <w:rsid w:val="28C50263"/>
    <w:rsid w:val="28CE2A97"/>
    <w:rsid w:val="295702DB"/>
    <w:rsid w:val="29AD5731"/>
    <w:rsid w:val="2B760D70"/>
    <w:rsid w:val="2B972E1F"/>
    <w:rsid w:val="2B9C626F"/>
    <w:rsid w:val="2C8507CC"/>
    <w:rsid w:val="2D205CC6"/>
    <w:rsid w:val="2E7F1638"/>
    <w:rsid w:val="2F041220"/>
    <w:rsid w:val="30270234"/>
    <w:rsid w:val="30910843"/>
    <w:rsid w:val="31F43C04"/>
    <w:rsid w:val="32D1714B"/>
    <w:rsid w:val="352F692E"/>
    <w:rsid w:val="356239A7"/>
    <w:rsid w:val="358A0E60"/>
    <w:rsid w:val="35E16039"/>
    <w:rsid w:val="362F7B00"/>
    <w:rsid w:val="36A34776"/>
    <w:rsid w:val="36E470E3"/>
    <w:rsid w:val="37053898"/>
    <w:rsid w:val="370A4379"/>
    <w:rsid w:val="371E01BA"/>
    <w:rsid w:val="378F629C"/>
    <w:rsid w:val="37C001E0"/>
    <w:rsid w:val="3863027A"/>
    <w:rsid w:val="388C1A4A"/>
    <w:rsid w:val="38AC245C"/>
    <w:rsid w:val="38B54B60"/>
    <w:rsid w:val="392C5195"/>
    <w:rsid w:val="392D7687"/>
    <w:rsid w:val="3958013C"/>
    <w:rsid w:val="39A455B2"/>
    <w:rsid w:val="3A2868ED"/>
    <w:rsid w:val="3A643766"/>
    <w:rsid w:val="3AA03E3D"/>
    <w:rsid w:val="3AB664BC"/>
    <w:rsid w:val="3ADC60D6"/>
    <w:rsid w:val="3ADF576A"/>
    <w:rsid w:val="3AFA3668"/>
    <w:rsid w:val="3B5939D6"/>
    <w:rsid w:val="3BF65F89"/>
    <w:rsid w:val="3C2312F2"/>
    <w:rsid w:val="3D5159E8"/>
    <w:rsid w:val="3D5C3806"/>
    <w:rsid w:val="3D6874B5"/>
    <w:rsid w:val="3DC07555"/>
    <w:rsid w:val="3DC64C0F"/>
    <w:rsid w:val="3DD41EC6"/>
    <w:rsid w:val="3E606004"/>
    <w:rsid w:val="3E6350A9"/>
    <w:rsid w:val="3E752499"/>
    <w:rsid w:val="3EA2254E"/>
    <w:rsid w:val="3EF24FE6"/>
    <w:rsid w:val="3F150AD1"/>
    <w:rsid w:val="3F4A3583"/>
    <w:rsid w:val="3F713528"/>
    <w:rsid w:val="3F7343C0"/>
    <w:rsid w:val="3F886ED9"/>
    <w:rsid w:val="3FA104C7"/>
    <w:rsid w:val="3FA50377"/>
    <w:rsid w:val="404D61CF"/>
    <w:rsid w:val="40844EBB"/>
    <w:rsid w:val="40FB68D4"/>
    <w:rsid w:val="41026022"/>
    <w:rsid w:val="414859E5"/>
    <w:rsid w:val="41700E2E"/>
    <w:rsid w:val="41AF24C8"/>
    <w:rsid w:val="42017C22"/>
    <w:rsid w:val="42366884"/>
    <w:rsid w:val="423C6F70"/>
    <w:rsid w:val="42716051"/>
    <w:rsid w:val="428C629A"/>
    <w:rsid w:val="436055FB"/>
    <w:rsid w:val="43914E80"/>
    <w:rsid w:val="43C5536B"/>
    <w:rsid w:val="44362D1E"/>
    <w:rsid w:val="459E3CB8"/>
    <w:rsid w:val="45AC0930"/>
    <w:rsid w:val="45AE7313"/>
    <w:rsid w:val="45D871C0"/>
    <w:rsid w:val="45F0610F"/>
    <w:rsid w:val="460B24D6"/>
    <w:rsid w:val="462E0A67"/>
    <w:rsid w:val="468D300B"/>
    <w:rsid w:val="47080FA2"/>
    <w:rsid w:val="473769A5"/>
    <w:rsid w:val="47760A3E"/>
    <w:rsid w:val="47B73629"/>
    <w:rsid w:val="48130FCD"/>
    <w:rsid w:val="4816091F"/>
    <w:rsid w:val="482E7816"/>
    <w:rsid w:val="487A5909"/>
    <w:rsid w:val="48B45A07"/>
    <w:rsid w:val="48DA3032"/>
    <w:rsid w:val="49183F17"/>
    <w:rsid w:val="4A050F26"/>
    <w:rsid w:val="4BEF1569"/>
    <w:rsid w:val="4BFA3C7F"/>
    <w:rsid w:val="4C1735CF"/>
    <w:rsid w:val="4C2C2D8A"/>
    <w:rsid w:val="4C9D6462"/>
    <w:rsid w:val="4CB17F78"/>
    <w:rsid w:val="4CB50CCE"/>
    <w:rsid w:val="4CC40E5A"/>
    <w:rsid w:val="4E5023AA"/>
    <w:rsid w:val="4F9561E4"/>
    <w:rsid w:val="4FD12BE4"/>
    <w:rsid w:val="50051BA9"/>
    <w:rsid w:val="50C2542C"/>
    <w:rsid w:val="50D0471A"/>
    <w:rsid w:val="518632D5"/>
    <w:rsid w:val="51DE3548"/>
    <w:rsid w:val="521F1BE2"/>
    <w:rsid w:val="53695531"/>
    <w:rsid w:val="538F10E2"/>
    <w:rsid w:val="54C96AAB"/>
    <w:rsid w:val="54FC1548"/>
    <w:rsid w:val="551A3440"/>
    <w:rsid w:val="551E3684"/>
    <w:rsid w:val="55E15577"/>
    <w:rsid w:val="566D1091"/>
    <w:rsid w:val="5695116D"/>
    <w:rsid w:val="57792F6F"/>
    <w:rsid w:val="57D70EAF"/>
    <w:rsid w:val="57DC2368"/>
    <w:rsid w:val="57F97E2A"/>
    <w:rsid w:val="583C108F"/>
    <w:rsid w:val="58C41583"/>
    <w:rsid w:val="58F06369"/>
    <w:rsid w:val="59D22848"/>
    <w:rsid w:val="59D2294D"/>
    <w:rsid w:val="59FE0768"/>
    <w:rsid w:val="5A606F60"/>
    <w:rsid w:val="5A7910E3"/>
    <w:rsid w:val="5B4202A4"/>
    <w:rsid w:val="5B50458B"/>
    <w:rsid w:val="5B655EA9"/>
    <w:rsid w:val="5BD700BF"/>
    <w:rsid w:val="5C042FDB"/>
    <w:rsid w:val="5C5733AC"/>
    <w:rsid w:val="5CA80A06"/>
    <w:rsid w:val="5CE77743"/>
    <w:rsid w:val="5D245FD5"/>
    <w:rsid w:val="5DE91A53"/>
    <w:rsid w:val="5E1819D3"/>
    <w:rsid w:val="5E290D5F"/>
    <w:rsid w:val="5EED2EFD"/>
    <w:rsid w:val="5F897603"/>
    <w:rsid w:val="60324B57"/>
    <w:rsid w:val="606721D5"/>
    <w:rsid w:val="606E5A37"/>
    <w:rsid w:val="60972248"/>
    <w:rsid w:val="61F8636E"/>
    <w:rsid w:val="62F20EF5"/>
    <w:rsid w:val="635E59EA"/>
    <w:rsid w:val="63613492"/>
    <w:rsid w:val="63B30001"/>
    <w:rsid w:val="65444F14"/>
    <w:rsid w:val="659A05E8"/>
    <w:rsid w:val="6639108A"/>
    <w:rsid w:val="66633D2F"/>
    <w:rsid w:val="669F0216"/>
    <w:rsid w:val="67027FFF"/>
    <w:rsid w:val="67054296"/>
    <w:rsid w:val="673B3A28"/>
    <w:rsid w:val="6745634B"/>
    <w:rsid w:val="68233374"/>
    <w:rsid w:val="687A10D5"/>
    <w:rsid w:val="68AD6FCB"/>
    <w:rsid w:val="691D3D97"/>
    <w:rsid w:val="69A15CD0"/>
    <w:rsid w:val="69E4266F"/>
    <w:rsid w:val="6A3636C8"/>
    <w:rsid w:val="6AA1666B"/>
    <w:rsid w:val="6ABE2EBB"/>
    <w:rsid w:val="6B4A59D5"/>
    <w:rsid w:val="6CA06884"/>
    <w:rsid w:val="6CA8659E"/>
    <w:rsid w:val="6CF063D9"/>
    <w:rsid w:val="6D063C8B"/>
    <w:rsid w:val="6DC91107"/>
    <w:rsid w:val="6E4676E9"/>
    <w:rsid w:val="6EB34205"/>
    <w:rsid w:val="6EE233A5"/>
    <w:rsid w:val="6FA1619B"/>
    <w:rsid w:val="6FDE2355"/>
    <w:rsid w:val="71033F6A"/>
    <w:rsid w:val="711C6A0B"/>
    <w:rsid w:val="7164645B"/>
    <w:rsid w:val="71C45E1A"/>
    <w:rsid w:val="71DE57F1"/>
    <w:rsid w:val="71F763B3"/>
    <w:rsid w:val="7344734A"/>
    <w:rsid w:val="73790CB8"/>
    <w:rsid w:val="739D6CBE"/>
    <w:rsid w:val="73F63A7E"/>
    <w:rsid w:val="74146DB9"/>
    <w:rsid w:val="742962C6"/>
    <w:rsid w:val="742F6F1A"/>
    <w:rsid w:val="744865F1"/>
    <w:rsid w:val="74CB35D9"/>
    <w:rsid w:val="74E04850"/>
    <w:rsid w:val="75F91871"/>
    <w:rsid w:val="761C1093"/>
    <w:rsid w:val="76D23328"/>
    <w:rsid w:val="77451FF5"/>
    <w:rsid w:val="778C67EA"/>
    <w:rsid w:val="77D2377D"/>
    <w:rsid w:val="78143B0C"/>
    <w:rsid w:val="786316A1"/>
    <w:rsid w:val="78DD082D"/>
    <w:rsid w:val="78F707A4"/>
    <w:rsid w:val="791D6145"/>
    <w:rsid w:val="796718B4"/>
    <w:rsid w:val="79B50127"/>
    <w:rsid w:val="79D763C7"/>
    <w:rsid w:val="79E21808"/>
    <w:rsid w:val="7A002FB8"/>
    <w:rsid w:val="7AB35C7F"/>
    <w:rsid w:val="7ADC5DC4"/>
    <w:rsid w:val="7B3E2146"/>
    <w:rsid w:val="7B7250CC"/>
    <w:rsid w:val="7C163179"/>
    <w:rsid w:val="7C2D304A"/>
    <w:rsid w:val="7C4B7098"/>
    <w:rsid w:val="7C82295D"/>
    <w:rsid w:val="7CE373E3"/>
    <w:rsid w:val="7CED0A99"/>
    <w:rsid w:val="7D38070A"/>
    <w:rsid w:val="7DC55521"/>
    <w:rsid w:val="7DD87F67"/>
    <w:rsid w:val="7E3E7348"/>
    <w:rsid w:val="7E7B5531"/>
    <w:rsid w:val="7E8B6C8C"/>
    <w:rsid w:val="7EB87866"/>
    <w:rsid w:val="7EC822F4"/>
    <w:rsid w:val="7F2736A3"/>
    <w:rsid w:val="7F365176"/>
    <w:rsid w:val="7F540350"/>
    <w:rsid w:val="7FC94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7"/>
    <w:qFormat/>
    <w:uiPriority w:val="0"/>
    <w:pPr>
      <w:ind w:left="100" w:leftChars="2500"/>
    </w:pPr>
  </w:style>
  <w:style w:type="paragraph" w:styleId="7">
    <w:name w:val="footer"/>
    <w:basedOn w:val="1"/>
    <w:link w:val="36"/>
    <w:qFormat/>
    <w:uiPriority w:val="0"/>
    <w:pPr>
      <w:tabs>
        <w:tab w:val="center" w:pos="4153"/>
        <w:tab w:val="right" w:pos="8306"/>
      </w:tabs>
      <w:snapToGrid w:val="0"/>
      <w:jc w:val="left"/>
    </w:pPr>
    <w:rPr>
      <w:rFonts w:ascii="Times New Roman" w:hAnsi="Times New Roman"/>
      <w:kern w:val="2"/>
      <w:sz w:val="18"/>
      <w:szCs w:val="18"/>
    </w:rPr>
  </w:style>
  <w:style w:type="paragraph" w:styleId="8">
    <w:name w:val="header"/>
    <w:basedOn w:val="1"/>
    <w:link w:val="41"/>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9">
    <w:name w:val="Body Text 2"/>
    <w:basedOn w:val="1"/>
    <w:qFormat/>
    <w:uiPriority w:val="0"/>
    <w:pPr>
      <w:spacing w:line="280" w:lineRule="exact"/>
    </w:pPr>
    <w:rPr>
      <w:rFonts w:ascii="仿宋_GB2312" w:eastAsia="仿宋_GB2312"/>
      <w:b/>
      <w:sz w:val="24"/>
    </w:rPr>
  </w:style>
  <w:style w:type="paragraph" w:styleId="10">
    <w:name w:val="Normal (Web)"/>
    <w:basedOn w:val="1"/>
    <w:qFormat/>
    <w:uiPriority w:val="0"/>
    <w:pPr>
      <w:jc w:val="left"/>
    </w:pPr>
    <w:rPr>
      <w:rFonts w:cs="Times New Roman"/>
      <w:sz w:val="24"/>
    </w:rPr>
  </w:style>
  <w:style w:type="paragraph" w:styleId="11">
    <w:name w:val="Title"/>
    <w:basedOn w:val="1"/>
    <w:next w:val="1"/>
    <w:link w:val="46"/>
    <w:qFormat/>
    <w:uiPriority w:val="0"/>
    <w:pPr>
      <w:spacing w:before="240" w:after="60"/>
      <w:jc w:val="center"/>
    </w:pPr>
    <w:rPr>
      <w:rFonts w:ascii="Cambria" w:hAnsi="Cambria" w:cs="Times New Roman"/>
      <w:b/>
      <w:bCs/>
      <w:sz w:val="32"/>
      <w:szCs w:val="32"/>
    </w:rPr>
  </w:style>
  <w:style w:type="paragraph" w:styleId="12">
    <w:name w:val="Body Text First Indent 2"/>
    <w:basedOn w:val="4"/>
    <w:qFormat/>
    <w:uiPriority w:val="0"/>
    <w:pPr>
      <w:spacing w:line="360" w:lineRule="auto"/>
      <w:jc w:val="left"/>
    </w:pPr>
    <w:rPr>
      <w:rFonts w:cs="宋体"/>
      <w:sz w:val="28"/>
      <w:szCs w:val="28"/>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rPr>
      <w:rFonts w:ascii="仿宋_GB2312" w:eastAsia="仿宋_GB2312"/>
      <w:b/>
      <w:sz w:val="24"/>
    </w:rPr>
  </w:style>
  <w:style w:type="paragraph" w:customStyle="1" w:styleId="28">
    <w:name w:val="Heading1"/>
    <w:basedOn w:val="1"/>
    <w:next w:val="1"/>
    <w:link w:val="38"/>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29">
    <w:name w:val="Heading2"/>
    <w:basedOn w:val="1"/>
    <w:next w:val="1"/>
    <w:link w:val="47"/>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0">
    <w:name w:val="Heading3"/>
    <w:basedOn w:val="1"/>
    <w:next w:val="1"/>
    <w:link w:val="39"/>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1">
    <w:name w:val="Heading4"/>
    <w:basedOn w:val="1"/>
    <w:next w:val="1"/>
    <w:link w:val="40"/>
    <w:qFormat/>
    <w:uiPriority w:val="0"/>
    <w:pPr>
      <w:keepNext/>
      <w:ind w:firstLine="0" w:firstLineChars="0"/>
      <w:jc w:val="left"/>
    </w:pPr>
    <w:rPr>
      <w:rFonts w:ascii="黑体" w:hAnsi="黑体" w:eastAsia="黑体"/>
      <w:szCs w:val="22"/>
    </w:rPr>
  </w:style>
  <w:style w:type="character" w:customStyle="1" w:styleId="32">
    <w:name w:val="NormalCharacter"/>
    <w:qFormat/>
    <w:uiPriority w:val="0"/>
  </w:style>
  <w:style w:type="table" w:customStyle="1" w:styleId="33">
    <w:name w:val="TableNormal"/>
    <w:qFormat/>
    <w:uiPriority w:val="0"/>
    <w:tblPr>
      <w:tblCellMar>
        <w:top w:w="0" w:type="dxa"/>
        <w:left w:w="0" w:type="dxa"/>
        <w:bottom w:w="0" w:type="dxa"/>
        <w:right w:w="0" w:type="dxa"/>
      </w:tblCellMar>
    </w:tblPr>
  </w:style>
  <w:style w:type="character" w:customStyle="1" w:styleId="34">
    <w:name w:val="PageNumber"/>
    <w:basedOn w:val="32"/>
    <w:qFormat/>
    <w:uiPriority w:val="0"/>
    <w:rPr>
      <w:rFonts w:ascii="Times New Roman" w:hAnsi="Times New Roman" w:eastAsia="宋体"/>
      <w:kern w:val="2"/>
      <w:sz w:val="21"/>
      <w:szCs w:val="24"/>
      <w:lang w:eastAsia="zh-CN"/>
    </w:rPr>
  </w:style>
  <w:style w:type="character" w:customStyle="1" w:styleId="35">
    <w:name w:val="FootnoteReference"/>
    <w:qFormat/>
    <w:uiPriority w:val="0"/>
    <w:rPr>
      <w:rFonts w:ascii="Times New Roman" w:hAnsi="Times New Roman" w:eastAsia="宋体"/>
      <w:kern w:val="2"/>
      <w:sz w:val="21"/>
      <w:szCs w:val="24"/>
      <w:vertAlign w:val="superscript"/>
      <w:lang w:eastAsia="zh-CN"/>
    </w:rPr>
  </w:style>
  <w:style w:type="character" w:customStyle="1" w:styleId="36">
    <w:name w:val="页脚 字符"/>
    <w:link w:val="7"/>
    <w:qFormat/>
    <w:uiPriority w:val="0"/>
    <w:rPr>
      <w:kern w:val="2"/>
      <w:sz w:val="18"/>
      <w:szCs w:val="18"/>
    </w:rPr>
  </w:style>
  <w:style w:type="character" w:customStyle="1" w:styleId="37">
    <w:name w:val="日期 字符"/>
    <w:link w:val="6"/>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页眉 字符"/>
    <w:link w:val="8"/>
    <w:qFormat/>
    <w:uiPriority w:val="0"/>
    <w:rPr>
      <w:kern w:val="2"/>
      <w:sz w:val="18"/>
      <w:szCs w:val="18"/>
    </w:rPr>
  </w:style>
  <w:style w:type="character" w:customStyle="1" w:styleId="42">
    <w:name w:val="UserStyle_6"/>
    <w:basedOn w:val="32"/>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pPr>
    <w:rPr>
      <w:sz w:val="18"/>
      <w:szCs w:val="18"/>
    </w:rPr>
  </w:style>
  <w:style w:type="character" w:customStyle="1" w:styleId="45">
    <w:name w:val="UserStyle_8"/>
    <w:basedOn w:val="32"/>
    <w:qFormat/>
    <w:uiPriority w:val="0"/>
    <w:rPr>
      <w:rFonts w:ascii="Arial" w:hAnsi="Arial"/>
      <w:color w:val="000000"/>
      <w:sz w:val="24"/>
      <w:szCs w:val="24"/>
    </w:rPr>
  </w:style>
  <w:style w:type="character" w:customStyle="1" w:styleId="46">
    <w:name w:val="标题 字符"/>
    <w:link w:val="11"/>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ind w:left="1100"/>
      <w:jc w:val="left"/>
    </w:pPr>
    <w:rPr>
      <w:rFonts w:ascii="Calibri" w:hAnsi="Calibri"/>
      <w:sz w:val="18"/>
      <w:szCs w:val="18"/>
    </w:rPr>
  </w:style>
  <w:style w:type="paragraph" w:customStyle="1" w:styleId="49">
    <w:name w:val="PlainText"/>
    <w:basedOn w:val="1"/>
    <w:qFormat/>
    <w:uiPriority w:val="0"/>
    <w:rPr>
      <w:rFonts w:hAnsi="Courier New"/>
    </w:rPr>
  </w:style>
  <w:style w:type="paragraph" w:customStyle="1" w:styleId="50">
    <w:name w:val="BodyText"/>
    <w:basedOn w:val="1"/>
    <w:qFormat/>
    <w:uiPriority w:val="0"/>
    <w:pPr>
      <w:spacing w:after="120"/>
    </w:pPr>
    <w:rPr>
      <w:rFonts w:ascii="Times New Roman" w:hAnsi="Times New Roman"/>
      <w:kern w:val="2"/>
      <w:szCs w:val="24"/>
    </w:rPr>
  </w:style>
  <w:style w:type="paragraph" w:customStyle="1" w:styleId="51">
    <w:name w:val="TOC7"/>
    <w:basedOn w:val="1"/>
    <w:next w:val="1"/>
    <w:qFormat/>
    <w:uiPriority w:val="0"/>
    <w:pPr>
      <w:ind w:left="1320"/>
      <w:jc w:val="left"/>
    </w:pPr>
    <w:rPr>
      <w:rFonts w:ascii="Calibri" w:hAnsi="Calibri"/>
      <w:sz w:val="18"/>
      <w:szCs w:val="18"/>
    </w:rPr>
  </w:style>
  <w:style w:type="paragraph" w:customStyle="1" w:styleId="52">
    <w:name w:val="NavPane"/>
    <w:basedOn w:val="1"/>
    <w:qFormat/>
    <w:uiPriority w:val="0"/>
    <w:rPr>
      <w:rFonts w:hAnsi="Times New Roman"/>
      <w:kern w:val="2"/>
      <w:sz w:val="18"/>
      <w:szCs w:val="18"/>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54">
    <w:name w:val="NormalIndent"/>
    <w:basedOn w:val="1"/>
    <w:qFormat/>
    <w:uiPriority w:val="0"/>
    <w:pPr>
      <w:ind w:firstLine="420"/>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56">
    <w:name w:val="TOC3"/>
    <w:basedOn w:val="1"/>
    <w:next w:val="1"/>
    <w:qFormat/>
    <w:uiPriority w:val="0"/>
    <w:pPr>
      <w:ind w:left="440"/>
      <w:jc w:val="left"/>
    </w:pPr>
    <w:rPr>
      <w:rFonts w:ascii="Calibri" w:hAnsi="Calibri"/>
      <w:i/>
      <w:iCs/>
      <w:sz w:val="20"/>
    </w:rPr>
  </w:style>
  <w:style w:type="paragraph" w:customStyle="1" w:styleId="57">
    <w:name w:val="TOC5"/>
    <w:basedOn w:val="1"/>
    <w:next w:val="1"/>
    <w:qFormat/>
    <w:uiPriority w:val="0"/>
    <w:pPr>
      <w:ind w:left="880"/>
      <w:jc w:val="left"/>
    </w:pPr>
    <w:rPr>
      <w:rFonts w:ascii="Calibri" w:hAnsi="Calibri"/>
      <w:sz w:val="18"/>
      <w:szCs w:val="18"/>
    </w:rPr>
  </w:style>
  <w:style w:type="paragraph" w:customStyle="1" w:styleId="58">
    <w:name w:val="HtmlNormal"/>
    <w:basedOn w:val="1"/>
    <w:qFormat/>
    <w:uiPriority w:val="0"/>
    <w:pPr>
      <w:jc w:val="left"/>
    </w:pPr>
    <w:rPr>
      <w:sz w:val="24"/>
    </w:rPr>
  </w:style>
  <w:style w:type="paragraph" w:customStyle="1" w:styleId="59">
    <w:name w:val="TOC9"/>
    <w:basedOn w:val="1"/>
    <w:next w:val="1"/>
    <w:qFormat/>
    <w:uiPriority w:val="0"/>
    <w:pPr>
      <w:ind w:left="1760"/>
      <w:jc w:val="left"/>
    </w:pPr>
    <w:rPr>
      <w:rFonts w:ascii="Calibri" w:hAnsi="Calibri"/>
      <w:sz w:val="18"/>
      <w:szCs w:val="18"/>
    </w:rPr>
  </w:style>
  <w:style w:type="paragraph" w:customStyle="1" w:styleId="60">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1">
    <w:name w:val="BodyText3"/>
    <w:basedOn w:val="1"/>
    <w:qFormat/>
    <w:uiPriority w:val="0"/>
    <w:rPr>
      <w:rFonts w:hAnsi="Times New Roman"/>
      <w:kern w:val="2"/>
      <w:sz w:val="24"/>
    </w:rPr>
  </w:style>
  <w:style w:type="paragraph" w:customStyle="1" w:styleId="62">
    <w:name w:val="TOC4"/>
    <w:basedOn w:val="1"/>
    <w:next w:val="1"/>
    <w:qFormat/>
    <w:uiPriority w:val="0"/>
    <w:pPr>
      <w:ind w:left="660"/>
      <w:jc w:val="left"/>
    </w:pPr>
    <w:rPr>
      <w:rFonts w:ascii="Calibri" w:hAnsi="Calibri"/>
      <w:sz w:val="18"/>
      <w:szCs w:val="18"/>
    </w:rPr>
  </w:style>
  <w:style w:type="paragraph" w:customStyle="1" w:styleId="63">
    <w:name w:val="BodyText1I2"/>
    <w:basedOn w:val="64"/>
    <w:qFormat/>
    <w:uiPriority w:val="0"/>
    <w:pPr>
      <w:spacing w:line="360" w:lineRule="auto"/>
      <w:jc w:val="left"/>
    </w:pPr>
    <w:rPr>
      <w:sz w:val="28"/>
      <w:szCs w:val="28"/>
    </w:rPr>
  </w:style>
  <w:style w:type="paragraph" w:customStyle="1" w:styleId="64">
    <w:name w:val="BodyTextIndent"/>
    <w:basedOn w:val="1"/>
    <w:next w:val="65"/>
    <w:qFormat/>
    <w:uiPriority w:val="0"/>
    <w:pPr>
      <w:ind w:left="420" w:leftChars="200"/>
    </w:pPr>
  </w:style>
  <w:style w:type="paragraph" w:customStyle="1" w:styleId="65">
    <w:name w:val="EnvelopeReturn"/>
    <w:basedOn w:val="1"/>
    <w:qFormat/>
    <w:uiPriority w:val="0"/>
    <w:pPr>
      <w:snapToGrid w:val="0"/>
      <w:spacing w:line="360" w:lineRule="auto"/>
    </w:pPr>
    <w:rPr>
      <w:rFonts w:ascii="Arial" w:hAnsi="Arial"/>
    </w:rPr>
  </w:style>
  <w:style w:type="paragraph" w:customStyle="1" w:styleId="66">
    <w:name w:val="AnnotationText"/>
    <w:basedOn w:val="1"/>
    <w:qFormat/>
    <w:uiPriority w:val="0"/>
    <w:pPr>
      <w:jc w:val="left"/>
    </w:pPr>
    <w:rPr>
      <w:rFonts w:ascii="Times New Roman" w:hAnsi="Times New Roman"/>
      <w:kern w:val="2"/>
      <w:szCs w:val="24"/>
    </w:rPr>
  </w:style>
  <w:style w:type="paragraph" w:customStyle="1" w:styleId="67">
    <w:name w:val="TOC2"/>
    <w:basedOn w:val="1"/>
    <w:next w:val="1"/>
    <w:qFormat/>
    <w:uiPriority w:val="0"/>
    <w:pPr>
      <w:ind w:left="220"/>
      <w:jc w:val="left"/>
    </w:pPr>
    <w:rPr>
      <w:rFonts w:ascii="Calibri" w:hAnsi="Calibri"/>
      <w:smallCaps/>
      <w:sz w:val="20"/>
    </w:rPr>
  </w:style>
  <w:style w:type="paragraph" w:customStyle="1" w:styleId="68">
    <w:name w:val="TOC8"/>
    <w:basedOn w:val="1"/>
    <w:next w:val="1"/>
    <w:qFormat/>
    <w:uiPriority w:val="0"/>
    <w:pPr>
      <w:ind w:left="1540"/>
      <w:jc w:val="left"/>
    </w:pPr>
    <w:rPr>
      <w:rFonts w:ascii="Calibri" w:hAnsi="Calibri"/>
      <w:sz w:val="18"/>
      <w:szCs w:val="18"/>
    </w:rPr>
  </w:style>
  <w:style w:type="paragraph" w:customStyle="1" w:styleId="69">
    <w:name w:val="UserStyle_11"/>
    <w:basedOn w:val="30"/>
    <w:qFormat/>
    <w:uiPriority w:val="0"/>
    <w:pPr>
      <w:spacing w:before="0" w:after="0" w:line="400" w:lineRule="exact"/>
      <w:jc w:val="both"/>
    </w:pPr>
  </w:style>
  <w:style w:type="paragraph" w:customStyle="1" w:styleId="70">
    <w:name w:val="UserStyle_12"/>
    <w:basedOn w:val="52"/>
    <w:qFormat/>
    <w:uiPriority w:val="0"/>
    <w:rPr>
      <w:rFonts w:ascii="Times New Roman"/>
      <w:sz w:val="21"/>
      <w:szCs w:val="24"/>
    </w:rPr>
  </w:style>
  <w:style w:type="paragraph" w:customStyle="1" w:styleId="71">
    <w:name w:val="UserStyle_13"/>
    <w:basedOn w:val="1"/>
    <w:qFormat/>
    <w:uiPriority w:val="0"/>
    <w:pPr>
      <w:ind w:firstLine="0" w:firstLineChars="0"/>
      <w:textAlignment w:val="center"/>
    </w:pPr>
    <w:rPr>
      <w:szCs w:val="22"/>
    </w:rPr>
  </w:style>
  <w:style w:type="paragraph" w:customStyle="1" w:styleId="72">
    <w:name w:val="UserStyle_14"/>
    <w:basedOn w:val="1"/>
    <w:qFormat/>
    <w:uiPriority w:val="0"/>
  </w:style>
  <w:style w:type="paragraph" w:customStyle="1" w:styleId="73">
    <w:name w:val="UserStyle_15"/>
    <w:basedOn w:val="1"/>
    <w:qFormat/>
    <w:uiPriority w:val="0"/>
    <w:pPr>
      <w:ind w:firstLine="420"/>
    </w:pPr>
  </w:style>
  <w:style w:type="paragraph" w:customStyle="1" w:styleId="74">
    <w:name w:val="UserStyle_16"/>
    <w:basedOn w:val="1"/>
    <w:next w:val="1"/>
    <w:qFormat/>
    <w:uiPriority w:val="0"/>
  </w:style>
  <w:style w:type="paragraph" w:customStyle="1" w:styleId="75">
    <w:name w:val="UserStyle_17"/>
    <w:qFormat/>
    <w:uiPriority w:val="0"/>
    <w:pPr>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2"/>
    <w:qFormat/>
    <w:uiPriority w:val="99"/>
    <w:pPr>
      <w:spacing w:line="240" w:lineRule="auto"/>
    </w:pPr>
    <w:rPr>
      <w:rFonts w:ascii="宋体" w:hAnsi="宋体" w:eastAsia="宋体"/>
      <w:sz w:val="21"/>
    </w:rPr>
  </w:style>
  <w:style w:type="character" w:customStyle="1" w:styleId="78">
    <w:name w:val="font01"/>
    <w:basedOn w:val="14"/>
    <w:qFormat/>
    <w:uiPriority w:val="0"/>
    <w:rPr>
      <w:rFonts w:hint="eastAsia" w:ascii="宋体" w:hAnsi="宋体" w:eastAsia="宋体" w:cs="宋体"/>
      <w:color w:val="000000"/>
      <w:sz w:val="20"/>
      <w:szCs w:val="20"/>
      <w:u w:val="none"/>
      <w:vertAlign w:val="superscript"/>
    </w:rPr>
  </w:style>
  <w:style w:type="paragraph" w:customStyle="1" w:styleId="79">
    <w:name w:val="Char Char Char Char Char Char Char1 Char"/>
    <w:basedOn w:val="1"/>
    <w:qFormat/>
    <w:uiPriority w:val="0"/>
    <w:rPr>
      <w:rFonts w:ascii="Tahoma" w:hAnsi="Tahoma"/>
      <w:sz w:val="24"/>
    </w:rPr>
  </w:style>
  <w:style w:type="paragraph" w:customStyle="1" w:styleId="80">
    <w:name w:val="p0"/>
    <w:basedOn w:val="1"/>
    <w:qFormat/>
    <w:uiPriority w:val="0"/>
    <w:rPr>
      <w:rFonts w:ascii="Calibri" w:hAnsi="Calibri"/>
    </w:rPr>
  </w:style>
  <w:style w:type="character" w:customStyle="1" w:styleId="81">
    <w:name w:val="font21"/>
    <w:basedOn w:val="14"/>
    <w:qFormat/>
    <w:uiPriority w:val="0"/>
    <w:rPr>
      <w:rFonts w:hint="eastAsia" w:ascii="宋体" w:hAnsi="宋体" w:eastAsia="宋体" w:cs="宋体"/>
      <w:color w:val="000000"/>
      <w:sz w:val="24"/>
      <w:szCs w:val="24"/>
      <w:u w:val="none"/>
    </w:rPr>
  </w:style>
  <w:style w:type="character" w:customStyle="1" w:styleId="82">
    <w:name w:val="font41"/>
    <w:basedOn w:val="14"/>
    <w:qFormat/>
    <w:uiPriority w:val="0"/>
    <w:rPr>
      <w:rFonts w:hint="default" w:ascii="Calibri" w:hAnsi="Calibri" w:cs="Calibri"/>
      <w:color w:val="000000"/>
      <w:sz w:val="24"/>
      <w:szCs w:val="24"/>
      <w:u w:val="none"/>
    </w:rPr>
  </w:style>
  <w:style w:type="character" w:customStyle="1" w:styleId="83">
    <w:name w:val="font11"/>
    <w:basedOn w:val="14"/>
    <w:qFormat/>
    <w:uiPriority w:val="0"/>
    <w:rPr>
      <w:rFonts w:hint="eastAsia" w:ascii="宋体" w:hAnsi="宋体" w:eastAsia="宋体" w:cs="宋体"/>
      <w:color w:val="000000"/>
      <w:sz w:val="22"/>
      <w:szCs w:val="22"/>
      <w:u w:val="none"/>
    </w:rPr>
  </w:style>
  <w:style w:type="character" w:customStyle="1" w:styleId="84">
    <w:name w:val="font61"/>
    <w:basedOn w:val="14"/>
    <w:qFormat/>
    <w:uiPriority w:val="0"/>
    <w:rPr>
      <w:rFonts w:hint="eastAsia" w:ascii="宋体" w:hAnsi="宋体" w:eastAsia="宋体" w:cs="宋体"/>
      <w:color w:val="000000"/>
      <w:sz w:val="20"/>
      <w:szCs w:val="20"/>
      <w:u w:val="none"/>
    </w:rPr>
  </w:style>
  <w:style w:type="character" w:customStyle="1" w:styleId="85">
    <w:name w:val="font51"/>
    <w:basedOn w:val="1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7558</Words>
  <Characters>2446</Characters>
  <Lines>20</Lines>
  <Paragraphs>19</Paragraphs>
  <TotalTime>11</TotalTime>
  <ScaleCrop>false</ScaleCrop>
  <LinksUpToDate>false</LinksUpToDate>
  <CharactersWithSpaces>9985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帅的很委婉</cp:lastModifiedBy>
  <cp:lastPrinted>2021-09-28T10:27:00Z</cp:lastPrinted>
  <dcterms:modified xsi:type="dcterms:W3CDTF">2021-09-28T13:33:22Z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375F7FADE5EC420781CF329DDB110F0A</vt:lpwstr>
  </property>
</Properties>
</file>