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采购需求</w:t>
      </w:r>
    </w:p>
    <w:p>
      <w:pPr>
        <w:ind w:firstLine="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1、金属构件刷防火涂料：7881㎡</w:t>
      </w:r>
    </w:p>
    <w:p>
      <w:pPr>
        <w:ind w:firstLine="0" w:firstLineChars="0"/>
        <w:rPr>
          <w:rFonts w:hint="default"/>
          <w:lang w:val="en-US" w:eastAsia="zh-CN"/>
        </w:rPr>
      </w:pPr>
      <w:r>
        <w:rPr>
          <w:rFonts w:hint="eastAsia"/>
          <w:highlight w:val="none"/>
          <w:lang w:val="en-US" w:eastAsia="zh-CN"/>
        </w:rPr>
        <w:t>标准：1、满足图纸设计标准；</w:t>
      </w:r>
    </w:p>
    <w:p>
      <w:pPr>
        <w:ind w:firstLine="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2、满足规范要求；</w:t>
      </w:r>
    </w:p>
    <w:p>
      <w:pPr>
        <w:ind w:firstLine="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3、保证验收合格，报价含各类检测费用；</w:t>
      </w:r>
    </w:p>
    <w:p>
      <w:pPr>
        <w:ind w:firstLine="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4、报价不含税，发票在合同中另行约定。</w:t>
      </w:r>
    </w:p>
    <w:p>
      <w:pPr>
        <w:ind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本工程的耐火等级为二级，耐火极限:柱:2.5小时,屋面梁:1.5小时。钢结构节点的防火保护 应与被连接构件中防火保护要求最高者相同。防火要求需满足建筑施工图的要求并严格遵守,&lt;&lt;建筑 设计防火规范&gt;&gt;(GB50016-2014)和&lt;&lt;建筑钢结构防火技术规范&gt;&gt;(GB51249-2017) 的规定。防火涂料的性能、涂层厚度及质量要求应符合《钢结构防火涂料应用技术规范》(CECS24:90).《钢结构防火涂料》(GB14907-2018)的规定。柱采用非膨胀型防火涂料， 防火涂料厚度不小于15mm;梁采用非膨胀型防火涂料,防火涂料厚度不小于25mm,钢结构防火保护层需满足《建筑钢结构防火技术规范&gt;(GB51249-2017)相关构造要求。所选用的钢结构防火涂料与防锈蚀油漆(涂料)之间应进行相容性试验，试验合格后方可 使用。在投入运营后的使用过程中,应对建筑结构进行正常的维护，包括必要的检测、防护及维修,重要 外露部位涂装每5年检查一次。</w:t>
      </w:r>
    </w:p>
    <w:p>
      <w:pPr>
        <w:ind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除锈：钢构件在制作完成后应进行喷砂(或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抛丸)除锈处理除锈质量等级要求达到(GB8923-2011)中的Sa2.5 级标准。</w:t>
      </w:r>
    </w:p>
    <w:p>
      <w:pPr>
        <w:ind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油漆:钢构件在喷砂(或抛丸)除锈后,应立即刷防锈漆其材料和厚度见建施涂层干漆膜总厚度:室内≥125um, 室外≥150um。钢结构在使用过程中应定期进行油漆、维护、冷弯薄壁型钢檩条和墙梁若采用热侵镀锌，其镀锌 量不宜小于275g/m²。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FE0D3D"/>
    <w:rsid w:val="7795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2021-05-19T00:39:00Z</dcterms:created>
  <dc:creator>Administrator</dc:creator>
  <cp:lastModifiedBy>星星知我心@</cp:lastModifiedBy>
  <dcterms:modified xsi:type="dcterms:W3CDTF">2021-05-19T02:50:51Z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FC1A512542314E17A3F2AE82A3BDD71E</vt:lpwstr>
  </property>
</Properties>
</file>