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ind w:left="0" w:leftChars="0" w:firstLine="0" w:firstLineChars="0"/>
        <w:rPr>
          <w:rFonts w:hint="eastAsia"/>
          <w:lang w:val="en-US" w:eastAsia="zh-CN"/>
        </w:rPr>
      </w:pPr>
    </w:p>
    <w:p>
      <w:pPr>
        <w:pStyle w:val="15"/>
        <w:jc w:val="center"/>
        <w:rPr>
          <w:rFonts w:hint="eastAsia" w:ascii="宋体" w:hAnsi="宋体" w:eastAsia="宋体" w:cs="宋体"/>
          <w:b/>
          <w:bCs/>
          <w:color w:val="auto"/>
          <w:sz w:val="48"/>
          <w:szCs w:val="48"/>
        </w:rPr>
      </w:pPr>
      <w:r>
        <w:rPr>
          <w:rFonts w:hint="eastAsia" w:ascii="宋体" w:hAnsi="宋体"/>
          <w:b/>
          <w:bCs/>
          <w:color w:val="auto"/>
          <w:sz w:val="52"/>
          <w:szCs w:val="52"/>
          <w:lang w:val="en-US" w:eastAsia="zh-CN"/>
        </w:rPr>
        <w:t>集团</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Times New Roman"/>
          <w:b/>
          <w:bCs/>
          <w:color w:val="auto"/>
          <w:kern w:val="2"/>
          <w:sz w:val="52"/>
          <w:szCs w:val="52"/>
          <w:lang w:val="en-US" w:eastAsia="zh-CN" w:bidi="ar-SA"/>
        </w:rPr>
      </w:pPr>
      <w:r>
        <w:rPr>
          <w:rFonts w:hint="eastAsia" w:ascii="宋体" w:hAnsi="宋体" w:eastAsia="宋体" w:cs="Times New Roman"/>
          <w:b/>
          <w:bCs/>
          <w:color w:val="auto"/>
          <w:kern w:val="2"/>
          <w:sz w:val="52"/>
          <w:szCs w:val="52"/>
          <w:lang w:val="en-US" w:eastAsia="zh-CN" w:bidi="ar-SA"/>
        </w:rPr>
        <w:t>（</w:t>
      </w:r>
      <w:r>
        <w:rPr>
          <w:rFonts w:hint="eastAsia" w:ascii="宋体" w:hAnsi="宋体" w:cs="Times New Roman"/>
          <w:b/>
          <w:bCs/>
          <w:color w:val="auto"/>
          <w:kern w:val="2"/>
          <w:sz w:val="52"/>
          <w:szCs w:val="52"/>
          <w:lang w:val="en-US" w:eastAsia="zh-CN" w:bidi="ar-SA"/>
        </w:rPr>
        <w:t>货物</w:t>
      </w:r>
      <w:r>
        <w:rPr>
          <w:rFonts w:hint="eastAsia" w:ascii="宋体" w:hAnsi="宋体" w:eastAsia="宋体" w:cs="Times New Roman"/>
          <w:b/>
          <w:bCs/>
          <w:color w:val="auto"/>
          <w:kern w:val="2"/>
          <w:sz w:val="52"/>
          <w:szCs w:val="52"/>
          <w:lang w:val="en-US" w:eastAsia="zh-CN" w:bidi="ar-SA"/>
        </w:rPr>
        <w:t>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Times New Roman"/>
          <w:b/>
          <w:bCs/>
          <w:color w:val="auto"/>
          <w:kern w:val="2"/>
          <w:sz w:val="52"/>
          <w:szCs w:val="52"/>
          <w:lang w:val="en-US" w:eastAsia="zh-CN" w:bidi="ar-SA"/>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Times New Roman"/>
          <w:b/>
          <w:bCs/>
          <w:color w:val="auto"/>
          <w:kern w:val="2"/>
          <w:sz w:val="52"/>
          <w:szCs w:val="52"/>
          <w:lang w:val="en-US" w:eastAsia="zh-CN" w:bidi="ar-SA"/>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ascii="宋体" w:hAnsi="宋体" w:eastAsia="宋体" w:cs="宋体"/>
          <w:kern w:val="0"/>
          <w:sz w:val="24"/>
          <w:szCs w:val="24"/>
          <w:lang w:val="en-US" w:eastAsia="zh-CN" w:bidi="ar"/>
        </w:rPr>
        <w:drawing>
          <wp:anchor distT="0" distB="0" distL="114300" distR="114300" simplePos="0" relativeHeight="251659264" behindDoc="0" locked="0" layoutInCell="1" allowOverlap="1">
            <wp:simplePos x="0" y="0"/>
            <wp:positionH relativeFrom="column">
              <wp:posOffset>1793875</wp:posOffset>
            </wp:positionH>
            <wp:positionV relativeFrom="paragraph">
              <wp:posOffset>-990600</wp:posOffset>
            </wp:positionV>
            <wp:extent cx="2152015" cy="1285240"/>
            <wp:effectExtent l="0" t="0" r="635" b="10160"/>
            <wp:wrapSquare wrapText="bothSides"/>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152015" cy="1285240"/>
                    </a:xfrm>
                    <a:prstGeom prst="rect">
                      <a:avLst/>
                    </a:prstGeom>
                    <a:noFill/>
                    <a:ln>
                      <a:noFill/>
                    </a:ln>
                  </pic:spPr>
                </pic:pic>
              </a:graphicData>
            </a:graphic>
          </wp:anchor>
        </w:drawing>
      </w:r>
    </w:p>
    <w:p>
      <w:pPr>
        <w:widowControl/>
        <w:spacing w:line="312" w:lineRule="auto"/>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pStyle w:val="16"/>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34"/>
        <w:widowControl/>
        <w:ind w:left="0" w:leftChars="0" w:firstLine="1440" w:firstLineChars="400"/>
        <w:jc w:val="both"/>
        <w:textAlignment w:val="baseline"/>
        <w:rPr>
          <w:rStyle w:val="35"/>
          <w:rFonts w:hint="default" w:ascii="黑体" w:hAnsi="黑体" w:eastAsia="黑体" w:cs="黑体"/>
          <w:b w:val="0"/>
          <w:sz w:val="36"/>
          <w:szCs w:val="36"/>
          <w:highlight w:val="none"/>
          <w:lang w:val="en-US" w:eastAsia="zh-CN" w:bidi="ar-SA"/>
        </w:rPr>
      </w:pPr>
      <w:r>
        <w:rPr>
          <w:rStyle w:val="35"/>
          <w:rFonts w:hint="eastAsia" w:ascii="黑体" w:hAnsi="黑体" w:eastAsia="黑体" w:cs="黑体"/>
          <w:b w:val="0"/>
          <w:sz w:val="36"/>
          <w:szCs w:val="36"/>
          <w:highlight w:val="none"/>
          <w:lang w:val="en-US" w:eastAsia="zh-CN" w:bidi="ar-SA"/>
        </w:rPr>
        <w:t>采购编号：DBSCG-2021-075</w:t>
      </w:r>
    </w:p>
    <w:p>
      <w:pPr>
        <w:spacing w:line="300" w:lineRule="auto"/>
        <w:ind w:left="1369" w:leftChars="652" w:firstLine="0" w:firstLineChars="0"/>
        <w:jc w:val="both"/>
        <w:textAlignment w:val="baseline"/>
        <w:rPr>
          <w:rStyle w:val="35"/>
          <w:rFonts w:hint="default" w:ascii="黑体" w:hAnsi="黑体" w:eastAsia="黑体" w:cs="黑体"/>
          <w:b w:val="0"/>
          <w:sz w:val="36"/>
          <w:szCs w:val="36"/>
          <w:highlight w:val="none"/>
          <w:lang w:val="en-US" w:eastAsia="zh-CN" w:bidi="ar-SA"/>
        </w:rPr>
      </w:pPr>
      <w:r>
        <w:rPr>
          <w:rStyle w:val="35"/>
          <w:rFonts w:hint="eastAsia" w:ascii="黑体" w:hAnsi="黑体" w:eastAsia="黑体" w:cs="黑体"/>
          <w:b w:val="0"/>
          <w:sz w:val="36"/>
          <w:szCs w:val="36"/>
          <w:highlight w:val="none"/>
          <w:lang w:val="en-US" w:eastAsia="zh-CN" w:bidi="ar-SA"/>
        </w:rPr>
        <w:t>项目名称：霍山县殡仪馆项目防火涂料采购</w:t>
      </w:r>
    </w:p>
    <w:p>
      <w:pPr>
        <w:widowControl/>
        <w:spacing w:line="312" w:lineRule="auto"/>
        <w:ind w:left="0" w:leftChars="0" w:firstLine="1440" w:firstLineChars="400"/>
        <w:jc w:val="left"/>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5"/>
          <w:rFonts w:hint="eastAsia" w:ascii="黑体" w:hAnsi="黑体" w:eastAsia="黑体" w:cs="黑体"/>
          <w:sz w:val="36"/>
          <w:szCs w:val="36"/>
          <w:highlight w:val="none"/>
          <w:lang w:val="en-US" w:eastAsia="zh-CN" w:bidi="ar-SA"/>
        </w:rPr>
      </w:pPr>
      <w:r>
        <w:rPr>
          <w:rStyle w:val="35"/>
          <w:rFonts w:hint="eastAsia" w:ascii="黑体" w:hAnsi="黑体" w:eastAsia="黑体" w:cs="黑体"/>
          <w:sz w:val="36"/>
          <w:szCs w:val="36"/>
          <w:highlight w:val="none"/>
          <w:lang w:val="en-US" w:eastAsia="zh-CN" w:bidi="ar-SA"/>
        </w:rPr>
        <w:t>编制时间：2021年05月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宋体" w:eastAsia="宋体" w:cs="宋体"/>
          <w:b/>
          <w:color w:val="auto"/>
          <w:spacing w:val="176"/>
          <w:kern w:val="0"/>
          <w:sz w:val="32"/>
          <w:szCs w:val="32"/>
          <w:u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bookmarkStart w:id="0" w:name="_Toc11428_WPSOffice_Type1"/>
      <w:bookmarkStart w:id="1" w:name="_Toc363199264"/>
      <w:bookmarkStart w:id="2" w:name="_Toc216158623"/>
    </w:p>
    <w:p>
      <w:pPr>
        <w:pStyle w:val="15"/>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一、</w:t>
      </w:r>
      <w:r>
        <w:rPr>
          <w:rFonts w:hint="eastAsia" w:ascii="宋体" w:hAnsi="宋体" w:eastAsia="宋体" w:cs="宋体"/>
          <w:b/>
          <w:bCs/>
          <w:color w:val="auto"/>
          <w:kern w:val="0"/>
          <w:sz w:val="30"/>
          <w:szCs w:val="30"/>
          <w:lang w:val="en-US" w:eastAsia="zh-CN" w:bidi="ar-SA"/>
        </w:rPr>
        <w:t>询价公告</w:t>
      </w:r>
      <w:bookmarkEnd w:id="6"/>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DBSCG-2021-075霍山县殡仪馆项目防火涂料采购</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安徽筑圣建设工程有限公司申请</w:t>
      </w:r>
      <w:r>
        <w:rPr>
          <w:rFonts w:hint="eastAsia" w:ascii="宋体" w:hAnsi="宋体" w:eastAsia="宋体" w:cs="宋体"/>
          <w:color w:val="auto"/>
          <w:kern w:val="2"/>
          <w:sz w:val="21"/>
          <w:szCs w:val="21"/>
          <w:lang w:val="en-US" w:eastAsia="zh-CN" w:bidi="ar-SA"/>
        </w:rPr>
        <w:t>，</w:t>
      </w:r>
      <w:r>
        <w:rPr>
          <w:rFonts w:hint="eastAsia" w:ascii="宋体" w:hAnsi="宋体" w:cs="宋体"/>
          <w:color w:val="auto"/>
          <w:kern w:val="2"/>
          <w:sz w:val="21"/>
          <w:szCs w:val="21"/>
          <w:lang w:val="en-US" w:eastAsia="zh-CN" w:bidi="ar-SA"/>
        </w:rPr>
        <w:t>根据《国有企业采购操作规范》及《安徽大别山国有资产投资（控股）集团有限公司招标采购管理制度》</w:t>
      </w:r>
      <w:r>
        <w:rPr>
          <w:rFonts w:hint="eastAsia" w:ascii="宋体" w:hAnsi="宋体" w:eastAsia="宋体" w:cs="宋体"/>
          <w:color w:val="auto"/>
          <w:kern w:val="2"/>
          <w:sz w:val="21"/>
          <w:szCs w:val="21"/>
          <w:lang w:val="en-US" w:eastAsia="zh-CN" w:bidi="ar-SA"/>
        </w:rPr>
        <w:t>采取询价方式采购。</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受</w:t>
      </w:r>
      <w:r>
        <w:rPr>
          <w:rFonts w:hint="eastAsia" w:ascii="宋体" w:hAnsi="宋体" w:cs="宋体"/>
          <w:i w:val="0"/>
          <w:caps w:val="0"/>
          <w:color w:val="auto"/>
          <w:spacing w:val="0"/>
          <w:sz w:val="21"/>
          <w:szCs w:val="21"/>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shd w:val="clear" w:color="auto" w:fill="FFFFFF"/>
        </w:rPr>
        <w:t>的委托，现对</w:t>
      </w:r>
      <w:r>
        <w:rPr>
          <w:rFonts w:hint="eastAsia" w:ascii="宋体" w:hAnsi="宋体" w:cs="宋体"/>
          <w:color w:val="auto"/>
          <w:kern w:val="2"/>
          <w:sz w:val="21"/>
          <w:szCs w:val="21"/>
          <w:u w:val="single"/>
          <w:lang w:val="en-US" w:eastAsia="zh-CN" w:bidi="ar-SA"/>
        </w:rPr>
        <w:t>DBSCG-2021-075霍山县殡仪馆项目防火涂料采购</w:t>
      </w:r>
      <w:r>
        <w:rPr>
          <w:rFonts w:hint="eastAsia" w:ascii="宋体" w:hAnsi="宋体" w:eastAsia="宋体" w:cs="宋体"/>
          <w:i w:val="0"/>
          <w:caps w:val="0"/>
          <w:color w:val="auto"/>
          <w:spacing w:val="0"/>
          <w:sz w:val="21"/>
          <w:szCs w:val="21"/>
          <w:shd w:val="clear" w:color="auto" w:fill="FFFFFF"/>
        </w:rPr>
        <w:t>进行询价采购，欢迎具备条件的国内供应商参加询价。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霍山县殡仪馆项目防火涂料采购</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DBSCG-2021-075</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20万元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7、最高限价：20万元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9、项目概况：金属构件刷防火涂料7881㎡等(详见采购需求)。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1、参照《</w:t>
      </w:r>
      <w:r>
        <w:rPr>
          <w:rFonts w:hint="eastAsia" w:ascii="宋体" w:hAnsi="宋体" w:cs="宋体"/>
          <w:i w:val="0"/>
          <w:caps w:val="0"/>
          <w:color w:val="auto"/>
          <w:spacing w:val="0"/>
          <w:sz w:val="21"/>
          <w:szCs w:val="21"/>
          <w:shd w:val="clear" w:color="auto" w:fill="FFFFFF"/>
          <w:lang w:val="en-US" w:eastAsia="zh-CN"/>
        </w:rPr>
        <w:t>中华人民共和国</w:t>
      </w:r>
      <w:r>
        <w:rPr>
          <w:rFonts w:hint="eastAsia" w:ascii="宋体" w:hAnsi="宋体" w:eastAsia="宋体" w:cs="宋体"/>
          <w:i w:val="0"/>
          <w:caps w:val="0"/>
          <w:color w:val="auto"/>
          <w:spacing w:val="0"/>
          <w:sz w:val="21"/>
          <w:szCs w:val="21"/>
          <w:shd w:val="clear" w:color="auto" w:fill="FFFFFF"/>
          <w:lang w:val="en-US" w:eastAsia="zh-CN"/>
        </w:rPr>
        <w:t>政府采购法》第二十二条要求；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firstLine="440" w:firstLineChars="200"/>
        <w:jc w:val="both"/>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w:t>
      </w:r>
      <w:r>
        <w:rPr>
          <w:rStyle w:val="35"/>
          <w:rFonts w:hint="eastAsia" w:asciiTheme="majorEastAsia" w:hAnsiTheme="majorEastAsia" w:eastAsiaTheme="majorEastAsia" w:cstheme="majorEastAsia"/>
          <w:sz w:val="22"/>
          <w:szCs w:val="22"/>
          <w:highlight w:val="none"/>
          <w:lang w:val="en-US" w:eastAsia="zh-CN" w:bidi="ar-SA"/>
        </w:rPr>
        <w:t>投标人具有独立法人资格且营业执照包含相关经营范围；</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3</w:t>
      </w:r>
      <w:r>
        <w:rPr>
          <w:rFonts w:hint="eastAsia" w:ascii="宋体" w:hAnsi="宋体" w:eastAsia="宋体" w:cs="宋体"/>
          <w:i w:val="0"/>
          <w:caps w:val="0"/>
          <w:color w:val="auto"/>
          <w:spacing w:val="0"/>
          <w:sz w:val="21"/>
          <w:szCs w:val="21"/>
          <w:shd w:val="clear" w:color="auto" w:fill="FFFFFF"/>
          <w:lang w:val="en-US" w:eastAsia="zh-CN"/>
        </w:rPr>
        <w:t>、本项目不接受联合体参与投标；</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eastAsia="宋体" w:cs="宋体"/>
          <w:i w:val="0"/>
          <w:caps w:val="0"/>
          <w:color w:val="auto"/>
          <w:spacing w:val="0"/>
          <w:sz w:val="21"/>
          <w:szCs w:val="21"/>
          <w:shd w:val="clear" w:color="auto" w:fill="FFFFFF"/>
          <w:lang w:val="en-US" w:eastAsia="zh-CN"/>
        </w:rPr>
        <w:t>、供应商存在以下不良信用记录情形之一的，不得推荐为中标候选供应商，不得确定为中标供应商（仅以下述渠道查询结果为准，其他网站无效）：</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信用中国官网（www.creditchina.gov.cn）；</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信用中国官网（www.creditchina.gov.cn）；</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36"/>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5"/>
          <w:rFonts w:hint="eastAsia" w:asciiTheme="majorEastAsia" w:hAnsiTheme="majorEastAsia" w:eastAsiaTheme="majorEastAsia" w:cstheme="majorEastAsia"/>
          <w:sz w:val="22"/>
          <w:szCs w:val="22"/>
          <w:highlight w:val="none"/>
          <w:lang w:val="en-US" w:eastAsia="zh-CN" w:bidi="ar-SA"/>
        </w:rPr>
      </w:pPr>
      <w:r>
        <w:rPr>
          <w:rStyle w:val="35"/>
          <w:rFonts w:hint="eastAsia" w:asciiTheme="majorEastAsia" w:hAnsiTheme="majorEastAsia" w:eastAsiaTheme="majorEastAsia" w:cstheme="majorEastAsia"/>
          <w:sz w:val="22"/>
          <w:szCs w:val="22"/>
          <w:highlight w:val="none"/>
          <w:lang w:val="en-US" w:eastAsia="zh-CN" w:bidi="ar-SA"/>
        </w:rPr>
        <w:t>中国政府采购官网（www.ccgp.gov.cn）。</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2021年5月19日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2021年5月25日16</w:t>
      </w:r>
      <w:r>
        <w:rPr>
          <w:rFonts w:hint="eastAsia" w:ascii="宋体" w:hAnsi="宋体" w:cs="宋体"/>
          <w:i w:val="0"/>
          <w:caps w:val="0"/>
          <w:color w:val="auto"/>
          <w:spacing w:val="0"/>
          <w:sz w:val="21"/>
          <w:szCs w:val="21"/>
          <w:shd w:val="clear" w:color="auto" w:fill="FFFFFF"/>
          <w:lang w:val="en-US" w:eastAsia="zh-CN"/>
        </w:rPr>
        <w:t>时00分。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Style w:val="35"/>
          <w:rFonts w:hint="eastAsia" w:asciiTheme="majorEastAsia" w:hAnsiTheme="majorEastAsia" w:eastAsiaTheme="majorEastAsia" w:cstheme="majorEastAsia"/>
          <w:szCs w:val="22"/>
          <w:highlight w:val="none"/>
        </w:rPr>
        <w:t>“招标采购栏”中自行下载本项目采购需求文件和本项目</w:t>
      </w:r>
      <w:r>
        <w:rPr>
          <w:rFonts w:hint="eastAsia" w:ascii="宋体" w:hAnsi="宋体" w:eastAsia="宋体" w:cs="宋体"/>
          <w:i w:val="0"/>
          <w:caps w:val="0"/>
          <w:color w:val="auto"/>
          <w:spacing w:val="0"/>
          <w:sz w:val="21"/>
          <w:szCs w:val="21"/>
          <w:shd w:val="clear" w:color="auto" w:fill="FFFFFF"/>
        </w:rPr>
        <w:t>询价文件。</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2021年5月25日16</w:t>
      </w:r>
      <w:r>
        <w:rPr>
          <w:rFonts w:hint="eastAsia" w:ascii="宋体" w:hAnsi="宋体" w:cs="宋体"/>
          <w:i w:val="0"/>
          <w:caps w:val="0"/>
          <w:color w:val="auto"/>
          <w:spacing w:val="0"/>
          <w:sz w:val="21"/>
          <w:szCs w:val="21"/>
          <w:u w:val="single"/>
          <w:shd w:val="clear" w:color="auto" w:fill="FFFFFF"/>
          <w:lang w:val="en-US" w:eastAsia="zh-CN"/>
        </w:rPr>
        <w:t>时00分</w:t>
      </w:r>
      <w:r>
        <w:rPr>
          <w:rFonts w:hint="eastAsia" w:ascii="宋体" w:hAnsi="宋体" w:cs="宋体"/>
          <w:i w:val="0"/>
          <w:caps w:val="0"/>
          <w:color w:val="auto"/>
          <w:spacing w:val="0"/>
          <w:sz w:val="21"/>
          <w:szCs w:val="21"/>
          <w:u w:val="none"/>
          <w:shd w:val="clear" w:color="auto" w:fill="FFFFFF"/>
          <w:lang w:val="en-US"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420" w:leftChars="200" w:right="0" w:rightChars="0" w:firstLine="0" w:firstLineChars="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FF0000"/>
          <w:spacing w:val="0"/>
          <w:sz w:val="21"/>
          <w:szCs w:val="21"/>
          <w:shd w:val="clear" w:color="auto" w:fill="FFFFFF"/>
        </w:rPr>
        <w:t>疫情防控要求：对授权委托人要求为：每个供应商确定一名授权委托人进场参加。供应商授权的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其授权委托人应按六安市新型冠状病毒疫情防控应急综合指挥部《关于严格落实疫情防控各项措施的通告》（［2021］第4号）的要求:测体温，查验“安康码”，戴口罩，保持社交距离。在入口登记处使用皖事通主动出示个人持有的“安康码”，持绿色“安康码”人员，由登记人员使用“安康码”核验端进行扫码核验，测量体温，提供本人7日内核酸检测证明，根据情况予以放行或进行异常登记。持黄色或红色“安康码”的人员，不符合疫情防控要求，禁止进场参加招投标活动。本项目禁止不符合疫情防控要求的人员进场参加招投标活动；无本人7日内核酸检测证明的视为未响应疫情防控和招标文件要求，其投标将被予以拒绝。核酸检测证明不得弄虚作假，否则将比照招标文件有关弄虚作假的处理规定进行处理，同时按疫情防控规定，移送公安等部门处理。</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何先生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18056400558</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刘</w:t>
      </w:r>
      <w:r>
        <w:rPr>
          <w:rFonts w:hint="eastAsia" w:ascii="宋体" w:hAnsi="宋体" w:cs="宋体"/>
          <w:i w:val="0"/>
          <w:caps w:val="0"/>
          <w:color w:val="auto"/>
          <w:spacing w:val="0"/>
          <w:sz w:val="21"/>
          <w:szCs w:val="21"/>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20033，15305645303</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三</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w:t>
      </w:r>
      <w:r>
        <w:rPr>
          <w:rFonts w:hint="eastAsia" w:ascii="宋体" w:hAnsi="宋体" w:cs="宋体"/>
          <w:i w:val="0"/>
          <w:caps w:val="0"/>
          <w:color w:val="auto"/>
          <w:spacing w:val="0"/>
          <w:sz w:val="21"/>
          <w:szCs w:val="21"/>
          <w:shd w:val="clear" w:color="auto" w:fill="FFFFFF"/>
          <w:lang w:val="en-US" w:eastAsia="zh-CN"/>
        </w:rPr>
        <w:t>纪检</w:t>
      </w:r>
      <w:r>
        <w:rPr>
          <w:rFonts w:hint="eastAsia" w:ascii="宋体" w:hAnsi="宋体" w:eastAsia="宋体" w:cs="宋体"/>
          <w:i w:val="0"/>
          <w:caps w:val="0"/>
          <w:color w:val="auto"/>
          <w:spacing w:val="0"/>
          <w:sz w:val="21"/>
          <w:szCs w:val="21"/>
          <w:shd w:val="clear" w:color="auto" w:fill="FFFFFF"/>
        </w:rPr>
        <w:t>监察室</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任主任</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保证金缴纳账户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保证金金额为：人民币肆仟元整（￥4000.00元）</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保证金可采取下列形式：(1)银行转账 (2)网银支付</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汇入银行账号：20010048352066600000021</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汇入银行：徽商银行六安霍山支行</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汇入银行帐号：223024186581000002</w:t>
      </w:r>
      <w:r>
        <w:rPr>
          <w:rFonts w:hint="eastAsia" w:ascii="宋体" w:hAnsi="宋体" w:cs="宋体"/>
          <w:i w:val="0"/>
          <w:caps w:val="0"/>
          <w:color w:val="auto"/>
          <w:spacing w:val="0"/>
          <w:sz w:val="21"/>
          <w:szCs w:val="21"/>
          <w:shd w:val="clear" w:color="auto" w:fill="FFFFFF"/>
          <w:lang w:eastAsia="zh-CN"/>
        </w:rPr>
        <w:t>；</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4" w:firstLineChars="500"/>
        <w:textAlignment w:val="auto"/>
        <w:outlineLvl w:val="9"/>
        <w:rPr>
          <w:rFonts w:hint="eastAsia" w:ascii="宋体" w:hAnsi="宋体" w:eastAsia="宋体" w:cs="宋体"/>
          <w:b/>
          <w:bCs/>
          <w:i w:val="0"/>
          <w:caps w:val="0"/>
          <w:color w:val="auto"/>
          <w:spacing w:val="0"/>
          <w:sz w:val="21"/>
          <w:szCs w:val="21"/>
          <w:shd w:val="clear" w:color="auto" w:fill="FFFFFF"/>
        </w:rPr>
      </w:pPr>
      <w:r>
        <w:rPr>
          <w:rFonts w:hint="eastAsia" w:ascii="宋体" w:hAnsi="宋体" w:eastAsia="宋体" w:cs="宋体"/>
          <w:b/>
          <w:bCs/>
          <w:i w:val="0"/>
          <w:caps w:val="0"/>
          <w:color w:val="auto"/>
          <w:spacing w:val="0"/>
          <w:sz w:val="21"/>
          <w:szCs w:val="21"/>
          <w:shd w:val="clear" w:color="auto" w:fill="FFFFFF"/>
        </w:rPr>
        <w:t>备注：供应商缴纳人名称与供应商名称一致，到账时间为</w:t>
      </w:r>
      <w:r>
        <w:rPr>
          <w:rFonts w:hint="eastAsia" w:ascii="宋体" w:hAnsi="宋体" w:cs="宋体"/>
          <w:b/>
          <w:bCs/>
          <w:i w:val="0"/>
          <w:caps w:val="0"/>
          <w:color w:val="auto"/>
          <w:spacing w:val="0"/>
          <w:sz w:val="21"/>
          <w:szCs w:val="21"/>
          <w:shd w:val="clear" w:color="auto" w:fill="FFFFFF"/>
          <w:lang w:val="en-US" w:eastAsia="zh-CN"/>
        </w:rPr>
        <w:t>询价</w:t>
      </w:r>
      <w:r>
        <w:rPr>
          <w:rFonts w:hint="eastAsia" w:ascii="宋体" w:hAnsi="宋体" w:eastAsia="宋体" w:cs="宋体"/>
          <w:b/>
          <w:bCs/>
          <w:i w:val="0"/>
          <w:caps w:val="0"/>
          <w:color w:val="auto"/>
          <w:spacing w:val="0"/>
          <w:sz w:val="21"/>
          <w:szCs w:val="21"/>
          <w:shd w:val="clear" w:color="auto" w:fill="FFFFFF"/>
        </w:rPr>
        <w:t>截止时间前。</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2021年5月19日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7"/>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何先生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18056400558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  称：</w:t>
            </w:r>
            <w:r>
              <w:rPr>
                <w:rFonts w:hint="eastAsia" w:ascii="宋体" w:hAnsi="宋体" w:cs="宋体"/>
                <w:bCs/>
                <w:color w:val="auto"/>
                <w:szCs w:val="21"/>
                <w:highlight w:val="none"/>
                <w:u w:val="none"/>
                <w:lang w:eastAsia="zh-CN"/>
              </w:rPr>
              <w:t>安徽大别山工程咨询有限公司</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霍山县殡仪馆项目防火涂料采购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贰拾万</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default" w:ascii="Arial" w:hAnsi="Arial" w:eastAsia="宋体" w:cs="Arial"/>
                <w:b/>
                <w:bCs/>
                <w:color w:val="auto"/>
                <w:sz w:val="21"/>
                <w:szCs w:val="21"/>
                <w:highlight w:val="none"/>
              </w:rPr>
              <w:t>¥</w:t>
            </w:r>
            <w:r>
              <w:rPr>
                <w:rFonts w:hint="eastAsia" w:cs="宋体"/>
                <w:b/>
                <w:bCs/>
                <w:color w:val="auto"/>
                <w:sz w:val="21"/>
                <w:szCs w:val="21"/>
                <w:highlight w:val="none"/>
                <w:lang w:val="en-US" w:eastAsia="zh-CN"/>
              </w:rPr>
              <w:t>200000.00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FF0000"/>
                <w:szCs w:val="21"/>
                <w:highlight w:val="none"/>
                <w:lang w:val="en-US" w:eastAsia="zh-CN"/>
              </w:rPr>
              <w:t>无预付款，按进度付款。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安徽筑圣建设工程有限公司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期限</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rPr>
            </w:pPr>
            <w:r>
              <w:rPr>
                <w:rFonts w:hint="eastAsia" w:ascii="宋体" w:hAnsi="宋体" w:cs="宋体"/>
                <w:b w:val="0"/>
                <w:bCs w:val="0"/>
                <w:color w:val="auto"/>
                <w:szCs w:val="21"/>
                <w:highlight w:val="none"/>
                <w:lang w:val="en-US" w:eastAsia="zh-CN"/>
              </w:rPr>
              <w:t>合同签订后一个月内完成供货及安装</w:t>
            </w:r>
            <w:bookmarkStart w:id="86" w:name="_GoBack"/>
            <w:bookmarkEnd w:id="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eastAsia" w:ascii="宋体" w:hAnsi="宋体" w:eastAsia="宋体" w:cs="宋体"/>
                <w:color w:val="auto"/>
                <w:szCs w:val="21"/>
                <w:highlight w:val="none"/>
                <w:lang w:val="en-US" w:eastAsia="zh-CN"/>
              </w:rPr>
            </w:pPr>
            <w:r>
              <w:rPr>
                <w:rStyle w:val="35"/>
                <w:rFonts w:hint="default" w:ascii="宋体" w:hAnsi="宋体" w:eastAsia="宋体"/>
                <w:b/>
                <w:bCs/>
                <w:color w:val="FF0000"/>
                <w:sz w:val="22"/>
                <w:szCs w:val="22"/>
                <w:highlight w:val="none"/>
                <w:lang w:val="en-US" w:eastAsia="zh-CN" w:bidi="ar-SA"/>
              </w:rPr>
              <w:t>合格</w:t>
            </w:r>
            <w:r>
              <w:rPr>
                <w:rStyle w:val="35"/>
                <w:rFonts w:hint="eastAsia"/>
                <w:b/>
                <w:bCs/>
                <w:color w:val="FF0000"/>
                <w:sz w:val="22"/>
                <w:szCs w:val="22"/>
                <w:highlight w:val="none"/>
                <w:lang w:val="en-US" w:eastAsia="zh-CN" w:bidi="ar-SA"/>
              </w:rPr>
              <w:t>，质保期24个月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r>
              <w:rPr>
                <w:rFonts w:hint="eastAsia" w:ascii="宋体" w:hAnsi="宋体" w:cs="宋体"/>
                <w:color w:val="auto"/>
                <w:szCs w:val="21"/>
                <w:highlight w:val="none"/>
                <w:lang w:eastAsia="zh-CN"/>
              </w:rPr>
              <w:t>，</w:t>
            </w: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w:t>
            </w:r>
            <w:r>
              <w:rPr>
                <w:rFonts w:hint="eastAsia" w:ascii="宋体" w:hAnsi="宋体" w:cs="宋体"/>
                <w:b/>
                <w:color w:val="auto"/>
                <w:sz w:val="21"/>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1"/>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0"/>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adjustRightInd w:val="0"/>
              <w:snapToGrid w:val="0"/>
              <w:spacing w:line="320" w:lineRule="exact"/>
              <w:jc w:val="left"/>
              <w:rPr>
                <w:rFonts w:hint="default" w:ascii="宋体" w:hAnsi="宋体" w:eastAsia="宋体" w:cs="宋体"/>
                <w:b/>
                <w:bCs w:val="0"/>
                <w:color w:val="000000" w:themeColor="text1"/>
                <w:szCs w:val="21"/>
                <w:highlight w:val="none"/>
                <w:lang w:val="en-US" w:eastAsia="zh-CN"/>
                <w14:textFill>
                  <w14:solidFill>
                    <w14:schemeClr w14:val="tx1"/>
                  </w14:solidFill>
                </w14:textFill>
              </w:rPr>
            </w:pPr>
            <w:r>
              <w:rPr>
                <w:rFonts w:hint="eastAsia" w:ascii="宋体" w:hAnsi="宋体" w:cs="宋体"/>
                <w:b/>
                <w:bCs w:val="0"/>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保证金凭其与采购人签订的合同全额退至其账户，其他单位的投标保证金在确定中标单位后5个工作日内退至其帐户。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eastAsia="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cs="宋体"/>
                <w:b/>
                <w:bCs/>
                <w:color w:val="auto"/>
                <w:kern w:val="0"/>
                <w:sz w:val="21"/>
                <w:szCs w:val="21"/>
                <w:highlight w:val="none"/>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26"/>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投标人中标后在领取成交通知书前缴纳中标（成交）价1.5%的采购代理服务费</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216158625"/>
      <w:bookmarkStart w:id="14" w:name="_Toc363199266"/>
      <w:bookmarkStart w:id="15" w:name="_Toc438648662"/>
      <w:bookmarkStart w:id="16" w:name="_Toc12806"/>
      <w:r>
        <w:rPr>
          <w:rFonts w:hint="eastAsia"/>
          <w:color w:val="auto"/>
          <w:sz w:val="24"/>
          <w:szCs w:val="24"/>
          <w:lang w:eastAsia="zh-CN"/>
        </w:rPr>
        <w:t>详见询价公告</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纪检监察室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5"/>
        <w:rPr>
          <w:rFonts w:hint="eastAsia"/>
          <w:color w:val="auto"/>
        </w:rPr>
      </w:pPr>
    </w:p>
    <w:bookmarkEnd w:id="11"/>
    <w:bookmarkEnd w:id="12"/>
    <w:p>
      <w:pPr>
        <w:pStyle w:val="2"/>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2" w:firstLineChars="200"/>
        <w:rPr>
          <w:rFonts w:ascii="宋体" w:hAnsi="宋体"/>
          <w:b/>
          <w:bCs/>
          <w:color w:val="auto"/>
          <w:szCs w:val="21"/>
        </w:rPr>
      </w:pPr>
      <w:r>
        <w:rPr>
          <w:rFonts w:hint="eastAsia" w:ascii="宋体" w:hAnsi="宋体"/>
          <w:b/>
          <w:bCs/>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471299095"/>
      <w:bookmarkStart w:id="27" w:name="_Toc382"/>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2"/>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8300_WPSOffice_Level1"/>
      <w:bookmarkStart w:id="33" w:name="_Toc25805"/>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5"/>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0"/>
        </w:numPr>
        <w:jc w:val="center"/>
        <w:outlineLvl w:val="0"/>
        <w:rPr>
          <w:rFonts w:hint="eastAsia" w:ascii="宋体" w:hAnsi="宋体" w:eastAsia="宋体" w:cs="宋体"/>
          <w:b/>
          <w:bCs w:val="0"/>
          <w:sz w:val="36"/>
          <w:szCs w:val="36"/>
          <w:lang w:eastAsia="zh-CN"/>
        </w:rPr>
      </w:pPr>
      <w:r>
        <w:rPr>
          <w:rFonts w:hint="eastAsia" w:ascii="宋体" w:hAnsi="宋体" w:cs="宋体"/>
          <w:b/>
          <w:bCs w:val="0"/>
          <w:sz w:val="36"/>
          <w:szCs w:val="36"/>
          <w:lang w:val="en-US" w:eastAsia="zh-CN"/>
        </w:rPr>
        <w:t>四、</w:t>
      </w:r>
      <w:r>
        <w:rPr>
          <w:rFonts w:hint="eastAsia" w:ascii="宋体" w:hAnsi="宋体" w:eastAsia="宋体" w:cs="宋体"/>
          <w:b/>
          <w:bCs w:val="0"/>
          <w:sz w:val="36"/>
          <w:szCs w:val="36"/>
          <w:lang w:eastAsia="zh-CN"/>
        </w:rPr>
        <w:t>采购需求</w:t>
      </w:r>
    </w:p>
    <w:p>
      <w:pPr>
        <w:ind w:firstLine="0" w:firstLineChars="0"/>
        <w:rPr>
          <w:rFonts w:hint="default"/>
          <w:highlight w:val="none"/>
          <w:lang w:val="en-US" w:eastAsia="zh-CN"/>
        </w:rPr>
      </w:pPr>
      <w:r>
        <w:rPr>
          <w:rFonts w:hint="eastAsia"/>
          <w:highlight w:val="none"/>
          <w:lang w:val="en-US" w:eastAsia="zh-CN"/>
        </w:rPr>
        <w:t>1、金属构件刷防火涂料：7881㎡</w:t>
      </w:r>
    </w:p>
    <w:p>
      <w:pPr>
        <w:ind w:firstLine="0" w:firstLineChars="0"/>
        <w:rPr>
          <w:rFonts w:hint="default"/>
          <w:lang w:val="en-US" w:eastAsia="zh-CN"/>
        </w:rPr>
      </w:pPr>
      <w:r>
        <w:rPr>
          <w:rFonts w:hint="eastAsia"/>
          <w:highlight w:val="none"/>
          <w:lang w:val="en-US" w:eastAsia="zh-CN"/>
        </w:rPr>
        <w:t>标准：1、满足图纸设计标准；</w:t>
      </w:r>
    </w:p>
    <w:p>
      <w:pPr>
        <w:ind w:firstLine="0" w:firstLineChars="0"/>
        <w:rPr>
          <w:rFonts w:hint="default"/>
          <w:highlight w:val="none"/>
          <w:lang w:val="en-US" w:eastAsia="zh-CN"/>
        </w:rPr>
      </w:pPr>
      <w:r>
        <w:rPr>
          <w:rFonts w:hint="eastAsia"/>
          <w:highlight w:val="none"/>
          <w:lang w:val="en-US" w:eastAsia="zh-CN"/>
        </w:rPr>
        <w:t>2、满足规范要求；</w:t>
      </w:r>
    </w:p>
    <w:p>
      <w:pPr>
        <w:ind w:firstLine="0" w:firstLineChars="0"/>
        <w:rPr>
          <w:rFonts w:hint="default"/>
          <w:highlight w:val="none"/>
          <w:lang w:val="en-US" w:eastAsia="zh-CN"/>
        </w:rPr>
      </w:pPr>
      <w:r>
        <w:rPr>
          <w:rFonts w:hint="eastAsia"/>
          <w:highlight w:val="none"/>
          <w:lang w:val="en-US" w:eastAsia="zh-CN"/>
        </w:rPr>
        <w:t>3、保证验收合格，报价含各类检测费用；</w:t>
      </w:r>
    </w:p>
    <w:p>
      <w:pPr>
        <w:ind w:firstLine="0" w:firstLineChars="0"/>
        <w:rPr>
          <w:rFonts w:hint="eastAsia"/>
          <w:highlight w:val="none"/>
          <w:lang w:val="en-US" w:eastAsia="zh-CN"/>
        </w:rPr>
      </w:pPr>
      <w:r>
        <w:rPr>
          <w:rFonts w:hint="eastAsia"/>
          <w:highlight w:val="none"/>
          <w:lang w:val="en-US" w:eastAsia="zh-CN"/>
        </w:rPr>
        <w:t>4、报价不含税，发票在合同中另行约定。</w:t>
      </w:r>
    </w:p>
    <w:p>
      <w:pPr>
        <w:ind w:firstLine="0" w:firstLineChars="0"/>
        <w:rPr>
          <w:rFonts w:hint="eastAsia"/>
          <w:highlight w:val="none"/>
          <w:lang w:val="en-US" w:eastAsia="zh-CN"/>
        </w:rPr>
      </w:pPr>
      <w:r>
        <w:rPr>
          <w:rFonts w:hint="eastAsia"/>
          <w:highlight w:val="none"/>
          <w:lang w:val="en-US" w:eastAsia="zh-CN"/>
        </w:rPr>
        <w:t>本工程的耐火等级为二级，耐火极限:柱:2.5小时,屋面梁:1.5小时。钢结构节点的防火保护 应与被连接构件中防火保护要求最高者相同。防火要求需满足建筑施工图的要求并严格遵守,&lt;&lt;建筑 设计防火规范&gt;&gt;(GB50016-2014)和&lt;&lt;建筑钢结构防火技术规范&gt;&gt;(GB51249-2017) 的规定。防火涂料的性能、涂层厚度及质量要求应符合《钢结构防火涂料应用技术规范》(CECS24:90).《钢结构防火涂料》(GB14907-2018)的规定。柱采用非膨胀型防火涂料， 防火涂料厚度不小于15mm;梁采用非膨胀型防火涂料,防火涂料厚度不小于25mm,钢结构防火保护层需满足《建筑钢结构防火技术规范&gt;(GB51249-2017)相关构造要求。所选用的钢结构防火涂料与防锈蚀油漆(涂料)之间应进行相容性试验，试验合格后方可 使用。在投入运营后的使用过程中,应对建筑结构进行正常的维护，包括必要的检测、防护及维修,重要 外露部位涂装每5年检查一次。</w:t>
      </w:r>
    </w:p>
    <w:p>
      <w:pPr>
        <w:ind w:firstLine="0" w:firstLineChars="0"/>
        <w:rPr>
          <w:rFonts w:hint="eastAsia"/>
          <w:highlight w:val="none"/>
          <w:lang w:val="en-US" w:eastAsia="zh-CN"/>
        </w:rPr>
      </w:pPr>
      <w:r>
        <w:rPr>
          <w:rFonts w:hint="eastAsia"/>
          <w:highlight w:val="none"/>
          <w:lang w:val="en-US" w:eastAsia="zh-CN"/>
        </w:rPr>
        <w:t>除锈：钢构件在制作完成后应进行喷砂(或抛丸)除锈处理除锈质量等级要求达到(GB8923-2011)中的Sa2.5 级标准。</w:t>
      </w:r>
    </w:p>
    <w:p>
      <w:pPr>
        <w:ind w:firstLine="0" w:firstLineChars="0"/>
        <w:rPr>
          <w:rFonts w:hint="eastAsia"/>
          <w:highlight w:val="none"/>
          <w:lang w:val="en-US" w:eastAsia="zh-CN"/>
        </w:rPr>
      </w:pPr>
      <w:r>
        <w:rPr>
          <w:rFonts w:hint="eastAsia"/>
          <w:highlight w:val="none"/>
          <w:lang w:val="en-US" w:eastAsia="zh-CN"/>
        </w:rPr>
        <w:t>油漆:钢构件在喷砂(或抛丸)除锈后,应立即刷防锈漆其材料和厚度见建施涂层干漆膜总厚度:室内≥125um, 室外≥150um。钢结构在使用过程中应定期进行油漆、维护、冷弯薄壁型钢檩条和墙梁若采用热侵镀锌，其镀锌 量不宜小于275g/m²。</w:t>
      </w:r>
    </w:p>
    <w:p>
      <w:pPr>
        <w:pStyle w:val="27"/>
        <w:spacing w:before="0" w:after="0" w:line="500" w:lineRule="exact"/>
        <w:jc w:val="both"/>
        <w:outlineLvl w:val="9"/>
        <w:rPr>
          <w:rFonts w:cs="宋体"/>
          <w:color w:val="000000"/>
        </w:rPr>
      </w:pPr>
      <w:r>
        <w:rPr>
          <w:rFonts w:hint="eastAsia"/>
          <w:szCs w:val="21"/>
        </w:rPr>
        <w:t>备注</w:t>
      </w:r>
      <w:r>
        <w:rPr>
          <w:rFonts w:hint="eastAsia" w:cs="宋体"/>
          <w:color w:val="000000"/>
        </w:rPr>
        <w:t>：</w:t>
      </w:r>
      <w:r>
        <w:rPr>
          <w:rFonts w:hint="eastAsia" w:cs="宋体"/>
          <w:color w:val="000000"/>
          <w:lang w:val="en-US" w:eastAsia="zh-CN"/>
        </w:rPr>
        <w:t>1、采购</w:t>
      </w:r>
      <w:r>
        <w:rPr>
          <w:rFonts w:hint="eastAsia" w:cs="宋体"/>
          <w:color w:val="000000"/>
        </w:rPr>
        <w:t>需求如有参考品牌，仅作为说明，没有限制性，投标人在投标中可以选用替代标准，但这些替代标准要优于或相当于采购单位要求的标准并提供证明材料，以满足采购人的需要。</w:t>
      </w:r>
    </w:p>
    <w:p>
      <w:pPr>
        <w:pStyle w:val="27"/>
        <w:spacing w:before="0" w:after="0" w:line="500" w:lineRule="exact"/>
        <w:jc w:val="both"/>
        <w:outlineLvl w:val="9"/>
        <w:rPr>
          <w:rFonts w:hint="eastAsia" w:eastAsia="宋体"/>
          <w:szCs w:val="21"/>
          <w:lang w:eastAsia="zh-CN"/>
        </w:rPr>
      </w:pPr>
      <w:r>
        <w:rPr>
          <w:rFonts w:hint="eastAsia"/>
          <w:szCs w:val="21"/>
          <w:lang w:val="en-US" w:eastAsia="zh-CN"/>
        </w:rPr>
        <w:t>2</w:t>
      </w:r>
      <w:r>
        <w:rPr>
          <w:rFonts w:hint="eastAsia"/>
          <w:szCs w:val="21"/>
        </w:rPr>
        <w:t>、本项目报价采用“总价报价”，响应报价应含有所投服务的税费（如关税、进口服务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r>
        <w:rPr>
          <w:rFonts w:hint="eastAsia"/>
          <w:szCs w:val="21"/>
          <w:lang w:eastAsia="zh-CN"/>
        </w:rPr>
        <w:t>。</w:t>
      </w: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37" w:name="_Toc4288_WPSOffice_Level1"/>
      <w:bookmarkStart w:id="38" w:name="_Toc11297"/>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6"/>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7"/>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w:t>
            </w:r>
            <w:r>
              <w:rPr>
                <w:rFonts w:hint="eastAsia" w:ascii="宋体" w:hAnsi="宋体" w:cs="宋体"/>
                <w:b/>
                <w:color w:val="auto"/>
                <w:sz w:val="21"/>
                <w:szCs w:val="21"/>
                <w:lang w:val="en-US" w:eastAsia="zh-CN"/>
              </w:rPr>
              <w:t>等</w:t>
            </w:r>
            <w:r>
              <w:rPr>
                <w:rFonts w:hint="eastAsia" w:ascii="宋体" w:hAnsi="宋体" w:cs="宋体"/>
                <w:b/>
                <w:color w:val="auto"/>
                <w:sz w:val="21"/>
                <w:szCs w:val="21"/>
                <w:lang w:eastAsia="zh-CN"/>
              </w:rPr>
              <w:t>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15"/>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4" w:name="_Toc31656"/>
      <w:bookmarkStart w:id="55" w:name="_Toc471299104"/>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148501698"/>
      <w:bookmarkStart w:id="60" w:name="_Toc516969098"/>
      <w:bookmarkStart w:id="61" w:name="_Toc3858_WPSOffice_Level1"/>
      <w:r>
        <w:rPr>
          <w:rFonts w:hint="eastAsia"/>
          <w:b/>
          <w:bCs/>
          <w:color w:val="auto"/>
          <w:sz w:val="28"/>
          <w:szCs w:val="28"/>
        </w:rPr>
        <w:t>响应函</w:t>
      </w:r>
      <w:bookmarkEnd w:id="59"/>
      <w:bookmarkEnd w:id="60"/>
      <w:bookmarkEnd w:id="61"/>
    </w:p>
    <w:p>
      <w:pPr>
        <w:pStyle w:val="11"/>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4"/>
        <w:adjustRightInd w:val="0"/>
        <w:snapToGrid w:val="0"/>
        <w:spacing w:before="0" w:after="0" w:line="360" w:lineRule="exact"/>
        <w:rPr>
          <w:rFonts w:hint="eastAsia" w:ascii="宋体" w:hAnsi="宋体" w:eastAsia="宋体" w:cs="宋体"/>
          <w:color w:val="auto"/>
          <w:sz w:val="21"/>
          <w:szCs w:val="21"/>
          <w:lang w:eastAsia="zh-CN"/>
        </w:rPr>
      </w:pPr>
      <w:bookmarkStart w:id="62" w:name="_Toc417045478"/>
      <w:bookmarkStart w:id="63" w:name="_Toc30711"/>
      <w:bookmarkStart w:id="64" w:name="_Toc471299106"/>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7"/>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w:t>
      </w:r>
      <w:r>
        <w:rPr>
          <w:rFonts w:hint="eastAsia" w:ascii="宋体" w:hAnsi="宋体"/>
          <w:b/>
          <w:bCs/>
          <w:color w:val="auto"/>
          <w:sz w:val="21"/>
          <w:szCs w:val="21"/>
          <w:lang w:eastAsia="zh-CN"/>
        </w:rPr>
        <w:t>供货</w:t>
      </w:r>
      <w:r>
        <w:rPr>
          <w:rFonts w:hint="eastAsia" w:ascii="宋体" w:hAnsi="宋体"/>
          <w:b/>
          <w:bCs/>
          <w:color w:val="auto"/>
          <w:sz w:val="21"/>
          <w:szCs w:val="21"/>
        </w:rPr>
        <w:t>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27567"/>
      <w:bookmarkStart w:id="72" w:name="_Toc471299110"/>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15"/>
        <w:rPr>
          <w:rFonts w:hint="eastAsia"/>
        </w:rPr>
      </w:pP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1"/>
      <w:bookmarkEnd w:id="72"/>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3"/>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3"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3"/>
    </w:p>
    <w:tbl>
      <w:tblPr>
        <w:tblStyle w:val="17"/>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5"/>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tabs>
                <w:tab w:val="left" w:pos="1887"/>
              </w:tabs>
              <w:spacing w:line="440" w:lineRule="exact"/>
              <w:jc w:val="left"/>
              <w:rPr>
                <w:rFonts w:hint="eastAsia" w:ascii="宋体" w:hAnsi="宋体" w:eastAsia="宋体" w:cs="宋体"/>
                <w:b/>
                <w:color w:val="auto"/>
                <w:szCs w:val="21"/>
                <w:lang w:eastAsia="zh-CN"/>
              </w:rPr>
            </w:pPr>
            <w:r>
              <w:rPr>
                <w:rFonts w:hint="eastAsia" w:ascii="宋体" w:hAnsi="宋体" w:cs="宋体"/>
                <w:b/>
                <w:color w:val="auto"/>
                <w:szCs w:val="21"/>
                <w:lang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pStyle w:val="15"/>
        <w:rPr>
          <w:rFonts w:hint="eastAsia" w:ascii="宋体" w:hAnsi="宋体" w:cs="宋体"/>
          <w:color w:val="auto"/>
          <w:szCs w:val="21"/>
        </w:rPr>
      </w:pPr>
    </w:p>
    <w:p>
      <w:pPr>
        <w:numPr>
          <w:ilvl w:val="0"/>
          <w:numId w:val="2"/>
        </w:numPr>
        <w:adjustRightInd w:val="0"/>
        <w:snapToGrid w:val="0"/>
        <w:spacing w:line="320" w:lineRule="auto"/>
        <w:ind w:left="2870" w:leftChars="0" w:firstLine="0" w:firstLineChars="0"/>
        <w:rPr>
          <w:rFonts w:hint="eastAsia"/>
          <w:b/>
          <w:bCs/>
          <w:color w:val="auto"/>
          <w:sz w:val="28"/>
          <w:szCs w:val="28"/>
          <w:lang w:val="en-US"/>
        </w:rPr>
      </w:pPr>
      <w:bookmarkStart w:id="74"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hint="default" w:ascii="宋体" w:hAnsi="宋体" w:cs="Times New Roman"/>
          <w:b/>
          <w:color w:val="auto"/>
          <w:sz w:val="21"/>
          <w:szCs w:val="21"/>
          <w:lang w:val="en-US" w:eastAsia="zh-CN"/>
        </w:rPr>
      </w:pPr>
      <w:r>
        <w:rPr>
          <w:rFonts w:hint="eastAsia" w:ascii="宋体" w:hAnsi="宋体" w:cs="Times New Roman"/>
          <w:b/>
          <w:color w:val="auto"/>
          <w:sz w:val="21"/>
          <w:szCs w:val="21"/>
          <w:lang w:val="en-US" w:eastAsia="zh-CN"/>
        </w:rPr>
        <w:t>格式自拟</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75" w:name="_Toc32017"/>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6" w:name="_Toc12025_WPSOffice_Level1"/>
      <w:r>
        <w:rPr>
          <w:rFonts w:hint="eastAsia"/>
          <w:b/>
          <w:bCs/>
          <w:color w:val="auto"/>
          <w:sz w:val="28"/>
          <w:szCs w:val="28"/>
          <w:lang w:val="zh-CN"/>
        </w:rPr>
        <w:t>供货、安装、售后服务承诺</w:t>
      </w:r>
      <w:bookmarkEnd w:id="7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w:t>
      </w:r>
      <w:r>
        <w:rPr>
          <w:rFonts w:hint="eastAsia" w:ascii="宋体" w:hAnsi="宋体"/>
          <w:b/>
          <w:color w:val="auto"/>
          <w:sz w:val="21"/>
          <w:szCs w:val="21"/>
          <w:lang w:val="en-US" w:eastAsia="zh-CN"/>
        </w:rPr>
        <w:t>拟</w:t>
      </w:r>
      <w:r>
        <w:rPr>
          <w:rFonts w:hint="eastAsia" w:ascii="宋体" w:hAnsi="宋体"/>
          <w:b/>
          <w:color w:val="auto"/>
          <w:sz w:val="21"/>
          <w:szCs w:val="21"/>
        </w:rPr>
        <w:t>）</w:t>
      </w:r>
    </w:p>
    <w:p>
      <w:pPr>
        <w:pStyle w:val="4"/>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7" w:name="_Toc27705"/>
      <w:r>
        <w:rPr>
          <w:rFonts w:hint="eastAsia" w:ascii="宋体" w:hAnsi="宋体" w:eastAsia="宋体" w:cs="宋体"/>
          <w:color w:val="auto"/>
          <w:sz w:val="21"/>
          <w:szCs w:val="21"/>
        </w:rPr>
        <w:t>附件</w:t>
      </w:r>
      <w:bookmarkEnd w:id="77"/>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8" w:name="_Toc1950_WPSOffice_Level1"/>
      <w:r>
        <w:rPr>
          <w:rFonts w:hint="eastAsia"/>
          <w:b/>
          <w:bCs/>
          <w:color w:val="auto"/>
          <w:sz w:val="28"/>
          <w:szCs w:val="28"/>
          <w:lang w:val="zh-CN"/>
        </w:rPr>
        <w:t>询价文件要求和供应商认为需要提供的其它说明和资料</w:t>
      </w:r>
      <w:bookmarkEnd w:id="78"/>
    </w:p>
    <w:p>
      <w:pPr>
        <w:jc w:val="both"/>
        <w:rPr>
          <w:rFonts w:hint="eastAsia" w:ascii="宋体" w:hAnsi="宋体" w:cs="宋体"/>
          <w:b/>
          <w:bCs/>
          <w:color w:val="auto"/>
          <w:sz w:val="32"/>
          <w:szCs w:val="32"/>
        </w:rPr>
      </w:pPr>
      <w:bookmarkStart w:id="79" w:name="_Toc3085"/>
      <w:bookmarkStart w:id="80"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79"/>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0"/>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1" w:name="_Toc10947_WPSOffice_Level1"/>
      <w:r>
        <w:rPr>
          <w:rFonts w:hint="eastAsia" w:ascii="宋体" w:hAnsi="宋体" w:cs="宋体"/>
          <w:b/>
          <w:bCs/>
          <w:color w:val="auto"/>
          <w:sz w:val="24"/>
        </w:rPr>
        <w:t>注：</w:t>
      </w:r>
      <w:bookmarkEnd w:id="81"/>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2" w:name="_Toc27363_WPSOffice_Level1"/>
      <w:r>
        <w:rPr>
          <w:rFonts w:hint="eastAsia" w:ascii="宋体" w:hAnsi="宋体" w:cs="宋体"/>
          <w:b/>
          <w:bCs/>
          <w:color w:val="auto"/>
          <w:sz w:val="24"/>
        </w:rPr>
        <w:t>注：</w:t>
      </w:r>
      <w:bookmarkEnd w:id="82"/>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3" w:name="_Toc13534_WPSOffice_Level1"/>
      <w:r>
        <w:rPr>
          <w:rFonts w:hint="eastAsia" w:ascii="宋体" w:hAnsi="宋体" w:cs="宋体"/>
          <w:b/>
          <w:bCs/>
          <w:color w:val="auto"/>
          <w:sz w:val="24"/>
        </w:rPr>
        <w:t>注：</w:t>
      </w:r>
      <w:bookmarkEnd w:id="83"/>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4"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85" w:name="_Toc11536"/>
      <w:r>
        <w:rPr>
          <w:rFonts w:hint="eastAsia" w:ascii="宋体" w:hAnsi="宋体"/>
          <w:b/>
          <w:color w:val="auto"/>
          <w:sz w:val="24"/>
          <w:szCs w:val="28"/>
          <w:lang w:val="en-US" w:eastAsia="zh-CN"/>
        </w:rPr>
        <w:t>附件十</w:t>
      </w:r>
      <w:bookmarkEnd w:id="85"/>
    </w:p>
    <w:p>
      <w:pPr>
        <w:pStyle w:val="7"/>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7"/>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p>
      <w:pPr>
        <w:pStyle w:val="15"/>
        <w:rPr>
          <w:rFonts w:hint="eastAsia" w:ascii="宋体" w:hAnsi="宋体" w:cs="宋体"/>
          <w:b/>
          <w:bCs/>
          <w:color w:val="auto"/>
          <w:sz w:val="24"/>
          <w:szCs w:val="24"/>
        </w:rPr>
      </w:pPr>
    </w:p>
    <w:bookmarkEnd w:id="84"/>
    <w:p>
      <w:pPr>
        <w:pStyle w:val="15"/>
        <w:rPr>
          <w:rFonts w:hint="eastAsia" w:ascii="宋体" w:hAnsi="宋体" w:cs="宋体"/>
          <w:b/>
          <w:bCs/>
          <w:color w:val="auto"/>
          <w:sz w:val="24"/>
          <w:szCs w:val="24"/>
          <w:lang w:val="en-US" w:eastAsia="zh-CN"/>
        </w:rPr>
      </w:pPr>
    </w:p>
    <w:sectPr>
      <w:headerReference r:id="rId3" w:type="default"/>
      <w:footerReference r:id="rId4" w:type="default"/>
      <w:pgSz w:w="11906" w:h="16838"/>
      <w:pgMar w:top="340" w:right="1304" w:bottom="510" w:left="1304"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both"/>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霍山县殡仪馆项目防火涂料采购询价文件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47038572"/>
    <w:multiLevelType w:val="singleLevel"/>
    <w:tmpl w:val="47038572"/>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054F0F"/>
    <w:rsid w:val="00292389"/>
    <w:rsid w:val="00847D88"/>
    <w:rsid w:val="00B17BC8"/>
    <w:rsid w:val="00EE7082"/>
    <w:rsid w:val="01192176"/>
    <w:rsid w:val="01F26B1D"/>
    <w:rsid w:val="02110443"/>
    <w:rsid w:val="02AA1EE6"/>
    <w:rsid w:val="02DA23F5"/>
    <w:rsid w:val="03150F8F"/>
    <w:rsid w:val="059C0CBD"/>
    <w:rsid w:val="0644344B"/>
    <w:rsid w:val="065734CB"/>
    <w:rsid w:val="066160FD"/>
    <w:rsid w:val="066C0586"/>
    <w:rsid w:val="06BE48F4"/>
    <w:rsid w:val="07500CD8"/>
    <w:rsid w:val="079312DB"/>
    <w:rsid w:val="0866244B"/>
    <w:rsid w:val="093A26C2"/>
    <w:rsid w:val="09F429FB"/>
    <w:rsid w:val="0A967446"/>
    <w:rsid w:val="0AC074BD"/>
    <w:rsid w:val="0ADA7309"/>
    <w:rsid w:val="0B1141CA"/>
    <w:rsid w:val="0C10618A"/>
    <w:rsid w:val="0C8B3F0F"/>
    <w:rsid w:val="0CC40B35"/>
    <w:rsid w:val="0D4A538B"/>
    <w:rsid w:val="0E7B6D74"/>
    <w:rsid w:val="10076277"/>
    <w:rsid w:val="114F4A52"/>
    <w:rsid w:val="11BF6D6D"/>
    <w:rsid w:val="12DB7ED5"/>
    <w:rsid w:val="13592465"/>
    <w:rsid w:val="13A46455"/>
    <w:rsid w:val="1414601F"/>
    <w:rsid w:val="147737A7"/>
    <w:rsid w:val="14827BCA"/>
    <w:rsid w:val="15081ED3"/>
    <w:rsid w:val="159267B6"/>
    <w:rsid w:val="161D1882"/>
    <w:rsid w:val="16775F78"/>
    <w:rsid w:val="16C41FE1"/>
    <w:rsid w:val="16E90795"/>
    <w:rsid w:val="17270529"/>
    <w:rsid w:val="174F1F7C"/>
    <w:rsid w:val="177625F2"/>
    <w:rsid w:val="18B06CB8"/>
    <w:rsid w:val="18FB5F6E"/>
    <w:rsid w:val="190E38EF"/>
    <w:rsid w:val="1A1D00D5"/>
    <w:rsid w:val="1A331B52"/>
    <w:rsid w:val="1B032884"/>
    <w:rsid w:val="1BD82076"/>
    <w:rsid w:val="1C230B2D"/>
    <w:rsid w:val="1C996F6B"/>
    <w:rsid w:val="1D217AE8"/>
    <w:rsid w:val="1DC0444F"/>
    <w:rsid w:val="1DCD1F7C"/>
    <w:rsid w:val="20913300"/>
    <w:rsid w:val="215167E4"/>
    <w:rsid w:val="2184296A"/>
    <w:rsid w:val="221B322D"/>
    <w:rsid w:val="228E0FE7"/>
    <w:rsid w:val="234A74A5"/>
    <w:rsid w:val="236F4165"/>
    <w:rsid w:val="249C4D10"/>
    <w:rsid w:val="25656A25"/>
    <w:rsid w:val="25991012"/>
    <w:rsid w:val="260D2BCC"/>
    <w:rsid w:val="2756117E"/>
    <w:rsid w:val="279F5F46"/>
    <w:rsid w:val="284061F5"/>
    <w:rsid w:val="28B95567"/>
    <w:rsid w:val="28E47E35"/>
    <w:rsid w:val="2A1E6F33"/>
    <w:rsid w:val="2A6E185F"/>
    <w:rsid w:val="2A8225BF"/>
    <w:rsid w:val="2A987BB9"/>
    <w:rsid w:val="2B0418BF"/>
    <w:rsid w:val="2B1C14C3"/>
    <w:rsid w:val="2D254D25"/>
    <w:rsid w:val="2DD57ECD"/>
    <w:rsid w:val="2DE8773B"/>
    <w:rsid w:val="2ED0237B"/>
    <w:rsid w:val="2ED51A6E"/>
    <w:rsid w:val="2F1C57A5"/>
    <w:rsid w:val="2FA7707A"/>
    <w:rsid w:val="30091271"/>
    <w:rsid w:val="30615D2A"/>
    <w:rsid w:val="30B71E6E"/>
    <w:rsid w:val="31523946"/>
    <w:rsid w:val="31F9233C"/>
    <w:rsid w:val="32661595"/>
    <w:rsid w:val="329D6397"/>
    <w:rsid w:val="330D6D9F"/>
    <w:rsid w:val="33357FED"/>
    <w:rsid w:val="33FD232F"/>
    <w:rsid w:val="340E6C58"/>
    <w:rsid w:val="34D536C4"/>
    <w:rsid w:val="358F69A2"/>
    <w:rsid w:val="3807739A"/>
    <w:rsid w:val="38417B13"/>
    <w:rsid w:val="38B45EFC"/>
    <w:rsid w:val="38D036A4"/>
    <w:rsid w:val="39792C93"/>
    <w:rsid w:val="3A51262A"/>
    <w:rsid w:val="3AE97D6B"/>
    <w:rsid w:val="3B3373D3"/>
    <w:rsid w:val="3B8E3C6C"/>
    <w:rsid w:val="3B916C73"/>
    <w:rsid w:val="3C1C5FDB"/>
    <w:rsid w:val="3C967255"/>
    <w:rsid w:val="3D311109"/>
    <w:rsid w:val="3D457CC8"/>
    <w:rsid w:val="3D5C50E1"/>
    <w:rsid w:val="3E046DF3"/>
    <w:rsid w:val="3E9966C5"/>
    <w:rsid w:val="3E9D780F"/>
    <w:rsid w:val="3EFC281D"/>
    <w:rsid w:val="3FE111C3"/>
    <w:rsid w:val="401254B3"/>
    <w:rsid w:val="403A00B5"/>
    <w:rsid w:val="40B4502A"/>
    <w:rsid w:val="41DD49C0"/>
    <w:rsid w:val="431D644D"/>
    <w:rsid w:val="440B29AB"/>
    <w:rsid w:val="44A83992"/>
    <w:rsid w:val="45FC1F89"/>
    <w:rsid w:val="46447AD0"/>
    <w:rsid w:val="4667667C"/>
    <w:rsid w:val="46FE1966"/>
    <w:rsid w:val="47AD1197"/>
    <w:rsid w:val="47ED349E"/>
    <w:rsid w:val="48D30C8F"/>
    <w:rsid w:val="48F93679"/>
    <w:rsid w:val="493E0515"/>
    <w:rsid w:val="49665DCB"/>
    <w:rsid w:val="49974E74"/>
    <w:rsid w:val="4A4D2829"/>
    <w:rsid w:val="4A5B2D63"/>
    <w:rsid w:val="4C270C82"/>
    <w:rsid w:val="4C4245DC"/>
    <w:rsid w:val="4C5E1800"/>
    <w:rsid w:val="4CB17C6F"/>
    <w:rsid w:val="4D18297E"/>
    <w:rsid w:val="4D757618"/>
    <w:rsid w:val="4F9010E9"/>
    <w:rsid w:val="502A411D"/>
    <w:rsid w:val="50345C2D"/>
    <w:rsid w:val="50462C06"/>
    <w:rsid w:val="51373F3D"/>
    <w:rsid w:val="52FD3DBE"/>
    <w:rsid w:val="533C61CC"/>
    <w:rsid w:val="54A309A3"/>
    <w:rsid w:val="54B56A54"/>
    <w:rsid w:val="558001AF"/>
    <w:rsid w:val="55FB7588"/>
    <w:rsid w:val="56893B64"/>
    <w:rsid w:val="57090B9A"/>
    <w:rsid w:val="57562B24"/>
    <w:rsid w:val="581B40F7"/>
    <w:rsid w:val="58565344"/>
    <w:rsid w:val="58695F8B"/>
    <w:rsid w:val="589543F5"/>
    <w:rsid w:val="5B292F3B"/>
    <w:rsid w:val="5BA07BB6"/>
    <w:rsid w:val="5BBE35F6"/>
    <w:rsid w:val="5C332953"/>
    <w:rsid w:val="5C3E5A4E"/>
    <w:rsid w:val="5D273630"/>
    <w:rsid w:val="5D3D0559"/>
    <w:rsid w:val="5D603CFB"/>
    <w:rsid w:val="5D671E9D"/>
    <w:rsid w:val="5DE02191"/>
    <w:rsid w:val="5EA340E1"/>
    <w:rsid w:val="5EB3743D"/>
    <w:rsid w:val="5EFB6C0F"/>
    <w:rsid w:val="5F2B66BC"/>
    <w:rsid w:val="617971DA"/>
    <w:rsid w:val="618D0E1A"/>
    <w:rsid w:val="619C1CA6"/>
    <w:rsid w:val="61BC6A28"/>
    <w:rsid w:val="629D1B22"/>
    <w:rsid w:val="63637DD7"/>
    <w:rsid w:val="639C65AB"/>
    <w:rsid w:val="63CE30A4"/>
    <w:rsid w:val="63D95405"/>
    <w:rsid w:val="65303D89"/>
    <w:rsid w:val="65502555"/>
    <w:rsid w:val="65771F5A"/>
    <w:rsid w:val="65DD5263"/>
    <w:rsid w:val="66514E0D"/>
    <w:rsid w:val="665D16BD"/>
    <w:rsid w:val="66F918C9"/>
    <w:rsid w:val="67752D5E"/>
    <w:rsid w:val="678154B0"/>
    <w:rsid w:val="68560087"/>
    <w:rsid w:val="68BA3798"/>
    <w:rsid w:val="690D0368"/>
    <w:rsid w:val="692B5E99"/>
    <w:rsid w:val="6A3D2C3A"/>
    <w:rsid w:val="6A47529D"/>
    <w:rsid w:val="6AF61310"/>
    <w:rsid w:val="6B225547"/>
    <w:rsid w:val="6B413A50"/>
    <w:rsid w:val="6B7E3D4B"/>
    <w:rsid w:val="6BE819A4"/>
    <w:rsid w:val="6C0040EC"/>
    <w:rsid w:val="6C640C01"/>
    <w:rsid w:val="6CD771B7"/>
    <w:rsid w:val="6DA52666"/>
    <w:rsid w:val="6DB0368A"/>
    <w:rsid w:val="6F5632F9"/>
    <w:rsid w:val="6FB45A58"/>
    <w:rsid w:val="713F398C"/>
    <w:rsid w:val="7274586D"/>
    <w:rsid w:val="72996D21"/>
    <w:rsid w:val="73D81B5D"/>
    <w:rsid w:val="74AF20C2"/>
    <w:rsid w:val="76170072"/>
    <w:rsid w:val="76F37B80"/>
    <w:rsid w:val="78205544"/>
    <w:rsid w:val="78397A44"/>
    <w:rsid w:val="789C2226"/>
    <w:rsid w:val="78F92F7D"/>
    <w:rsid w:val="79F628A4"/>
    <w:rsid w:val="7A1A522E"/>
    <w:rsid w:val="7A41734A"/>
    <w:rsid w:val="7A686D7F"/>
    <w:rsid w:val="7A9645DE"/>
    <w:rsid w:val="7B1A67D5"/>
    <w:rsid w:val="7B262178"/>
    <w:rsid w:val="7C286A29"/>
    <w:rsid w:val="7D196BB9"/>
    <w:rsid w:val="7D6A6C42"/>
    <w:rsid w:val="7E456548"/>
    <w:rsid w:val="7EF1633B"/>
    <w:rsid w:val="7FF96A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2">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utoSpaceDE/>
      <w:autoSpaceDN/>
      <w:adjustRightInd/>
      <w:ind w:firstLine="420"/>
    </w:pPr>
    <w:rPr>
      <w:color w:val="auto"/>
      <w:kern w:val="2"/>
      <w:szCs w:val="20"/>
    </w:rPr>
  </w:style>
  <w:style w:type="paragraph" w:styleId="6">
    <w:name w:val="Body Text"/>
    <w:basedOn w:val="1"/>
    <w:next w:val="7"/>
    <w:qFormat/>
    <w:uiPriority w:val="99"/>
    <w:pPr>
      <w:spacing w:after="120"/>
    </w:pPr>
    <w:rPr>
      <w:szCs w:val="24"/>
    </w:rPr>
  </w:style>
  <w:style w:type="paragraph" w:customStyle="1" w:styleId="7">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Body Text Indent"/>
    <w:basedOn w:val="1"/>
    <w:next w:val="9"/>
    <w:unhideWhenUsed/>
    <w:qFormat/>
    <w:uiPriority w:val="0"/>
    <w:pPr>
      <w:ind w:left="420" w:leftChars="200"/>
    </w:pPr>
  </w:style>
  <w:style w:type="paragraph" w:styleId="9">
    <w:name w:val="envelope return"/>
    <w:basedOn w:val="1"/>
    <w:unhideWhenUsed/>
    <w:qFormat/>
    <w:uiPriority w:val="99"/>
    <w:pPr>
      <w:snapToGrid w:val="0"/>
      <w:spacing w:line="360" w:lineRule="auto"/>
    </w:pPr>
    <w:rPr>
      <w:rFonts w:ascii="Arial" w:hAnsi="Arial" w:cs="Arial"/>
    </w:rPr>
  </w:style>
  <w:style w:type="paragraph" w:styleId="10">
    <w:name w:val="Plain Text"/>
    <w:basedOn w:val="1"/>
    <w:qFormat/>
    <w:uiPriority w:val="99"/>
    <w:rPr>
      <w:rFonts w:ascii="宋体" w:hAnsi="Courier New"/>
      <w:szCs w:val="22"/>
    </w:rPr>
  </w:style>
  <w:style w:type="paragraph" w:styleId="11">
    <w:name w:val="Date"/>
    <w:basedOn w:val="1"/>
    <w:next w:val="1"/>
    <w:qFormat/>
    <w:uiPriority w:val="99"/>
    <w:rPr>
      <w:rFonts w:ascii="Arial" w:hAnsi="Arial" w:eastAsia="楷体_GB2312"/>
      <w:sz w:val="28"/>
    </w:rPr>
  </w:style>
  <w:style w:type="paragraph" w:styleId="12">
    <w:name w:val="footer"/>
    <w:basedOn w:val="1"/>
    <w:qFormat/>
    <w:uiPriority w:val="99"/>
    <w:pPr>
      <w:tabs>
        <w:tab w:val="center" w:pos="4153"/>
        <w:tab w:val="right" w:pos="8306"/>
      </w:tabs>
      <w:snapToGrid w:val="0"/>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Body Text First Indent"/>
    <w:basedOn w:val="6"/>
    <w:qFormat/>
    <w:uiPriority w:val="0"/>
    <w:pPr>
      <w:spacing w:line="400" w:lineRule="atLeast"/>
      <w:ind w:firstLine="426"/>
    </w:pPr>
    <w:rPr>
      <w:rFonts w:ascii="Times New Roman" w:hAnsi="Times New Roman"/>
      <w:sz w:val="24"/>
      <w:szCs w:val="20"/>
    </w:rPr>
  </w:style>
  <w:style w:type="paragraph" w:styleId="16">
    <w:name w:val="Body Text First Indent 2"/>
    <w:basedOn w:val="8"/>
    <w:qFormat/>
    <w:uiPriority w:val="0"/>
    <w:pPr>
      <w:spacing w:line="360" w:lineRule="auto"/>
      <w:jc w:val="left"/>
    </w:pPr>
    <w:rPr>
      <w:rFonts w:cs="宋体"/>
      <w:sz w:val="28"/>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3"/>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2"/>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19"/>
    <w:link w:val="4"/>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BodyText2"/>
    <w:basedOn w:val="1"/>
    <w:qFormat/>
    <w:uiPriority w:val="0"/>
    <w:rPr>
      <w:rFonts w:ascii="仿宋_GB2312" w:eastAsia="仿宋_GB2312"/>
      <w:b/>
      <w:sz w:val="24"/>
    </w:rPr>
  </w:style>
  <w:style w:type="character" w:customStyle="1" w:styleId="35">
    <w:name w:val="NormalCharacter"/>
    <w:qFormat/>
    <w:uiPriority w:val="0"/>
  </w:style>
  <w:style w:type="paragraph" w:customStyle="1" w:styleId="36">
    <w:name w:val="HtmlNormal"/>
    <w:basedOn w:val="1"/>
    <w:qFormat/>
    <w:uiPriority w:val="0"/>
    <w:pPr>
      <w:jc w:val="left"/>
    </w:pPr>
    <w:rPr>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2021-05-19T02:50:00Z</cp:lastPrinted>
  <dcterms:modified xsi:type="dcterms:W3CDTF">2021-05-19T06:37:54Z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CD0EBA1DAFE3411DB158D897E21EF7AD</vt:lpwstr>
  </property>
</Properties>
</file>