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ind w:left="0" w:leftChars="0" w:firstLine="0" w:firstLineChars="0"/>
        <w:jc w:val="center"/>
        <w:rPr>
          <w:rFonts w:hint="eastAsia" w:ascii="宋体" w:hAnsi="宋体"/>
          <w:b/>
          <w:bCs/>
          <w:color w:val="auto"/>
          <w:sz w:val="52"/>
          <w:szCs w:val="52"/>
          <w:lang w:val="en-US" w:eastAsia="zh-CN"/>
        </w:rPr>
      </w:pPr>
    </w:p>
    <w:p>
      <w:pPr>
        <w:pStyle w:val="17"/>
        <w:ind w:left="0" w:leftChars="0" w:firstLine="0" w:firstLineChars="0"/>
        <w:jc w:val="center"/>
        <w:rPr>
          <w:rFonts w:hint="eastAsia" w:ascii="宋体" w:hAnsi="宋体"/>
          <w:b/>
          <w:bCs/>
          <w:color w:val="auto"/>
          <w:sz w:val="52"/>
          <w:szCs w:val="52"/>
        </w:rPr>
      </w:pPr>
      <w:r>
        <w:rPr>
          <w:rFonts w:hint="eastAsia" w:ascii="宋体" w:hAnsi="宋体"/>
          <w:b/>
          <w:bCs/>
          <w:color w:val="auto"/>
          <w:sz w:val="52"/>
          <w:szCs w:val="52"/>
          <w:lang w:val="en-US" w:eastAsia="zh-CN"/>
        </w:rPr>
        <w:t>政府</w:t>
      </w: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pStyle w:val="17"/>
        <w:ind w:left="0" w:leftChars="0" w:firstLine="0" w:firstLineChars="0"/>
        <w:jc w:val="center"/>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pStyle w:val="17"/>
        <w:ind w:left="0" w:leftChars="0" w:firstLine="0" w:firstLineChars="0"/>
        <w:jc w:val="center"/>
        <w:rPr>
          <w:rFonts w:hint="eastAsia" w:ascii="宋体" w:hAnsi="宋体"/>
          <w:b/>
          <w:bCs/>
          <w:color w:val="auto"/>
          <w:sz w:val="52"/>
          <w:szCs w:val="52"/>
          <w:lang w:eastAsia="zh-CN"/>
        </w:rPr>
      </w:pPr>
    </w:p>
    <w:p>
      <w:pPr>
        <w:pStyle w:val="17"/>
        <w:ind w:left="0" w:leftChars="0" w:firstLine="0" w:firstLineChars="0"/>
        <w:jc w:val="center"/>
        <w:rPr>
          <w:rFonts w:hint="eastAsia" w:ascii="宋体" w:hAnsi="宋体"/>
          <w:b/>
          <w:bCs/>
          <w:color w:val="auto"/>
          <w:sz w:val="52"/>
          <w:szCs w:val="52"/>
          <w:lang w:eastAsia="zh-CN"/>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1647825" cy="9334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rcRect b="3922"/>
                    <a:stretch>
                      <a:fillRect/>
                    </a:stretch>
                  </pic:blipFill>
                  <pic:spPr>
                    <a:xfrm>
                      <a:off x="0" y="0"/>
                      <a:ext cx="1647825" cy="933450"/>
                    </a:xfrm>
                    <a:prstGeom prst="rect">
                      <a:avLst/>
                    </a:prstGeom>
                    <a:noFill/>
                    <a:ln w="9525">
                      <a:noFill/>
                    </a:ln>
                  </pic:spPr>
                </pic:pic>
              </a:graphicData>
            </a:graphic>
          </wp:inline>
        </w:drawing>
      </w:r>
    </w:p>
    <w:p>
      <w:pPr>
        <w:pStyle w:val="17"/>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2"/>
        <w:rPr>
          <w:rFonts w:hint="eastAsia"/>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cs="宋体"/>
          <w:b/>
          <w:color w:val="auto"/>
          <w:spacing w:val="-17"/>
          <w:kern w:val="0"/>
          <w:sz w:val="32"/>
          <w:szCs w:val="32"/>
          <w:lang w:val="en-US" w:eastAsia="zh-CN"/>
        </w:rPr>
        <w:t>霍山县衡山镇人民政府智慧社区系统安全等级保护测评项目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default" w:ascii="宋体" w:hAnsi="宋体" w:cs="宋体"/>
          <w:b/>
          <w:color w:val="auto"/>
          <w:spacing w:val="-17"/>
          <w:kern w:val="0"/>
          <w:sz w:val="32"/>
          <w:szCs w:val="32"/>
          <w:lang w:val="en-US" w:eastAsia="zh-CN"/>
        </w:rPr>
      </w:pPr>
      <w:r>
        <w:rPr>
          <w:rFonts w:hint="eastAsia" w:ascii="宋体" w:hAnsi="等线" w:cs="Times New Roman"/>
          <w:b/>
          <w:bCs/>
          <w:color w:val="auto"/>
          <w:spacing w:val="0"/>
          <w:kern w:val="0"/>
          <w:sz w:val="32"/>
          <w:szCs w:val="32"/>
          <w:lang w:val="en-US" w:eastAsia="zh-CN"/>
        </w:rPr>
        <w:t xml:space="preserve">  </w:t>
      </w: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宋体" w:cs="宋体"/>
          <w:b/>
          <w:color w:val="auto"/>
          <w:spacing w:val="-17"/>
          <w:kern w:val="0"/>
          <w:sz w:val="32"/>
          <w:szCs w:val="32"/>
          <w:lang w:val="en-US" w:eastAsia="zh-CN"/>
        </w:rPr>
        <w:t>DBSCG-2021-062</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采购单位：霍山县衡山镇人民政府</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代理机构：安徽大别山工程咨询有限公司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采购时间：二0二一年</w:t>
      </w:r>
      <w:bookmarkStart w:id="0" w:name="_Toc11428_WPSOffice_Type1"/>
      <w:bookmarkStart w:id="1" w:name="_Toc216158623"/>
      <w:bookmarkStart w:id="2" w:name="_Toc363199264"/>
      <w:r>
        <w:rPr>
          <w:rFonts w:hint="eastAsia" w:ascii="宋体" w:hAnsi="宋体" w:cs="宋体"/>
          <w:b/>
          <w:color w:val="auto"/>
          <w:spacing w:val="-17"/>
          <w:kern w:val="0"/>
          <w:sz w:val="32"/>
          <w:szCs w:val="32"/>
          <w:lang w:val="en-US" w:eastAsia="zh-CN"/>
        </w:rPr>
        <w:t>四月</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w:t>
      </w:r>
      <w:r>
        <w:rPr>
          <w:rFonts w:hint="eastAsia" w:ascii="宋体" w:hAnsi="宋体" w:cs="宋体"/>
          <w:color w:val="000000"/>
          <w:szCs w:val="21"/>
          <w:lang w:eastAsia="zh-CN"/>
        </w:rPr>
        <w:t>供应商</w:t>
      </w:r>
      <w:r>
        <w:rPr>
          <w:rFonts w:hint="eastAsia" w:ascii="宋体" w:hAnsi="宋体" w:eastAsia="宋体" w:cs="宋体"/>
          <w:color w:val="000000"/>
          <w:szCs w:val="21"/>
        </w:rPr>
        <w:t>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w:t>
      </w:r>
      <w:r>
        <w:rPr>
          <w:rFonts w:hint="eastAsia" w:ascii="宋体" w:hAnsi="宋体" w:cs="宋体"/>
          <w:color w:val="000000"/>
          <w:szCs w:val="21"/>
          <w:lang w:eastAsia="zh-CN"/>
        </w:rPr>
        <w:t>供应商</w:t>
      </w:r>
      <w:r>
        <w:rPr>
          <w:rFonts w:hint="eastAsia" w:ascii="宋体" w:hAnsi="宋体" w:eastAsia="宋体" w:cs="宋体"/>
          <w:color w:val="000000"/>
          <w:szCs w:val="21"/>
        </w:rPr>
        <w:t>慎重作出投标报价，防止因报价超过控制价（采购预算价）而造成无效标。</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cs="宋体"/>
          <w:color w:val="000000"/>
          <w:szCs w:val="21"/>
          <w:lang w:eastAsia="zh-CN"/>
        </w:rPr>
        <w:t>供应商</w:t>
      </w:r>
      <w:r>
        <w:rPr>
          <w:rFonts w:hint="eastAsia" w:ascii="宋体" w:hAnsi="宋体" w:eastAsia="宋体" w:cs="宋体"/>
          <w:color w:val="000000"/>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50"/>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w:t>
      </w:r>
      <w:r>
        <w:rPr>
          <w:rFonts w:hint="eastAsia" w:ascii="宋体" w:hAnsi="宋体" w:cs="宋体"/>
          <w:color w:val="000000"/>
          <w:szCs w:val="21"/>
          <w:lang w:eastAsia="zh-CN"/>
        </w:rPr>
        <w:t>供应商</w:t>
      </w:r>
      <w:r>
        <w:rPr>
          <w:rFonts w:hint="eastAsia" w:ascii="宋体" w:hAnsi="宋体" w:eastAsia="宋体" w:cs="宋体"/>
          <w:color w:val="000000"/>
          <w:szCs w:val="21"/>
        </w:rPr>
        <w:t>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w:t>
      </w:r>
      <w:r>
        <w:rPr>
          <w:rFonts w:hint="eastAsia" w:ascii="宋体" w:hAnsi="宋体" w:cs="宋体"/>
          <w:color w:val="000000"/>
          <w:szCs w:val="21"/>
          <w:lang w:eastAsia="zh-CN"/>
        </w:rPr>
        <w:t>供应商</w:t>
      </w:r>
      <w:r>
        <w:rPr>
          <w:rFonts w:hint="eastAsia" w:ascii="宋体" w:hAnsi="宋体" w:eastAsia="宋体" w:cs="宋体"/>
          <w:color w:val="000000"/>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50"/>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2"/>
        <w:ind w:left="0" w:leftChars="0" w:firstLine="0" w:firstLineChars="0"/>
        <w:rPr>
          <w:rFonts w:hint="eastAsia"/>
        </w:rPr>
      </w:pPr>
    </w:p>
    <w:p>
      <w:pPr>
        <w:rPr>
          <w:rFonts w:hint="eastAsia"/>
        </w:rPr>
      </w:pPr>
    </w:p>
    <w:p>
      <w:pPr>
        <w:pStyle w:val="32"/>
        <w:ind w:left="0" w:leftChars="0" w:firstLine="0" w:firstLineChars="0"/>
        <w:rPr>
          <w:rFonts w:hint="eastAsia"/>
        </w:rPr>
      </w:pPr>
    </w:p>
    <w:p>
      <w:pPr>
        <w:rPr>
          <w:rFonts w:hint="eastAsia"/>
        </w:rPr>
      </w:pPr>
    </w:p>
    <w:p>
      <w:pPr>
        <w:rPr>
          <w:rFonts w:hint="eastAsia"/>
        </w:rPr>
      </w:pPr>
      <w:r>
        <w:rPr>
          <w:rFonts w:hint="eastAsia"/>
        </w:rPr>
        <w:br w:type="page"/>
      </w:r>
    </w:p>
    <w:p>
      <w:pPr>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目</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rPr>
        <w:t>录</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_Toc14824_WPSOffice_Level1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一、询价公告</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4</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_Toc25245_WPSOffice_Level1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二、报价响应须知</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6</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_Toc8300_WPSOffice_Level1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三、采购合同</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1</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_Toc16484_WPSOffice_Level1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四、采购需求</w:t>
      </w:r>
      <w:r>
        <w:rPr>
          <w:rFonts w:hint="eastAsia" w:ascii="宋体" w:hAnsi="宋体" w:eastAsia="宋体" w:cs="宋体"/>
          <w:b w:val="0"/>
          <w:bCs w:val="0"/>
          <w:color w:val="auto"/>
          <w:sz w:val="28"/>
          <w:szCs w:val="28"/>
        </w:rPr>
        <w:tab/>
      </w:r>
      <w:bookmarkStart w:id="3" w:name="_Toc16484_WPSOffice_Level1Page"/>
      <w:r>
        <w:rPr>
          <w:rFonts w:hint="eastAsia" w:ascii="宋体" w:hAnsi="宋体" w:eastAsia="宋体" w:cs="宋体"/>
          <w:b/>
          <w:bCs/>
          <w:color w:val="auto"/>
          <w:sz w:val="28"/>
          <w:szCs w:val="28"/>
        </w:rPr>
        <w:t>1</w:t>
      </w:r>
      <w:bookmarkEnd w:id="3"/>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fldChar w:fldCharType="end"/>
      </w:r>
    </w:p>
    <w:p>
      <w:pPr>
        <w:pStyle w:val="33"/>
        <w:tabs>
          <w:tab w:val="right" w:leader="dot" w:pos="9040"/>
        </w:tabs>
        <w:rPr>
          <w:b/>
          <w:bCs/>
          <w:color w:val="auto"/>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_Toc4288_WPSOffice_Level1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五、响应文件格式</w:t>
      </w:r>
      <w:r>
        <w:rPr>
          <w:rFonts w:hint="eastAsia" w:ascii="宋体" w:hAnsi="宋体" w:eastAsia="宋体" w:cs="宋体"/>
          <w:b w:val="0"/>
          <w:bCs w:val="0"/>
          <w:color w:val="auto"/>
          <w:sz w:val="28"/>
          <w:szCs w:val="28"/>
        </w:rPr>
        <w:tab/>
      </w:r>
      <w:bookmarkStart w:id="4" w:name="_Toc4288_WPSOffice_Level1Page"/>
      <w:r>
        <w:rPr>
          <w:rFonts w:hint="eastAsia" w:ascii="宋体" w:hAnsi="宋体" w:eastAsia="宋体" w:cs="宋体"/>
          <w:b/>
          <w:bCs/>
          <w:color w:val="auto"/>
          <w:sz w:val="28"/>
          <w:szCs w:val="28"/>
        </w:rPr>
        <w:t>1</w:t>
      </w:r>
      <w:bookmarkEnd w:id="4"/>
      <w:r>
        <w:rPr>
          <w:rFonts w:hint="eastAsia" w:ascii="宋体" w:hAnsi="宋体" w:cs="宋体"/>
          <w:b/>
          <w:bCs/>
          <w:color w:val="auto"/>
          <w:sz w:val="28"/>
          <w:szCs w:val="28"/>
          <w:lang w:val="en-US" w:eastAsia="zh-CN"/>
        </w:rPr>
        <w:t>8</w:t>
      </w:r>
      <w:r>
        <w:rPr>
          <w:rFonts w:hint="eastAsia" w:ascii="宋体" w:hAnsi="宋体" w:eastAsia="宋体" w:cs="宋体"/>
          <w:b/>
          <w:bCs/>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DBSCG-2021-062霍山县衡山镇人民政府智慧社区系统安全等级保护测评项目</w:t>
      </w:r>
      <w:r>
        <w:rPr>
          <w:rFonts w:hint="eastAsia" w:ascii="宋体" w:hAnsi="宋体" w:eastAsia="宋体" w:cs="宋体"/>
          <w:b/>
          <w:bCs/>
          <w:color w:val="auto"/>
          <w:kern w:val="0"/>
          <w:sz w:val="30"/>
          <w:szCs w:val="30"/>
          <w:lang w:val="en-US" w:eastAsia="zh-CN" w:bidi="ar-SA"/>
        </w:rPr>
        <w:t>询价公告</w:t>
      </w:r>
      <w:bookmarkEnd w:id="5"/>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b/>
          <w:bCs/>
          <w:i w:val="0"/>
          <w:caps w:val="0"/>
          <w:color w:val="auto"/>
          <w:spacing w:val="0"/>
          <w:sz w:val="21"/>
          <w:szCs w:val="21"/>
        </w:rPr>
      </w:pPr>
      <w:r>
        <w:rPr>
          <w:rFonts w:hint="eastAsia" w:ascii="宋体" w:hAnsi="宋体" w:cs="宋体"/>
          <w:b w:val="0"/>
          <w:bCs w:val="0"/>
          <w:i w:val="0"/>
          <w:caps w:val="0"/>
          <w:color w:val="auto"/>
          <w:spacing w:val="0"/>
          <w:sz w:val="21"/>
          <w:szCs w:val="21"/>
          <w:shd w:val="clear" w:color="auto" w:fill="FFFFFF"/>
          <w:lang w:eastAsia="zh-CN"/>
        </w:rPr>
        <w:t>安徽大别山工程咨询有限公司</w:t>
      </w:r>
      <w:r>
        <w:rPr>
          <w:rFonts w:hint="eastAsia" w:ascii="宋体" w:hAnsi="宋体" w:eastAsia="宋体" w:cs="宋体"/>
          <w:b w:val="0"/>
          <w:bCs w:val="0"/>
          <w:i w:val="0"/>
          <w:caps w:val="0"/>
          <w:color w:val="auto"/>
          <w:spacing w:val="0"/>
          <w:sz w:val="21"/>
          <w:szCs w:val="21"/>
          <w:shd w:val="clear" w:color="auto" w:fill="FFFFFF"/>
        </w:rPr>
        <w:t>受</w:t>
      </w:r>
      <w:r>
        <w:rPr>
          <w:rFonts w:hint="eastAsia" w:ascii="宋体" w:hAnsi="宋体" w:cs="宋体"/>
          <w:b w:val="0"/>
          <w:bCs w:val="0"/>
          <w:i w:val="0"/>
          <w:caps w:val="0"/>
          <w:color w:val="auto"/>
          <w:spacing w:val="0"/>
          <w:sz w:val="21"/>
          <w:szCs w:val="21"/>
          <w:u w:val="single"/>
          <w:shd w:val="clear" w:color="auto" w:fill="FFFFFF"/>
          <w:lang w:eastAsia="zh-CN"/>
        </w:rPr>
        <w:t>霍山县衡山镇人民政府</w:t>
      </w:r>
      <w:r>
        <w:rPr>
          <w:rFonts w:hint="eastAsia" w:ascii="宋体" w:hAnsi="宋体" w:eastAsia="宋体" w:cs="宋体"/>
          <w:b w:val="0"/>
          <w:bCs w:val="0"/>
          <w:i w:val="0"/>
          <w:caps w:val="0"/>
          <w:color w:val="auto"/>
          <w:spacing w:val="0"/>
          <w:sz w:val="21"/>
          <w:szCs w:val="21"/>
          <w:shd w:val="clear" w:color="auto" w:fill="FFFFFF"/>
        </w:rPr>
        <w:t>的委托，</w:t>
      </w:r>
      <w:r>
        <w:rPr>
          <w:rFonts w:hint="eastAsia" w:ascii="宋体" w:hAnsi="宋体" w:cs="宋体"/>
          <w:b w:val="0"/>
          <w:bCs w:val="0"/>
          <w:i w:val="0"/>
          <w:caps w:val="0"/>
          <w:color w:val="auto"/>
          <w:spacing w:val="0"/>
          <w:sz w:val="21"/>
          <w:szCs w:val="21"/>
          <w:shd w:val="clear" w:color="auto" w:fill="FFFFFF"/>
          <w:lang w:eastAsia="zh-CN"/>
        </w:rPr>
        <w:t>根据安徽省</w:t>
      </w:r>
      <w:r>
        <w:rPr>
          <w:rFonts w:hint="eastAsia" w:ascii="宋体" w:hAnsi="宋体" w:cs="宋体"/>
          <w:b w:val="0"/>
          <w:bCs w:val="0"/>
          <w:i w:val="0"/>
          <w:caps w:val="0"/>
          <w:color w:val="auto"/>
          <w:spacing w:val="0"/>
          <w:sz w:val="21"/>
          <w:szCs w:val="21"/>
          <w:shd w:val="clear" w:color="auto" w:fill="FFFFFF"/>
          <w:lang w:val="en-US" w:eastAsia="zh-CN"/>
        </w:rPr>
        <w:t>2020年-2021年政府集中采购目录及标准的通知及霍山县财政局文件（霍采购（2020）18号）；</w:t>
      </w:r>
      <w:r>
        <w:rPr>
          <w:rFonts w:hint="eastAsia" w:ascii="宋体" w:hAnsi="宋体" w:eastAsia="宋体" w:cs="宋体"/>
          <w:b w:val="0"/>
          <w:bCs w:val="0"/>
          <w:i w:val="0"/>
          <w:caps w:val="0"/>
          <w:color w:val="auto"/>
          <w:spacing w:val="0"/>
          <w:sz w:val="21"/>
          <w:szCs w:val="21"/>
          <w:shd w:val="clear" w:color="auto" w:fill="FFFFFF"/>
        </w:rPr>
        <w:t>现对</w:t>
      </w:r>
      <w:r>
        <w:rPr>
          <w:rFonts w:hint="eastAsia" w:ascii="宋体" w:hAnsi="宋体" w:cs="宋体"/>
          <w:b w:val="0"/>
          <w:bCs w:val="0"/>
          <w:color w:val="auto"/>
          <w:kern w:val="2"/>
          <w:sz w:val="21"/>
          <w:szCs w:val="21"/>
          <w:u w:val="single"/>
          <w:lang w:val="en-US" w:eastAsia="zh-CN" w:bidi="ar-SA"/>
        </w:rPr>
        <w:t>霍山县衡山镇人民政府智慧社区系统安全等级保护测评项目</w:t>
      </w:r>
      <w:r>
        <w:rPr>
          <w:rFonts w:hint="eastAsia" w:ascii="宋体" w:hAnsi="宋体" w:eastAsia="宋体" w:cs="宋体"/>
          <w:b w:val="0"/>
          <w:bCs w:val="0"/>
          <w:i w:val="0"/>
          <w:caps w:val="0"/>
          <w:color w:val="auto"/>
          <w:spacing w:val="0"/>
          <w:sz w:val="21"/>
          <w:szCs w:val="21"/>
          <w:shd w:val="clear" w:color="auto" w:fill="FFFFFF"/>
        </w:rPr>
        <w:t>进行询价采购，并对受邀单位发布</w:t>
      </w:r>
      <w:r>
        <w:rPr>
          <w:rFonts w:hint="eastAsia" w:ascii="宋体" w:hAnsi="宋体" w:cs="宋体"/>
          <w:b w:val="0"/>
          <w:bCs w:val="0"/>
          <w:i w:val="0"/>
          <w:caps w:val="0"/>
          <w:color w:val="auto"/>
          <w:spacing w:val="0"/>
          <w:sz w:val="21"/>
          <w:szCs w:val="21"/>
          <w:shd w:val="clear" w:color="auto" w:fill="FFFFFF"/>
          <w:lang w:eastAsia="zh-CN"/>
        </w:rPr>
        <w:t>询价</w:t>
      </w:r>
      <w:r>
        <w:rPr>
          <w:rFonts w:hint="eastAsia" w:ascii="宋体" w:hAnsi="宋体" w:eastAsia="宋体" w:cs="宋体"/>
          <w:b w:val="0"/>
          <w:bCs w:val="0"/>
          <w:i w:val="0"/>
          <w:caps w:val="0"/>
          <w:color w:val="auto"/>
          <w:spacing w:val="0"/>
          <w:sz w:val="21"/>
          <w:szCs w:val="21"/>
          <w:shd w:val="clear" w:color="auto" w:fill="FFFFFF"/>
        </w:rPr>
        <w:t>邀请函，受邀单位</w:t>
      </w:r>
      <w:r>
        <w:rPr>
          <w:rFonts w:hint="eastAsia" w:ascii="宋体" w:hAnsi="宋体" w:cs="宋体"/>
          <w:b w:val="0"/>
          <w:bCs w:val="0"/>
          <w:i w:val="0"/>
          <w:caps w:val="0"/>
          <w:color w:val="auto"/>
          <w:spacing w:val="0"/>
          <w:sz w:val="21"/>
          <w:szCs w:val="21"/>
          <w:shd w:val="clear" w:color="auto" w:fill="FFFFFF"/>
          <w:lang w:eastAsia="zh-CN"/>
        </w:rPr>
        <w:t>分别</w:t>
      </w:r>
      <w:r>
        <w:rPr>
          <w:rFonts w:hint="eastAsia" w:ascii="宋体" w:hAnsi="宋体" w:eastAsia="宋体" w:cs="宋体"/>
          <w:b w:val="0"/>
          <w:bCs w:val="0"/>
          <w:i w:val="0"/>
          <w:caps w:val="0"/>
          <w:color w:val="auto"/>
          <w:spacing w:val="0"/>
          <w:sz w:val="21"/>
          <w:szCs w:val="21"/>
          <w:shd w:val="clear" w:color="auto" w:fill="FFFFFF"/>
        </w:rPr>
        <w:t>为</w:t>
      </w:r>
      <w:r>
        <w:rPr>
          <w:rFonts w:hint="eastAsia" w:ascii="宋体" w:hAnsi="宋体" w:cs="宋体"/>
          <w:b w:val="0"/>
          <w:bCs w:val="0"/>
          <w:i w:val="0"/>
          <w:caps w:val="0"/>
          <w:color w:val="auto"/>
          <w:spacing w:val="0"/>
          <w:sz w:val="21"/>
          <w:szCs w:val="21"/>
          <w:u w:val="single"/>
          <w:shd w:val="clear" w:color="auto" w:fill="FFFFFF"/>
          <w:lang w:val="en-US" w:eastAsia="zh-CN"/>
        </w:rPr>
        <w:t xml:space="preserve"> 合肥天帷信息安全技术有限公司</w:t>
      </w:r>
      <w:r>
        <w:rPr>
          <w:rFonts w:hint="eastAsia" w:ascii="宋体" w:hAnsi="宋体" w:cs="宋体"/>
          <w:b w:val="0"/>
          <w:bCs w:val="0"/>
          <w:i w:val="0"/>
          <w:caps w:val="0"/>
          <w:color w:val="auto"/>
          <w:spacing w:val="0"/>
          <w:sz w:val="21"/>
          <w:szCs w:val="21"/>
          <w:shd w:val="clear" w:color="auto" w:fill="FFFFFF"/>
          <w:lang w:eastAsia="zh-CN"/>
        </w:rPr>
        <w:t>、</w:t>
      </w:r>
      <w:r>
        <w:rPr>
          <w:rFonts w:hint="eastAsia" w:ascii="宋体" w:hAnsi="宋体" w:cs="宋体"/>
          <w:b w:val="0"/>
          <w:bCs w:val="0"/>
          <w:i w:val="0"/>
          <w:caps w:val="0"/>
          <w:color w:val="auto"/>
          <w:spacing w:val="0"/>
          <w:sz w:val="21"/>
          <w:szCs w:val="21"/>
          <w:u w:val="single"/>
          <w:shd w:val="clear" w:color="auto" w:fill="FFFFFF"/>
          <w:lang w:val="en-US" w:eastAsia="zh-CN"/>
        </w:rPr>
        <w:t>安徽风雪网络安全测评有限公司</w:t>
      </w:r>
      <w:r>
        <w:rPr>
          <w:rFonts w:hint="eastAsia" w:ascii="宋体" w:hAnsi="宋体" w:cs="宋体"/>
          <w:b w:val="0"/>
          <w:bCs w:val="0"/>
          <w:i w:val="0"/>
          <w:caps w:val="0"/>
          <w:color w:val="auto"/>
          <w:spacing w:val="0"/>
          <w:sz w:val="21"/>
          <w:szCs w:val="21"/>
          <w:shd w:val="clear" w:color="auto" w:fill="FFFFFF"/>
          <w:lang w:eastAsia="zh-CN"/>
        </w:rPr>
        <w:t>、</w:t>
      </w:r>
      <w:r>
        <w:rPr>
          <w:rFonts w:hint="eastAsia" w:ascii="宋体" w:hAnsi="宋体" w:cs="宋体"/>
          <w:b w:val="0"/>
          <w:bCs w:val="0"/>
          <w:i w:val="0"/>
          <w:caps w:val="0"/>
          <w:color w:val="auto"/>
          <w:spacing w:val="0"/>
          <w:sz w:val="21"/>
          <w:szCs w:val="21"/>
          <w:u w:val="single"/>
          <w:shd w:val="clear" w:color="auto" w:fill="FFFFFF"/>
          <w:lang w:val="en-US" w:eastAsia="zh-CN"/>
        </w:rPr>
        <w:t>江西神舟信息安全评估中心有限公司</w:t>
      </w:r>
      <w:r>
        <w:rPr>
          <w:rFonts w:hint="eastAsia" w:ascii="宋体" w:hAnsi="宋体" w:eastAsia="宋体" w:cs="宋体"/>
          <w:b w:val="0"/>
          <w:bCs w:val="0"/>
          <w:i w:val="0"/>
          <w:caps w:val="0"/>
          <w:color w:val="auto"/>
          <w:spacing w:val="0"/>
          <w:sz w:val="21"/>
          <w:szCs w:val="21"/>
          <w:shd w:val="clear" w:color="auto" w:fill="FFFFFF"/>
        </w:rPr>
        <w:t>，未收到邀请函的供应商响应无效。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lang w:val="en-US" w:eastAsia="zh-CN"/>
        </w:rPr>
      </w:pPr>
      <w:r>
        <w:rPr>
          <w:rFonts w:hint="eastAsia" w:ascii="宋体" w:hAnsi="宋体" w:eastAsia="宋体" w:cs="宋体"/>
          <w:b/>
          <w:i w:val="0"/>
          <w:caps w:val="0"/>
          <w:color w:val="auto"/>
          <w:spacing w:val="0"/>
          <w:sz w:val="21"/>
          <w:szCs w:val="21"/>
          <w:shd w:val="clear" w:color="auto" w:fill="FFFFFF"/>
        </w:rPr>
        <w:t>一、采购项目名称及内容</w:t>
      </w:r>
      <w:r>
        <w:rPr>
          <w:rFonts w:hint="eastAsia" w:ascii="宋体" w:hAnsi="宋体" w:cs="宋体"/>
          <w:b/>
          <w:i w:val="0"/>
          <w:caps w:val="0"/>
          <w:color w:val="auto"/>
          <w:spacing w:val="0"/>
          <w:sz w:val="21"/>
          <w:szCs w:val="21"/>
          <w:shd w:val="clear" w:color="auto" w:fill="FFFFFF"/>
          <w:lang w:val="en-US" w:eastAsia="zh-CN"/>
        </w:rPr>
        <w:t xml:space="preserve">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霍山县衡山镇人民政府智慧社区系统安全等级保护测评项目</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DBSCG-2021-062</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霍山县衡山镇人民政府</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财政资金</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82800.00元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7、最高限价：82800.00元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9、项目概况：霍山县衡山镇人民政府智慧社区系统安全等级保护测评项目，内容为漏洞扫描、渗透测试、系统定级与备案、等级保护测评，详见清单</w:t>
      </w:r>
      <w:r>
        <w:rPr>
          <w:rFonts w:hint="eastAsia" w:ascii="宋体" w:hAnsi="宋体" w:cs="宋体"/>
          <w:i w:val="0"/>
          <w:caps w:val="0"/>
          <w:color w:val="auto"/>
          <w:spacing w:val="0"/>
          <w:sz w:val="21"/>
          <w:szCs w:val="21"/>
          <w:highlight w:val="none"/>
          <w:shd w:val="clear" w:color="auto" w:fill="FFFFFF"/>
          <w:lang w:val="en-US"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Calibri" w:hAnsi="Calibri" w:eastAsia="宋体" w:cs="Calibri"/>
          <w:i w:val="0"/>
          <w:caps w:val="0"/>
          <w:color w:val="333333"/>
          <w:spacing w:val="0"/>
          <w:sz w:val="24"/>
          <w:szCs w:val="24"/>
          <w:lang w:eastAsia="zh-CN"/>
        </w:rPr>
      </w:pPr>
      <w:r>
        <w:rPr>
          <w:rFonts w:hint="eastAsia" w:ascii="宋体" w:hAnsi="宋体" w:cs="宋体"/>
          <w:i w:val="0"/>
          <w:caps w:val="0"/>
          <w:color w:val="000000"/>
          <w:spacing w:val="0"/>
          <w:sz w:val="21"/>
          <w:szCs w:val="21"/>
          <w:shd w:val="clear" w:fill="FFFFFF"/>
          <w:lang w:val="en-US" w:eastAsia="zh-CN"/>
        </w:rPr>
        <w:t>2</w:t>
      </w:r>
      <w:r>
        <w:rPr>
          <w:rFonts w:hint="eastAsia" w:ascii="宋体" w:hAnsi="宋体" w:eastAsia="宋体" w:cs="宋体"/>
          <w:i w:val="0"/>
          <w:caps w:val="0"/>
          <w:color w:val="000000"/>
          <w:spacing w:val="0"/>
          <w:sz w:val="21"/>
          <w:szCs w:val="21"/>
          <w:shd w:val="clear" w:fill="FFFFFF"/>
        </w:rPr>
        <w:t>、具有本次采购货物的供货及售后服务能力</w:t>
      </w:r>
      <w:r>
        <w:rPr>
          <w:rFonts w:hint="eastAsia" w:ascii="宋体" w:hAnsi="宋体" w:cs="宋体"/>
          <w:i w:val="0"/>
          <w:caps w:val="0"/>
          <w:color w:val="000000"/>
          <w:spacing w:val="0"/>
          <w:sz w:val="21"/>
          <w:szCs w:val="21"/>
          <w:shd w:val="clear" w:fill="FFFFFF"/>
          <w:lang w:eastAsia="zh-CN"/>
        </w:rPr>
        <w:t>；</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3</w:t>
      </w:r>
      <w:r>
        <w:rPr>
          <w:rFonts w:hint="eastAsia" w:ascii="宋体" w:hAnsi="宋体" w:eastAsia="宋体" w:cs="宋体"/>
          <w:i w:val="0"/>
          <w:caps w:val="0"/>
          <w:color w:val="000000"/>
          <w:spacing w:val="0"/>
          <w:sz w:val="21"/>
          <w:szCs w:val="21"/>
          <w:shd w:val="clear" w:fill="FFFFFF"/>
        </w:rPr>
        <w:t>、本项目不接受联合体参与投标；</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4</w:t>
      </w:r>
      <w:r>
        <w:rPr>
          <w:rFonts w:hint="eastAsia" w:ascii="宋体" w:hAnsi="宋体" w:eastAsia="宋体" w:cs="宋体"/>
          <w:i w:val="0"/>
          <w:caps w:val="0"/>
          <w:color w:val="000000"/>
          <w:spacing w:val="0"/>
          <w:sz w:val="21"/>
          <w:szCs w:val="21"/>
          <w:shd w:val="clear" w:fill="FFFFFF"/>
        </w:rPr>
        <w:t>、供应商存在以下不良信用记录情形之一的，不得推荐为中标候选供应商，不得确定为中标供应商（仅以下述渠道查询结果为准，其他网站无效）：</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i w:val="0"/>
          <w:caps w:val="0"/>
          <w:color w:val="000000"/>
          <w:spacing w:val="0"/>
          <w:sz w:val="21"/>
          <w:szCs w:val="21"/>
          <w:shd w:val="clear" w:fill="FFFFFF"/>
        </w:rPr>
        <w:t>中国政府采购官网（www.ccgp.gov.cn）。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04月</w:t>
      </w:r>
      <w:r>
        <w:rPr>
          <w:rFonts w:hint="eastAsia" w:ascii="宋体" w:hAnsi="宋体" w:cs="宋体"/>
          <w:i w:val="0"/>
          <w:caps w:val="0"/>
          <w:color w:val="auto"/>
          <w:spacing w:val="0"/>
          <w:sz w:val="21"/>
          <w:szCs w:val="21"/>
          <w:u w:val="single"/>
          <w:shd w:val="clear" w:color="auto" w:fill="FFFFFF"/>
          <w:lang w:val="en-US" w:eastAsia="zh-CN"/>
        </w:rPr>
        <w:t>23</w:t>
      </w:r>
      <w:r>
        <w:rPr>
          <w:rFonts w:hint="eastAsia" w:ascii="宋体" w:hAnsi="宋体" w:cs="宋体"/>
          <w:i w:val="0"/>
          <w:caps w:val="0"/>
          <w:color w:val="auto"/>
          <w:spacing w:val="0"/>
          <w:sz w:val="21"/>
          <w:szCs w:val="21"/>
          <w:shd w:val="clear" w:color="auto" w:fill="FFFFFF"/>
          <w:lang w:val="en-US" w:eastAsia="zh-CN"/>
        </w:rPr>
        <w:t>日0</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04月</w:t>
      </w:r>
      <w:r>
        <w:rPr>
          <w:rFonts w:hint="eastAsia" w:ascii="宋体" w:hAnsi="宋体" w:cs="宋体"/>
          <w:i w:val="0"/>
          <w:caps w:val="0"/>
          <w:color w:val="auto"/>
          <w:spacing w:val="0"/>
          <w:sz w:val="21"/>
          <w:szCs w:val="21"/>
          <w:u w:val="single"/>
          <w:shd w:val="clear" w:color="auto" w:fill="FFFFFF"/>
          <w:lang w:val="en-US" w:eastAsia="zh-CN"/>
        </w:rPr>
        <w:t>28</w:t>
      </w:r>
      <w:r>
        <w:rPr>
          <w:rFonts w:hint="eastAsia" w:ascii="宋体" w:hAnsi="宋体" w:cs="宋体"/>
          <w:i w:val="0"/>
          <w:caps w:val="0"/>
          <w:color w:val="auto"/>
          <w:spacing w:val="0"/>
          <w:sz w:val="21"/>
          <w:szCs w:val="21"/>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cs="宋体"/>
          <w:i w:val="0"/>
          <w:caps w:val="0"/>
          <w:color w:val="auto"/>
          <w:spacing w:val="0"/>
          <w:sz w:val="21"/>
          <w:szCs w:val="21"/>
          <w:shd w:val="clear" w:color="auto" w:fill="FFFFFF"/>
          <w:lang w:val="en-US" w:eastAsia="zh-CN"/>
        </w:rPr>
        <w:t>时00分。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7"/>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及</w:t>
      </w:r>
      <w:r>
        <w:rPr>
          <w:rFonts w:hint="eastAsia" w:ascii="宋体" w:hAnsi="宋体" w:eastAsia="宋体" w:cs="宋体"/>
          <w:i w:val="0"/>
          <w:caps w:val="0"/>
          <w:color w:val="auto"/>
          <w:spacing w:val="0"/>
          <w:sz w:val="21"/>
          <w:szCs w:val="21"/>
          <w:shd w:val="clear" w:color="auto" w:fill="FFFFFF"/>
        </w:rPr>
        <w:t>采购需求</w:t>
      </w:r>
      <w:r>
        <w:rPr>
          <w:rFonts w:hint="eastAsia" w:ascii="宋体" w:hAnsi="宋体" w:cs="宋体"/>
          <w:i w:val="0"/>
          <w:caps w:val="0"/>
          <w:color w:val="auto"/>
          <w:spacing w:val="0"/>
          <w:sz w:val="21"/>
          <w:szCs w:val="21"/>
          <w:shd w:val="clear" w:color="auto" w:fill="FFFFFF"/>
          <w:lang w:eastAsia="zh-CN"/>
        </w:rPr>
        <w:t>文件</w:t>
      </w:r>
      <w:r>
        <w:rPr>
          <w:rFonts w:hint="eastAsia" w:ascii="宋体" w:hAnsi="宋体" w:eastAsia="宋体" w:cs="宋体"/>
          <w:i w:val="0"/>
          <w:caps w:val="0"/>
          <w:color w:val="auto"/>
          <w:spacing w:val="0"/>
          <w:sz w:val="21"/>
          <w:szCs w:val="21"/>
          <w:shd w:val="clear" w:color="auto" w:fill="FFFFFF"/>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04</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28</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霍山县衡山镇人民政府</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霍山县衡山镇</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eastAsia="zh-CN"/>
        </w:rPr>
        <w:t>徐</w:t>
      </w:r>
      <w:r>
        <w:rPr>
          <w:rFonts w:hint="eastAsia" w:ascii="宋体" w:hAnsi="宋体" w:cs="宋体"/>
          <w:i w:val="0"/>
          <w:caps w:val="0"/>
          <w:color w:val="auto"/>
          <w:spacing w:val="0"/>
          <w:sz w:val="21"/>
          <w:szCs w:val="21"/>
          <w:shd w:val="clear" w:color="auto" w:fill="FFFFFF"/>
          <w:lang w:val="en-US" w:eastAsia="zh-CN"/>
        </w:rPr>
        <w:t>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eastAsia="宋体" w:cs="宋体"/>
          <w:i w:val="0"/>
          <w:caps w:val="0"/>
          <w:color w:val="auto"/>
          <w:spacing w:val="0"/>
          <w:sz w:val="21"/>
          <w:szCs w:val="21"/>
          <w:shd w:val="clear" w:color="auto" w:fill="FFFFFF"/>
          <w:lang w:val="en-US" w:eastAsia="zh-CN"/>
        </w:rPr>
        <w:t>15956444777</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储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20033，13865788561</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line="400" w:lineRule="exact"/>
        <w:ind w:right="0" w:rightChars="0"/>
        <w:jc w:val="left"/>
        <w:rPr>
          <w:rFonts w:hint="eastAsia" w:ascii="宋体" w:hAnsi="宋体" w:eastAsia="宋体" w:cs="宋体"/>
          <w:b/>
          <w:bCs w:val="0"/>
          <w:i w:val="0"/>
          <w:caps w:val="0"/>
          <w:spacing w:val="0"/>
          <w:kern w:val="0"/>
          <w:sz w:val="21"/>
          <w:szCs w:val="21"/>
          <w:shd w:val="clear" w:fill="FFFFFF"/>
        </w:rPr>
      </w:pP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b/>
          <w:bCs w:val="0"/>
          <w:i w:val="0"/>
          <w:caps w:val="0"/>
          <w:spacing w:val="0"/>
          <w:kern w:val="0"/>
          <w:sz w:val="21"/>
          <w:szCs w:val="21"/>
          <w:shd w:val="clear" w:fill="FFFFFF"/>
          <w:lang w:val="en-US" w:eastAsia="zh-CN" w:bidi="ar"/>
        </w:rPr>
        <w:t>七、保证金缴纳账户</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line="400" w:lineRule="exact"/>
        <w:ind w:left="0" w:leftChars="0" w:right="0" w:rightChars="0" w:firstLine="420" w:firstLineChars="200"/>
        <w:jc w:val="left"/>
        <w:rPr>
          <w:rFonts w:hint="eastAsia" w:ascii="宋体" w:hAnsi="宋体" w:eastAsia="宋体" w:cs="宋体"/>
          <w:i w:val="0"/>
          <w:caps w:val="0"/>
          <w:spacing w:val="0"/>
          <w:kern w:val="0"/>
          <w:sz w:val="21"/>
          <w:szCs w:val="21"/>
          <w:shd w:val="clear" w:fill="FFFFFF"/>
        </w:rPr>
      </w:pPr>
      <w:r>
        <w:rPr>
          <w:rFonts w:hint="eastAsia" w:ascii="宋体" w:hAnsi="宋体" w:eastAsia="宋体" w:cs="宋体"/>
          <w:i w:val="0"/>
          <w:caps w:val="0"/>
          <w:spacing w:val="0"/>
          <w:kern w:val="0"/>
          <w:sz w:val="21"/>
          <w:szCs w:val="21"/>
          <w:shd w:val="clear" w:fill="FFFFFF"/>
          <w:lang w:val="en-US" w:eastAsia="zh-CN" w:bidi="ar"/>
        </w:rPr>
        <w:t xml:space="preserve">1、保证金允许方式：银行转账 </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line="400" w:lineRule="exact"/>
        <w:ind w:left="0" w:leftChars="0" w:right="0" w:rightChars="0" w:firstLine="420" w:firstLineChars="200"/>
        <w:jc w:val="left"/>
        <w:rPr>
          <w:rFonts w:hint="eastAsia" w:ascii="宋体" w:hAnsi="宋体" w:eastAsia="宋体" w:cs="宋体"/>
          <w:i w:val="0"/>
          <w:caps w:val="0"/>
          <w:spacing w:val="0"/>
          <w:kern w:val="0"/>
          <w:sz w:val="21"/>
          <w:szCs w:val="21"/>
          <w:shd w:val="clear" w:fill="FFFFFF"/>
        </w:rPr>
      </w:pPr>
      <w:r>
        <w:rPr>
          <w:rFonts w:hint="eastAsia" w:ascii="宋体" w:hAnsi="宋体" w:eastAsia="宋体" w:cs="宋体"/>
          <w:i w:val="0"/>
          <w:caps w:val="0"/>
          <w:spacing w:val="0"/>
          <w:kern w:val="0"/>
          <w:sz w:val="21"/>
          <w:szCs w:val="21"/>
          <w:shd w:val="clear" w:fill="FFFFFF"/>
          <w:lang w:val="en-US" w:eastAsia="zh-CN" w:bidi="ar"/>
        </w:rPr>
        <w:t>2、保证金金额为人民币：壹仟陆佰元整(¥1600.00元)</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line="400" w:lineRule="exact"/>
        <w:ind w:left="0" w:leftChars="0" w:right="0" w:rightChars="0" w:firstLine="420" w:firstLineChars="200"/>
        <w:jc w:val="left"/>
        <w:rPr>
          <w:rFonts w:hint="eastAsia" w:ascii="宋体" w:hAnsi="宋体" w:eastAsia="宋体" w:cs="宋体"/>
          <w:i w:val="0"/>
          <w:caps w:val="0"/>
          <w:spacing w:val="0"/>
          <w:kern w:val="0"/>
          <w:sz w:val="21"/>
          <w:szCs w:val="21"/>
          <w:shd w:val="clear" w:fill="FFFFFF"/>
        </w:rPr>
      </w:pPr>
      <w:r>
        <w:rPr>
          <w:rFonts w:hint="eastAsia" w:ascii="宋体" w:hAnsi="宋体" w:eastAsia="宋体" w:cs="宋体"/>
          <w:i w:val="0"/>
          <w:caps w:val="0"/>
          <w:spacing w:val="0"/>
          <w:kern w:val="0"/>
          <w:sz w:val="21"/>
          <w:szCs w:val="21"/>
          <w:shd w:val="clear" w:fill="FFFFFF"/>
          <w:lang w:val="en-US" w:eastAsia="zh-CN" w:bidi="ar"/>
        </w:rPr>
        <w:t>3、汇入账户名称：安徽大别山工程咨询有限公司</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line="400" w:lineRule="exact"/>
        <w:ind w:left="0" w:leftChars="0" w:right="0" w:rightChars="0" w:firstLine="420" w:firstLineChars="200"/>
        <w:jc w:val="left"/>
        <w:rPr>
          <w:rFonts w:hint="eastAsia" w:ascii="宋体" w:hAnsi="宋体" w:eastAsia="宋体" w:cs="宋体"/>
          <w:i w:val="0"/>
          <w:caps w:val="0"/>
          <w:spacing w:val="0"/>
          <w:kern w:val="0"/>
          <w:sz w:val="21"/>
          <w:szCs w:val="21"/>
          <w:shd w:val="clear" w:fill="FFFFFF"/>
        </w:rPr>
      </w:pPr>
      <w:r>
        <w:rPr>
          <w:rFonts w:hint="eastAsia" w:ascii="宋体" w:hAnsi="宋体" w:eastAsia="宋体" w:cs="宋体"/>
          <w:i w:val="0"/>
          <w:caps w:val="0"/>
          <w:spacing w:val="0"/>
          <w:kern w:val="0"/>
          <w:sz w:val="21"/>
          <w:szCs w:val="21"/>
          <w:shd w:val="clear" w:fill="FFFFFF"/>
          <w:lang w:val="en-US" w:eastAsia="zh-CN" w:bidi="ar"/>
        </w:rPr>
        <w:t>汇入银行：安徽霍山农村商业银行股份有限公司文盛支行</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line="400" w:lineRule="exact"/>
        <w:ind w:left="0" w:leftChars="0" w:right="0" w:rightChars="0" w:firstLine="420" w:firstLineChars="200"/>
        <w:jc w:val="left"/>
        <w:rPr>
          <w:rFonts w:hint="eastAsia" w:ascii="宋体" w:hAnsi="宋体" w:eastAsia="宋体" w:cs="宋体"/>
          <w:i w:val="0"/>
          <w:caps w:val="0"/>
          <w:spacing w:val="0"/>
          <w:kern w:val="0"/>
          <w:sz w:val="21"/>
          <w:szCs w:val="21"/>
          <w:shd w:val="clear" w:fill="FFFFFF"/>
        </w:rPr>
      </w:pPr>
      <w:r>
        <w:rPr>
          <w:rFonts w:hint="eastAsia" w:ascii="宋体" w:hAnsi="宋体" w:eastAsia="宋体" w:cs="宋体"/>
          <w:i w:val="0"/>
          <w:caps w:val="0"/>
          <w:spacing w:val="0"/>
          <w:kern w:val="0"/>
          <w:sz w:val="21"/>
          <w:szCs w:val="21"/>
          <w:shd w:val="clear" w:fill="FFFFFF"/>
          <w:lang w:val="en-US" w:eastAsia="zh-CN" w:bidi="ar"/>
        </w:rPr>
        <w:t>汇入银行帐号：20010048352066600000021</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0" w:line="400" w:lineRule="exact"/>
        <w:ind w:left="0" w:leftChars="0" w:right="0" w:rightChars="0" w:firstLine="422" w:firstLineChars="200"/>
        <w:jc w:val="left"/>
        <w:rPr>
          <w:rFonts w:hint="eastAsia" w:ascii="宋体" w:hAnsi="宋体" w:eastAsia="宋体" w:cs="宋体"/>
          <w:b/>
          <w:bCs/>
          <w:i w:val="0"/>
          <w:caps w:val="0"/>
          <w:spacing w:val="0"/>
          <w:kern w:val="0"/>
          <w:sz w:val="21"/>
          <w:szCs w:val="21"/>
          <w:shd w:val="clear" w:fill="FFFFFF"/>
        </w:rPr>
      </w:pPr>
      <w:r>
        <w:rPr>
          <w:rFonts w:hint="eastAsia" w:ascii="宋体" w:hAnsi="宋体" w:eastAsia="宋体" w:cs="宋体"/>
          <w:b/>
          <w:bCs/>
          <w:i w:val="0"/>
          <w:caps w:val="0"/>
          <w:spacing w:val="0"/>
          <w:kern w:val="0"/>
          <w:sz w:val="21"/>
          <w:szCs w:val="21"/>
          <w:shd w:val="clear" w:fill="FFFFFF"/>
          <w:lang w:val="en-US" w:eastAsia="zh-CN" w:bidi="ar"/>
        </w:rPr>
        <w:t>4、汇出账户要求：供应商缴纳账户应与供应商名称一致，到账时间为响应截止时间前。</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both"/>
        <w:textAlignment w:val="auto"/>
        <w:outlineLvl w:val="9"/>
        <w:rPr>
          <w:rFonts w:hint="default"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霍山县衡山镇人民政府</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04月23日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18"/>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序号</w:t>
            </w:r>
          </w:p>
        </w:tc>
        <w:tc>
          <w:tcPr>
            <w:tcW w:w="1825" w:type="dxa"/>
            <w:vAlign w:val="top"/>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内容</w:t>
            </w:r>
          </w:p>
        </w:tc>
        <w:tc>
          <w:tcPr>
            <w:tcW w:w="7568" w:type="dxa"/>
            <w:vAlign w:val="top"/>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4"/>
              <w:keepNext w:val="0"/>
              <w:keepLines w:val="0"/>
              <w:suppressLineNumbers w:val="0"/>
              <w:pBdr>
                <w:bottom w:val="none" w:color="auto" w:sz="0" w:space="0"/>
              </w:pBdr>
              <w:tabs>
                <w:tab w:val="clear" w:pos="4153"/>
                <w:tab w:val="clear" w:pos="8306"/>
              </w:tabs>
              <w:snapToGrid w:val="0"/>
              <w:spacing w:before="0" w:beforeAutospacing="0" w:after="0" w:afterAutospacing="0" w:line="360" w:lineRule="exact"/>
              <w:ind w:left="0" w:right="0"/>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kern w:val="2"/>
                <w:sz w:val="21"/>
                <w:szCs w:val="21"/>
                <w:highlight w:val="none"/>
              </w:rPr>
              <w:t>1</w:t>
            </w:r>
          </w:p>
        </w:tc>
        <w:tc>
          <w:tcPr>
            <w:tcW w:w="1825" w:type="dxa"/>
            <w:vAlign w:val="center"/>
          </w:tcPr>
          <w:p>
            <w:pPr>
              <w:pStyle w:val="34"/>
              <w:keepNext w:val="0"/>
              <w:keepLines w:val="0"/>
              <w:suppressLineNumbers w:val="0"/>
              <w:pBdr>
                <w:bottom w:val="none" w:color="auto" w:sz="0" w:space="0"/>
              </w:pBdr>
              <w:tabs>
                <w:tab w:val="clear" w:pos="4153"/>
                <w:tab w:val="clear" w:pos="8306"/>
              </w:tabs>
              <w:snapToGrid w:val="0"/>
              <w:spacing w:before="0" w:beforeAutospacing="0" w:after="0" w:afterAutospacing="0" w:line="320" w:lineRule="exact"/>
              <w:ind w:left="0" w:right="0"/>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sz w:val="21"/>
                <w:szCs w:val="21"/>
                <w:highlight w:val="none"/>
              </w:rPr>
              <w:t>采购人</w:t>
            </w:r>
          </w:p>
        </w:tc>
        <w:tc>
          <w:tcPr>
            <w:tcW w:w="7568"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霍山县衡山镇人民政府</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霍山县衡山镇</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徐先生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pacing w:val="0"/>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highlight w:val="none"/>
                <w:shd w:val="clear" w:color="auto" w:fill="FFFFFF"/>
                <w:lang w:val="en-US" w:eastAsia="zh-CN"/>
              </w:rPr>
              <w:t xml:space="preserve"> 15956444777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2</w:t>
            </w:r>
          </w:p>
        </w:tc>
        <w:tc>
          <w:tcPr>
            <w:tcW w:w="1825"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Cs/>
                <w:color w:val="auto"/>
                <w:spacing w:val="0"/>
                <w:szCs w:val="21"/>
                <w:highlight w:val="none"/>
                <w:lang w:eastAsia="zh-CN"/>
              </w:rPr>
            </w:pPr>
            <w:r>
              <w:rPr>
                <w:rFonts w:hint="eastAsia" w:ascii="宋体" w:hAnsi="宋体" w:cs="宋体"/>
                <w:color w:val="auto"/>
                <w:spacing w:val="0"/>
                <w:szCs w:val="21"/>
                <w:highlight w:val="none"/>
                <w:lang w:eastAsia="zh-CN"/>
              </w:rPr>
              <w:t>采购代理机构</w:t>
            </w:r>
          </w:p>
        </w:tc>
        <w:tc>
          <w:tcPr>
            <w:tcW w:w="7568" w:type="dxa"/>
            <w:vAlign w:val="center"/>
          </w:tcPr>
          <w:p>
            <w:pPr>
              <w:keepNext w:val="0"/>
              <w:keepLines w:val="0"/>
              <w:suppressLineNumbers w:val="0"/>
              <w:adjustRightInd w:val="0"/>
              <w:snapToGrid w:val="0"/>
              <w:spacing w:before="0" w:beforeAutospacing="0" w:after="0" w:afterAutospacing="0" w:line="320" w:lineRule="exact"/>
              <w:ind w:left="0" w:right="0"/>
              <w:rPr>
                <w:rFonts w:hint="eastAsia" w:ascii="宋体" w:hAnsi="宋体" w:eastAsia="宋体" w:cs="宋体"/>
                <w:color w:val="auto"/>
                <w:spacing w:val="0"/>
                <w:szCs w:val="21"/>
                <w:highlight w:val="none"/>
                <w:u w:val="none"/>
                <w:lang w:eastAsia="zh-CN"/>
              </w:rPr>
            </w:pPr>
            <w:r>
              <w:rPr>
                <w:rFonts w:hint="eastAsia" w:ascii="宋体" w:hAnsi="宋体" w:eastAsia="宋体" w:cs="宋体"/>
                <w:color w:val="auto"/>
                <w:spacing w:val="0"/>
                <w:szCs w:val="21"/>
                <w:highlight w:val="none"/>
                <w:u w:val="none"/>
              </w:rPr>
              <w:t>名  称：</w:t>
            </w:r>
            <w:r>
              <w:rPr>
                <w:rFonts w:hint="eastAsia" w:ascii="宋体" w:hAnsi="宋体" w:cs="宋体"/>
                <w:bCs/>
                <w:color w:val="auto"/>
                <w:spacing w:val="0"/>
                <w:szCs w:val="21"/>
                <w:highlight w:val="none"/>
                <w:u w:val="none"/>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储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pacing w:val="0"/>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20033  13865788561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4"/>
              <w:keepNext w:val="0"/>
              <w:keepLines w:val="0"/>
              <w:suppressLineNumbers w:val="0"/>
              <w:pBdr>
                <w:bottom w:val="none" w:color="auto" w:sz="0" w:space="0"/>
              </w:pBdr>
              <w:tabs>
                <w:tab w:val="clear" w:pos="4153"/>
                <w:tab w:val="clear" w:pos="8306"/>
              </w:tabs>
              <w:snapToGrid w:val="0"/>
              <w:spacing w:before="0" w:beforeAutospacing="0" w:after="0" w:afterAutospacing="0" w:line="360" w:lineRule="exact"/>
              <w:ind w:left="0" w:right="0"/>
              <w:textAlignment w:val="auto"/>
              <w:rPr>
                <w:rFonts w:hint="eastAsia" w:ascii="宋体" w:hAnsi="宋体" w:eastAsia="宋体" w:cs="宋体"/>
                <w:bCs/>
                <w:color w:val="auto"/>
                <w:spacing w:val="0"/>
                <w:kern w:val="2"/>
                <w:sz w:val="21"/>
                <w:szCs w:val="21"/>
                <w:highlight w:val="none"/>
                <w:lang w:val="en-US" w:eastAsia="zh-CN"/>
              </w:rPr>
            </w:pPr>
            <w:r>
              <w:rPr>
                <w:rFonts w:hint="eastAsia" w:ascii="宋体" w:hAnsi="宋体" w:eastAsia="宋体" w:cs="宋体"/>
                <w:bCs/>
                <w:color w:val="auto"/>
                <w:spacing w:val="0"/>
                <w:kern w:val="2"/>
                <w:sz w:val="21"/>
                <w:szCs w:val="21"/>
                <w:highlight w:val="none"/>
                <w:lang w:val="en-US" w:eastAsia="zh-CN"/>
              </w:rPr>
              <w:t>3</w:t>
            </w:r>
          </w:p>
        </w:tc>
        <w:tc>
          <w:tcPr>
            <w:tcW w:w="1825"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项目名称</w:t>
            </w:r>
          </w:p>
        </w:tc>
        <w:tc>
          <w:tcPr>
            <w:tcW w:w="7568" w:type="dxa"/>
            <w:vAlign w:val="center"/>
          </w:tcPr>
          <w:p>
            <w:pPr>
              <w:pStyle w:val="35"/>
              <w:keepNext w:val="0"/>
              <w:keepLines w:val="0"/>
              <w:widowControl w:val="0"/>
              <w:suppressLineNumbers w:val="0"/>
              <w:adjustRightInd w:val="0"/>
              <w:snapToGrid w:val="0"/>
              <w:spacing w:before="0" w:beforeAutospacing="0" w:after="0" w:afterAutospacing="0" w:line="320" w:lineRule="exact"/>
              <w:ind w:left="0" w:right="0"/>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霍山县衡山镇人民政府智慧社区系统安全等级保护测评项目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4"/>
              <w:keepNext w:val="0"/>
              <w:keepLines w:val="0"/>
              <w:suppressLineNumbers w:val="0"/>
              <w:pBdr>
                <w:bottom w:val="none" w:color="auto" w:sz="0" w:space="0"/>
              </w:pBdr>
              <w:tabs>
                <w:tab w:val="clear" w:pos="4153"/>
                <w:tab w:val="clear" w:pos="8306"/>
              </w:tabs>
              <w:snapToGrid w:val="0"/>
              <w:spacing w:before="0" w:beforeAutospacing="0" w:after="0" w:afterAutospacing="0" w:line="360" w:lineRule="exact"/>
              <w:ind w:left="0" w:right="0"/>
              <w:textAlignment w:val="auto"/>
              <w:rPr>
                <w:rFonts w:hint="eastAsia" w:ascii="宋体" w:hAnsi="宋体" w:eastAsia="宋体" w:cs="宋体"/>
                <w:bCs/>
                <w:color w:val="auto"/>
                <w:spacing w:val="0"/>
                <w:kern w:val="2"/>
                <w:sz w:val="21"/>
                <w:szCs w:val="21"/>
                <w:highlight w:val="none"/>
                <w:lang w:eastAsia="zh-CN"/>
              </w:rPr>
            </w:pPr>
            <w:r>
              <w:rPr>
                <w:rFonts w:hint="eastAsia" w:ascii="宋体" w:hAnsi="宋体" w:cs="宋体"/>
                <w:bCs/>
                <w:color w:val="auto"/>
                <w:spacing w:val="0"/>
                <w:kern w:val="2"/>
                <w:sz w:val="21"/>
                <w:szCs w:val="21"/>
                <w:highlight w:val="none"/>
                <w:lang w:val="en-US" w:eastAsia="zh-CN"/>
              </w:rPr>
              <w:t>4</w:t>
            </w:r>
          </w:p>
        </w:tc>
        <w:tc>
          <w:tcPr>
            <w:tcW w:w="1825"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项目编号</w:t>
            </w:r>
          </w:p>
        </w:tc>
        <w:tc>
          <w:tcPr>
            <w:tcW w:w="7568" w:type="dxa"/>
            <w:vAlign w:val="center"/>
          </w:tcPr>
          <w:p>
            <w:pPr>
              <w:pStyle w:val="35"/>
              <w:keepNext w:val="0"/>
              <w:keepLines w:val="0"/>
              <w:widowControl w:val="0"/>
              <w:suppressLineNumbers w:val="0"/>
              <w:adjustRightInd w:val="0"/>
              <w:snapToGrid w:val="0"/>
              <w:spacing w:before="0" w:beforeAutospacing="0" w:after="0" w:afterAutospacing="0" w:line="320" w:lineRule="exact"/>
              <w:ind w:left="0" w:right="0"/>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DBSCG-2021-062</w:t>
            </w:r>
            <w:bookmarkStart w:id="116" w:name="_GoBack"/>
            <w:bookmarkEnd w:id="1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5</w:t>
            </w:r>
          </w:p>
        </w:tc>
        <w:tc>
          <w:tcPr>
            <w:tcW w:w="1825"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最高限价</w:t>
            </w:r>
          </w:p>
        </w:tc>
        <w:tc>
          <w:tcPr>
            <w:tcW w:w="7568" w:type="dxa"/>
            <w:vAlign w:val="center"/>
          </w:tcPr>
          <w:p>
            <w:pPr>
              <w:pStyle w:val="35"/>
              <w:keepNext w:val="0"/>
              <w:keepLines w:val="0"/>
              <w:widowControl w:val="0"/>
              <w:suppressLineNumbers w:val="0"/>
              <w:adjustRightInd w:val="0"/>
              <w:snapToGrid w:val="0"/>
              <w:spacing w:before="0" w:beforeAutospacing="0" w:after="0" w:afterAutospacing="0" w:line="320" w:lineRule="exact"/>
              <w:ind w:left="0" w:right="0"/>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捌万贰仟捌佰元整（￥82800.00元），超过此限价的报价为无效响应。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6</w:t>
            </w:r>
          </w:p>
        </w:tc>
        <w:tc>
          <w:tcPr>
            <w:tcW w:w="1825"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pacing w:val="0"/>
                <w:kern w:val="0"/>
                <w:szCs w:val="21"/>
                <w:highlight w:val="none"/>
                <w:shd w:val="clear" w:color="auto" w:fill="FFFFFF"/>
              </w:rPr>
            </w:pPr>
            <w:r>
              <w:rPr>
                <w:rFonts w:hint="eastAsia" w:ascii="宋体" w:hAnsi="宋体" w:eastAsia="宋体" w:cs="宋体"/>
                <w:color w:val="auto"/>
                <w:spacing w:val="0"/>
                <w:szCs w:val="21"/>
                <w:highlight w:val="none"/>
              </w:rPr>
              <w:t>询价有效期</w:t>
            </w:r>
          </w:p>
        </w:tc>
        <w:tc>
          <w:tcPr>
            <w:tcW w:w="7568" w:type="dxa"/>
            <w:vAlign w:val="center"/>
          </w:tcPr>
          <w:p>
            <w:pPr>
              <w:keepNext w:val="0"/>
              <w:keepLines w:val="0"/>
              <w:suppressLineNumbers w:val="0"/>
              <w:adjustRightInd w:val="0"/>
              <w:snapToGrid w:val="0"/>
              <w:spacing w:before="0" w:beforeAutospacing="0" w:after="0" w:afterAutospacing="0" w:line="320" w:lineRule="exact"/>
              <w:ind w:left="0" w:right="0"/>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60</w:t>
            </w:r>
            <w:r>
              <w:rPr>
                <w:rFonts w:hint="eastAsia" w:ascii="宋体" w:hAnsi="宋体" w:eastAsia="宋体" w:cs="宋体"/>
                <w:b w:val="0"/>
                <w:bCs w:val="0"/>
                <w:color w:val="auto"/>
                <w:spacing w:val="0"/>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7</w:t>
            </w:r>
          </w:p>
        </w:tc>
        <w:tc>
          <w:tcPr>
            <w:tcW w:w="1825"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kern w:val="2"/>
                <w:sz w:val="21"/>
                <w:szCs w:val="21"/>
                <w:highlight w:val="none"/>
                <w:lang w:val="en-US" w:eastAsia="zh-CN" w:bidi="ar-SA"/>
              </w:rPr>
              <w:t>付款方式</w:t>
            </w:r>
          </w:p>
        </w:tc>
        <w:tc>
          <w:tcPr>
            <w:tcW w:w="7568" w:type="dxa"/>
            <w:vAlign w:val="center"/>
          </w:tcPr>
          <w:p>
            <w:pPr>
              <w:keepNext w:val="0"/>
              <w:keepLines w:val="0"/>
              <w:suppressLineNumbers w:val="0"/>
              <w:adjustRightInd w:val="0"/>
              <w:snapToGrid w:val="0"/>
              <w:spacing w:before="0" w:beforeAutospacing="0" w:after="0" w:afterAutospacing="0" w:line="320" w:lineRule="exact"/>
              <w:ind w:left="0" w:right="0"/>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安装及调试验收合格后一次性付清。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8</w:t>
            </w:r>
          </w:p>
        </w:tc>
        <w:tc>
          <w:tcPr>
            <w:tcW w:w="1825"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供货及安装地点</w:t>
            </w:r>
          </w:p>
        </w:tc>
        <w:tc>
          <w:tcPr>
            <w:tcW w:w="7568" w:type="dxa"/>
            <w:vAlign w:val="top"/>
          </w:tcPr>
          <w:p>
            <w:pPr>
              <w:keepNext w:val="0"/>
              <w:keepLines w:val="0"/>
              <w:suppressLineNumbers w:val="0"/>
              <w:adjustRightInd w:val="0"/>
              <w:snapToGrid w:val="0"/>
              <w:spacing w:before="0" w:beforeAutospacing="0" w:after="0" w:afterAutospacing="0" w:line="320" w:lineRule="exact"/>
              <w:ind w:left="0" w:right="0"/>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采购人</w:t>
            </w:r>
            <w:r>
              <w:rPr>
                <w:rFonts w:hint="eastAsia" w:ascii="宋体" w:hAnsi="宋体" w:eastAsia="宋体" w:cs="宋体"/>
                <w:b w:val="0"/>
                <w:bCs w:val="0"/>
                <w:color w:val="auto"/>
                <w:spacing w:val="0"/>
                <w:kern w:val="2"/>
                <w:sz w:val="21"/>
                <w:szCs w:val="21"/>
                <w:highlight w:val="none"/>
                <w:lang w:val="en-US" w:eastAsia="zh-CN" w:bidi="ar-SA"/>
              </w:rPr>
              <w:t>指定地点</w:t>
            </w: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9</w:t>
            </w:r>
          </w:p>
        </w:tc>
        <w:tc>
          <w:tcPr>
            <w:tcW w:w="1825"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交货（服务）期限</w:t>
            </w:r>
          </w:p>
        </w:tc>
        <w:tc>
          <w:tcPr>
            <w:tcW w:w="7568" w:type="dxa"/>
            <w:vAlign w:val="top"/>
          </w:tcPr>
          <w:p>
            <w:pPr>
              <w:keepNext w:val="0"/>
              <w:keepLines w:val="0"/>
              <w:suppressLineNumbers w:val="0"/>
              <w:adjustRightInd w:val="0"/>
              <w:snapToGrid w:val="0"/>
              <w:spacing w:before="0" w:beforeAutospacing="0" w:after="0" w:afterAutospacing="0" w:line="320" w:lineRule="exact"/>
              <w:ind w:left="0" w:right="0"/>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签订合同后20日内完成。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10</w:t>
            </w:r>
          </w:p>
        </w:tc>
        <w:tc>
          <w:tcPr>
            <w:tcW w:w="1825"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zh-CN" w:eastAsia="zh-CN" w:bidi="ar-SA"/>
              </w:rPr>
              <w:t>免费质保期</w:t>
            </w:r>
          </w:p>
        </w:tc>
        <w:tc>
          <w:tcPr>
            <w:tcW w:w="7568" w:type="dxa"/>
            <w:vAlign w:val="center"/>
          </w:tcPr>
          <w:p>
            <w:pPr>
              <w:keepNext w:val="0"/>
              <w:keepLines w:val="0"/>
              <w:suppressLineNumbers w:val="0"/>
              <w:adjustRightInd w:val="0"/>
              <w:snapToGrid w:val="0"/>
              <w:spacing w:before="0" w:beforeAutospacing="0" w:after="0" w:afterAutospacing="0" w:line="320" w:lineRule="exact"/>
              <w:ind w:left="0" w:right="0"/>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1</w:t>
            </w:r>
          </w:p>
        </w:tc>
        <w:tc>
          <w:tcPr>
            <w:tcW w:w="1825"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 w:val="0"/>
                <w:bCs w:val="0"/>
                <w:color w:val="auto"/>
                <w:spacing w:val="0"/>
                <w:szCs w:val="21"/>
                <w:highlight w:val="none"/>
                <w:lang w:val="zh-CN"/>
              </w:rPr>
            </w:pPr>
            <w:r>
              <w:rPr>
                <w:rFonts w:hint="eastAsia" w:ascii="宋体" w:hAnsi="宋体" w:eastAsia="宋体" w:cs="宋体"/>
                <w:b w:val="0"/>
                <w:bCs w:val="0"/>
                <w:color w:val="auto"/>
                <w:spacing w:val="0"/>
                <w:szCs w:val="21"/>
                <w:highlight w:val="none"/>
              </w:rPr>
              <w:t>响应时间及地点</w:t>
            </w:r>
          </w:p>
        </w:tc>
        <w:tc>
          <w:tcPr>
            <w:tcW w:w="7568" w:type="dxa"/>
            <w:vAlign w:val="center"/>
          </w:tcPr>
          <w:p>
            <w:pPr>
              <w:keepNext w:val="0"/>
              <w:keepLines w:val="0"/>
              <w:suppressLineNumbers w:val="0"/>
              <w:adjustRightInd w:val="0"/>
              <w:snapToGrid w:val="0"/>
              <w:spacing w:before="0" w:beforeAutospacing="0" w:after="0" w:afterAutospacing="0" w:line="320" w:lineRule="exact"/>
              <w:ind w:left="0" w:right="0"/>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询价方式：现场询价</w:t>
            </w:r>
          </w:p>
          <w:p>
            <w:pPr>
              <w:keepNext w:val="0"/>
              <w:keepLines w:val="0"/>
              <w:suppressLineNumbers w:val="0"/>
              <w:adjustRightInd w:val="0"/>
              <w:snapToGrid w:val="0"/>
              <w:spacing w:before="0" w:beforeAutospacing="0" w:after="0" w:afterAutospacing="0" w:line="320" w:lineRule="exact"/>
              <w:ind w:left="0" w:right="0"/>
              <w:rPr>
                <w:rFonts w:hint="eastAsia" w:ascii="宋体" w:hAnsi="宋体" w:eastAsia="宋体" w:cs="宋体"/>
                <w:b w:val="0"/>
                <w:bCs w:val="0"/>
                <w:color w:val="auto"/>
                <w:spacing w:val="0"/>
                <w:kern w:val="2"/>
                <w:sz w:val="21"/>
                <w:szCs w:val="21"/>
                <w:highlight w:val="none"/>
                <w:lang w:val="zh-CN" w:eastAsia="zh-CN" w:bidi="ar-SA"/>
              </w:rPr>
            </w:pPr>
            <w:r>
              <w:rPr>
                <w:rFonts w:hint="eastAsia" w:ascii="宋体" w:hAnsi="宋体" w:eastAsia="宋体" w:cs="宋体"/>
                <w:b w:val="0"/>
                <w:bCs w:val="0"/>
                <w:color w:val="auto"/>
                <w:spacing w:val="0"/>
                <w:kern w:val="2"/>
                <w:sz w:val="21"/>
                <w:szCs w:val="21"/>
                <w:highlight w:val="none"/>
                <w:lang w:val="en-US" w:eastAsia="zh-CN" w:bidi="ar-SA"/>
              </w:rPr>
              <w:t>响应文件递交截止时间及询价时间：</w:t>
            </w:r>
            <w:r>
              <w:rPr>
                <w:rFonts w:hint="eastAsia" w:ascii="宋体" w:hAnsi="宋体" w:cs="宋体"/>
                <w:b w:val="0"/>
                <w:bCs w:val="0"/>
                <w:color w:val="auto"/>
                <w:spacing w:val="0"/>
                <w:kern w:val="2"/>
                <w:sz w:val="21"/>
                <w:szCs w:val="21"/>
                <w:highlight w:val="none"/>
                <w:lang w:val="en-US" w:eastAsia="zh-CN" w:bidi="ar-SA"/>
              </w:rPr>
              <w:t>同询价截止时间</w:t>
            </w:r>
            <w:r>
              <w:rPr>
                <w:rFonts w:hint="eastAsia" w:ascii="宋体" w:hAnsi="宋体" w:eastAsia="宋体" w:cs="宋体"/>
                <w:b w:val="0"/>
                <w:bCs w:val="0"/>
                <w:color w:val="auto"/>
                <w:spacing w:val="0"/>
                <w:kern w:val="2"/>
                <w:sz w:val="21"/>
                <w:szCs w:val="21"/>
                <w:highlight w:val="none"/>
                <w:lang w:val="en-US" w:eastAsia="zh-CN" w:bidi="ar-SA"/>
              </w:rPr>
              <w:t>，逾期递交，概不接受。同时在</w:t>
            </w:r>
            <w:r>
              <w:rPr>
                <w:rFonts w:hint="eastAsia" w:ascii="宋体"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2</w:t>
            </w:r>
          </w:p>
        </w:tc>
        <w:tc>
          <w:tcPr>
            <w:tcW w:w="1825"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 w:val="0"/>
                <w:bCs w:val="0"/>
                <w:color w:val="auto"/>
                <w:spacing w:val="0"/>
                <w:szCs w:val="21"/>
                <w:highlight w:val="none"/>
              </w:rPr>
            </w:pPr>
            <w:r>
              <w:rPr>
                <w:rFonts w:hint="eastAsia" w:ascii="宋体" w:hAnsi="宋体" w:eastAsia="宋体" w:cs="宋体"/>
                <w:color w:val="auto"/>
                <w:spacing w:val="0"/>
                <w:szCs w:val="21"/>
                <w:highlight w:val="none"/>
              </w:rPr>
              <w:t>响应文件要求</w:t>
            </w:r>
          </w:p>
        </w:tc>
        <w:tc>
          <w:tcPr>
            <w:tcW w:w="7568" w:type="dxa"/>
            <w:vAlign w:val="center"/>
          </w:tcPr>
          <w:p>
            <w:pPr>
              <w:keepNext w:val="0"/>
              <w:keepLines w:val="0"/>
              <w:suppressLineNumbers w:val="0"/>
              <w:adjustRightInd w:val="0"/>
              <w:snapToGrid w:val="0"/>
              <w:spacing w:before="0" w:beforeAutospacing="0" w:after="0" w:afterAutospacing="0" w:line="320" w:lineRule="exact"/>
              <w:ind w:left="0" w:right="0"/>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标书要求：纸质响应文件，应在投标截止时间内递交到安徽大别山工程咨询有限公司一楼开标厅。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3</w:t>
            </w:r>
          </w:p>
        </w:tc>
        <w:tc>
          <w:tcPr>
            <w:tcW w:w="1825" w:type="dxa"/>
            <w:vAlign w:val="center"/>
          </w:tcPr>
          <w:p>
            <w:pPr>
              <w:pStyle w:val="13"/>
              <w:keepNext w:val="0"/>
              <w:keepLines w:val="0"/>
              <w:suppressLineNumbers w:val="0"/>
              <w:adjustRightInd w:val="0"/>
              <w:snapToGrid w:val="0"/>
              <w:spacing w:before="0" w:beforeAutospacing="0" w:after="0" w:afterAutospacing="0" w:line="300" w:lineRule="exact"/>
              <w:ind w:left="0" w:right="0"/>
              <w:jc w:val="center"/>
              <w:rPr>
                <w:rFonts w:hint="eastAsia" w:ascii="宋体" w:hAnsi="宋体" w:eastAsia="宋体" w:cs="宋体"/>
                <w:color w:val="auto"/>
                <w:spacing w:val="0"/>
                <w:sz w:val="21"/>
                <w:szCs w:val="21"/>
                <w:highlight w:val="none"/>
              </w:rPr>
            </w:pPr>
            <w:r>
              <w:rPr>
                <w:rFonts w:hint="eastAsia" w:ascii="宋体" w:hAnsi="宋体" w:eastAsia="宋体" w:cs="宋体"/>
                <w:bCs/>
                <w:color w:val="auto"/>
                <w:spacing w:val="0"/>
                <w:sz w:val="21"/>
                <w:szCs w:val="21"/>
                <w:highlight w:val="none"/>
              </w:rPr>
              <w:t>递交投标文件注意事项</w:t>
            </w:r>
          </w:p>
        </w:tc>
        <w:tc>
          <w:tcPr>
            <w:tcW w:w="7568" w:type="dxa"/>
            <w:vAlign w:val="center"/>
          </w:tcPr>
          <w:p>
            <w:pPr>
              <w:pStyle w:val="1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纸质响应文件必须在</w:t>
            </w:r>
            <w:r>
              <w:rPr>
                <w:rFonts w:hint="eastAsia"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4</w:t>
            </w:r>
          </w:p>
        </w:tc>
        <w:tc>
          <w:tcPr>
            <w:tcW w:w="1825"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投标方式</w:t>
            </w:r>
          </w:p>
        </w:tc>
        <w:tc>
          <w:tcPr>
            <w:tcW w:w="7568" w:type="dxa"/>
            <w:vAlign w:val="center"/>
          </w:tcPr>
          <w:p>
            <w:pPr>
              <w:keepNext w:val="0"/>
              <w:keepLines w:val="0"/>
              <w:numPr>
                <w:ilvl w:val="0"/>
                <w:numId w:val="0"/>
              </w:numPr>
              <w:suppressLineNumbers w:val="0"/>
              <w:shd w:val="solid" w:color="FFFFFF" w:fill="auto"/>
              <w:autoSpaceDN w:val="0"/>
              <w:spacing w:before="0" w:beforeAutospacing="0" w:after="0" w:afterAutospacing="0" w:line="380" w:lineRule="exact"/>
              <w:ind w:left="0" w:right="0"/>
              <w:rPr>
                <w:rFonts w:hint="eastAsia" w:ascii="宋体" w:hAnsi="宋体" w:eastAsia="宋体" w:cs="宋体"/>
                <w:b/>
                <w:bCs/>
                <w:color w:val="auto"/>
                <w:spacing w:val="0"/>
                <w:sz w:val="21"/>
                <w:szCs w:val="21"/>
                <w:highlight w:val="none"/>
              </w:rPr>
            </w:pPr>
            <w:r>
              <w:rPr>
                <w:rFonts w:hint="eastAsia" w:ascii="宋体" w:hAnsi="宋体"/>
                <w:color w:val="auto"/>
                <w:spacing w:val="0"/>
                <w:szCs w:val="21"/>
                <w:highlight w:val="none"/>
                <w:lang w:val="en-US" w:eastAsia="zh-CN"/>
              </w:rPr>
              <w:t>本项目为邀请询价，</w:t>
            </w:r>
            <w:r>
              <w:rPr>
                <w:rFonts w:hint="eastAsia" w:ascii="宋体" w:hAnsi="宋体"/>
                <w:color w:val="auto"/>
                <w:spacing w:val="0"/>
                <w:szCs w:val="21"/>
                <w:highlight w:val="none"/>
                <w:lang w:eastAsia="zh-CN"/>
              </w:rPr>
              <w:t>请受邀的供应商</w:t>
            </w:r>
            <w:r>
              <w:rPr>
                <w:rFonts w:hint="eastAsia" w:ascii="宋体" w:hAnsi="宋体"/>
                <w:color w:val="auto"/>
                <w:spacing w:val="0"/>
                <w:szCs w:val="21"/>
                <w:highlight w:val="none"/>
              </w:rPr>
              <w:t>在投标截止时间前将</w:t>
            </w:r>
            <w:r>
              <w:rPr>
                <w:rFonts w:hint="eastAsia" w:ascii="宋体" w:hAnsi="宋体"/>
                <w:color w:val="auto"/>
                <w:spacing w:val="0"/>
                <w:szCs w:val="21"/>
                <w:highlight w:val="none"/>
                <w:lang w:eastAsia="zh-CN"/>
              </w:rPr>
              <w:t>响应</w:t>
            </w:r>
            <w:r>
              <w:rPr>
                <w:rFonts w:hint="eastAsia" w:ascii="宋体" w:hAnsi="宋体"/>
                <w:color w:val="auto"/>
                <w:spacing w:val="0"/>
                <w:szCs w:val="21"/>
                <w:highlight w:val="none"/>
              </w:rPr>
              <w:t>文件以及资格审查资料递交至</w:t>
            </w:r>
            <w:r>
              <w:rPr>
                <w:rFonts w:hint="eastAsia" w:ascii="宋体" w:hAnsi="宋体"/>
                <w:color w:val="auto"/>
                <w:spacing w:val="0"/>
                <w:szCs w:val="21"/>
                <w:highlight w:val="none"/>
                <w:lang w:eastAsia="zh-CN"/>
              </w:rPr>
              <w:t>询价</w:t>
            </w:r>
            <w:r>
              <w:rPr>
                <w:rFonts w:hint="eastAsia" w:ascii="宋体" w:hAnsi="宋体"/>
                <w:color w:val="auto"/>
                <w:spacing w:val="0"/>
                <w:szCs w:val="21"/>
                <w:highlight w:val="none"/>
              </w:rPr>
              <w:t>文件指定地点</w:t>
            </w:r>
            <w:r>
              <w:rPr>
                <w:rFonts w:hint="eastAsia" w:ascii="宋体" w:hAnsi="宋体"/>
                <w:color w:val="auto"/>
                <w:spacing w:val="0"/>
                <w:szCs w:val="21"/>
                <w:highlight w:val="none"/>
                <w:lang w:val="en-US" w:eastAsia="zh-CN"/>
              </w:rPr>
              <w:t>参与询价</w:t>
            </w:r>
            <w:r>
              <w:rPr>
                <w:rFonts w:hint="eastAsia" w:ascii="宋体" w:hAnsi="宋体"/>
                <w:color w:val="auto"/>
                <w:spacing w:val="0"/>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spacing w:val="0"/>
                <w:kern w:val="0"/>
                <w:sz w:val="24"/>
                <w:szCs w:val="20"/>
                <w:highlight w:val="none"/>
                <w:shd w:val="clear" w:color="auto" w:fill="FFFFFF"/>
                <w:lang w:bidi="ar"/>
              </w:rPr>
              <w:fldChar w:fldCharType="begin"/>
            </w:r>
            <w:r>
              <w:rPr>
                <w:rFonts w:hint="eastAsia" w:ascii="宋体" w:hAnsi="宋体" w:cs="宋体"/>
                <w:color w:val="auto"/>
                <w:spacing w:val="0"/>
                <w:kern w:val="0"/>
                <w:sz w:val="24"/>
                <w:szCs w:val="20"/>
                <w:highlight w:val="none"/>
                <w:shd w:val="clear" w:color="auto" w:fill="FFFFFF"/>
                <w:lang w:bidi="ar"/>
              </w:rPr>
              <w:instrText xml:space="preserve"> HYPERLINK "http://www.ahdmig.cn。" </w:instrText>
            </w:r>
            <w:r>
              <w:rPr>
                <w:rFonts w:hint="eastAsia" w:ascii="宋体" w:hAnsi="宋体" w:cs="宋体"/>
                <w:color w:val="auto"/>
                <w:spacing w:val="0"/>
                <w:kern w:val="0"/>
                <w:sz w:val="24"/>
                <w:szCs w:val="20"/>
                <w:highlight w:val="none"/>
                <w:shd w:val="clear" w:color="auto" w:fill="FFFFFF"/>
                <w:lang w:bidi="ar"/>
              </w:rPr>
              <w:fldChar w:fldCharType="separate"/>
            </w:r>
            <w:r>
              <w:rPr>
                <w:rStyle w:val="27"/>
                <w:rFonts w:hint="eastAsia" w:ascii="宋体" w:hAnsi="宋体" w:cs="宋体"/>
                <w:color w:val="auto"/>
                <w:spacing w:val="0"/>
                <w:kern w:val="0"/>
                <w:sz w:val="24"/>
                <w:szCs w:val="20"/>
                <w:highlight w:val="none"/>
                <w:shd w:val="clear" w:color="auto" w:fill="FFFFFF"/>
                <w:lang w:bidi="ar"/>
              </w:rPr>
              <w:t>www.ahdmig.cn</w:t>
            </w:r>
            <w:r>
              <w:rPr>
                <w:rFonts w:hint="eastAsia" w:ascii="宋体" w:hAnsi="宋体" w:cs="宋体"/>
                <w:color w:val="auto"/>
                <w:spacing w:val="0"/>
                <w:kern w:val="0"/>
                <w:sz w:val="24"/>
                <w:szCs w:val="20"/>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olor w:val="auto"/>
                <w:spacing w:val="0"/>
                <w:szCs w:val="21"/>
                <w:highlight w:val="none"/>
              </w:rPr>
              <w:t>中</w:t>
            </w:r>
            <w:r>
              <w:rPr>
                <w:rFonts w:hint="eastAsia" w:ascii="宋体" w:hAnsi="宋体"/>
                <w:color w:val="auto"/>
                <w:spacing w:val="0"/>
                <w:szCs w:val="21"/>
                <w:highlight w:val="none"/>
                <w:lang w:val="en-US" w:eastAsia="zh-CN"/>
              </w:rPr>
              <w:t>招标采购专栏</w:t>
            </w:r>
            <w:r>
              <w:rPr>
                <w:rFonts w:hint="eastAsia" w:ascii="宋体" w:hAnsi="宋体"/>
                <w:color w:val="auto"/>
                <w:spacing w:val="0"/>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15</w:t>
            </w:r>
          </w:p>
        </w:tc>
        <w:tc>
          <w:tcPr>
            <w:tcW w:w="1825" w:type="dxa"/>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宋体" w:hAnsi="宋体" w:eastAsia="宋体" w:cs="宋体"/>
                <w:color w:val="auto"/>
                <w:spacing w:val="0"/>
                <w:szCs w:val="21"/>
                <w:highlight w:val="none"/>
              </w:rPr>
            </w:pPr>
            <w:r>
              <w:rPr>
                <w:rFonts w:hint="eastAsia" w:ascii="宋体" w:hAnsi="宋体" w:cs="宋体"/>
                <w:color w:val="auto"/>
                <w:spacing w:val="0"/>
                <w:szCs w:val="20"/>
                <w:highlight w:val="none"/>
                <w:lang w:eastAsia="zh-CN"/>
              </w:rPr>
              <w:t>供应商</w:t>
            </w:r>
            <w:r>
              <w:rPr>
                <w:rFonts w:hint="eastAsia" w:ascii="宋体" w:hAnsi="宋体" w:cs="宋体"/>
                <w:color w:val="auto"/>
                <w:spacing w:val="0"/>
                <w:szCs w:val="20"/>
                <w:highlight w:val="none"/>
              </w:rPr>
              <w:t>对</w:t>
            </w:r>
            <w:r>
              <w:rPr>
                <w:rFonts w:hint="eastAsia" w:ascii="宋体" w:hAnsi="宋体" w:cs="宋体"/>
                <w:color w:val="auto"/>
                <w:spacing w:val="0"/>
                <w:szCs w:val="20"/>
                <w:highlight w:val="none"/>
                <w:lang w:eastAsia="zh-CN"/>
              </w:rPr>
              <w:t>询价</w:t>
            </w:r>
            <w:r>
              <w:rPr>
                <w:rFonts w:hint="eastAsia" w:ascii="宋体" w:hAnsi="宋体" w:cs="宋体"/>
                <w:color w:val="auto"/>
                <w:spacing w:val="0"/>
                <w:szCs w:val="20"/>
                <w:highlight w:val="none"/>
              </w:rPr>
              <w:t>文件有疑问提交的截止时间</w:t>
            </w:r>
          </w:p>
        </w:tc>
        <w:tc>
          <w:tcPr>
            <w:tcW w:w="7568" w:type="dxa"/>
            <w:vAlign w:val="center"/>
          </w:tcPr>
          <w:p>
            <w:pPr>
              <w:keepNext w:val="0"/>
              <w:keepLines w:val="0"/>
              <w:suppressLineNumbers w:val="0"/>
              <w:adjustRightInd w:val="0"/>
              <w:snapToGrid w:val="0"/>
              <w:spacing w:before="0" w:beforeAutospacing="0" w:after="0" w:afterAutospacing="0" w:line="340" w:lineRule="exact"/>
              <w:ind w:left="0" w:right="0"/>
              <w:jc w:val="left"/>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0"/>
                <w:highlight w:val="none"/>
              </w:rPr>
              <w:t>递交</w:t>
            </w:r>
            <w:r>
              <w:rPr>
                <w:rFonts w:hint="eastAsia" w:ascii="宋体" w:hAnsi="宋体" w:cs="宋体"/>
                <w:color w:val="auto"/>
                <w:spacing w:val="0"/>
                <w:szCs w:val="20"/>
                <w:highlight w:val="none"/>
                <w:lang w:eastAsia="zh-CN"/>
              </w:rPr>
              <w:t>询价</w:t>
            </w:r>
            <w:r>
              <w:rPr>
                <w:rFonts w:hint="eastAsia" w:ascii="宋体" w:hAnsi="宋体" w:cs="宋体"/>
                <w:color w:val="auto"/>
                <w:spacing w:val="0"/>
                <w:szCs w:val="20"/>
                <w:highlight w:val="none"/>
              </w:rPr>
              <w:t>文件截止时间前</w:t>
            </w:r>
            <w:r>
              <w:rPr>
                <w:rFonts w:hint="default" w:ascii="宋体" w:hAnsi="宋体" w:cs="宋体"/>
                <w:color w:val="auto"/>
                <w:spacing w:val="0"/>
                <w:szCs w:val="20"/>
                <w:highlight w:val="none"/>
              </w:rPr>
              <w:t>2</w:t>
            </w:r>
            <w:r>
              <w:rPr>
                <w:rFonts w:hint="eastAsia" w:ascii="宋体" w:hAnsi="宋体" w:cs="宋体"/>
                <w:color w:val="auto"/>
                <w:spacing w:val="0"/>
                <w:szCs w:val="20"/>
                <w:highlight w:val="none"/>
              </w:rPr>
              <w:t>天</w:t>
            </w:r>
            <w:r>
              <w:rPr>
                <w:rFonts w:hint="eastAsia" w:ascii="宋体" w:hAnsi="宋体" w:cs="宋体"/>
                <w:color w:val="auto"/>
                <w:spacing w:val="0"/>
                <w:szCs w:val="2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6</w:t>
            </w:r>
          </w:p>
        </w:tc>
        <w:tc>
          <w:tcPr>
            <w:tcW w:w="1825"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保证金</w:t>
            </w:r>
          </w:p>
        </w:tc>
        <w:tc>
          <w:tcPr>
            <w:tcW w:w="7568" w:type="dxa"/>
            <w:vAlign w:val="center"/>
          </w:tcPr>
          <w:p>
            <w:pPr>
              <w:keepNext w:val="0"/>
              <w:keepLines w:val="0"/>
              <w:suppressLineNumbers w:val="0"/>
              <w:adjustRightInd w:val="0"/>
              <w:snapToGrid w:val="0"/>
              <w:spacing w:before="0" w:beforeAutospacing="0" w:after="0" w:afterAutospacing="0" w:line="320" w:lineRule="exact"/>
              <w:ind w:left="0" w:right="0"/>
              <w:rPr>
                <w:rFonts w:hint="default" w:ascii="宋体" w:hAnsi="宋体" w:eastAsia="宋体" w:cs="宋体"/>
                <w:bCs/>
                <w:color w:val="auto"/>
                <w:spacing w:val="0"/>
                <w:szCs w:val="21"/>
                <w:highlight w:val="none"/>
                <w:lang w:val="en-US" w:eastAsia="zh-CN"/>
              </w:rPr>
            </w:pPr>
            <w:r>
              <w:rPr>
                <w:rFonts w:hint="eastAsia" w:ascii="宋体" w:hAnsi="宋体" w:cs="宋体"/>
                <w:bCs/>
                <w:color w:val="auto"/>
                <w:spacing w:val="0"/>
                <w:szCs w:val="21"/>
                <w:highlight w:val="none"/>
                <w:lang w:val="en-US" w:eastAsia="zh-CN"/>
              </w:rPr>
              <w:t>详见询价公告。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keepNext w:val="0"/>
              <w:keepLines w:val="0"/>
              <w:suppressLineNumbers w:val="0"/>
              <w:adjustRightInd w:val="0"/>
              <w:snapToGrid w:val="0"/>
              <w:spacing w:before="0" w:beforeAutospacing="0" w:after="0" w:afterAutospacing="0" w:line="360" w:lineRule="exact"/>
              <w:ind w:left="0" w:right="0"/>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7</w:t>
            </w:r>
          </w:p>
        </w:tc>
        <w:tc>
          <w:tcPr>
            <w:tcW w:w="1825"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履约保证金</w:t>
            </w:r>
          </w:p>
        </w:tc>
        <w:tc>
          <w:tcPr>
            <w:tcW w:w="7568" w:type="dxa"/>
            <w:vAlign w:val="center"/>
          </w:tcPr>
          <w:p>
            <w:pPr>
              <w:keepNext w:val="0"/>
              <w:keepLines w:val="0"/>
              <w:suppressLineNumbers w:val="0"/>
              <w:adjustRightInd w:val="0"/>
              <w:snapToGrid w:val="0"/>
              <w:spacing w:before="0" w:beforeAutospacing="0" w:after="0" w:afterAutospacing="0" w:line="320" w:lineRule="exact"/>
              <w:ind w:left="0" w:right="0"/>
              <w:rPr>
                <w:rFonts w:hint="eastAsia" w:ascii="宋体" w:hAnsi="宋体" w:eastAsia="宋体" w:cs="宋体"/>
                <w:color w:val="auto"/>
                <w:spacing w:val="0"/>
                <w:sz w:val="21"/>
                <w:szCs w:val="21"/>
                <w:highlight w:val="none"/>
                <w:lang w:eastAsia="zh-CN"/>
              </w:rPr>
            </w:pPr>
            <w:r>
              <w:rPr>
                <w:rFonts w:hint="eastAsia" w:ascii="宋体" w:hAnsi="宋体" w:cs="宋体"/>
                <w:color w:val="auto"/>
                <w:spacing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keepNext w:val="0"/>
              <w:keepLines w:val="0"/>
              <w:suppressLineNumbers w:val="0"/>
              <w:adjustRightInd w:val="0"/>
              <w:snapToGrid w:val="0"/>
              <w:spacing w:before="0" w:beforeAutospacing="0" w:after="0" w:afterAutospacing="0" w:line="360" w:lineRule="exact"/>
              <w:ind w:left="0" w:right="0"/>
              <w:jc w:val="center"/>
              <w:rPr>
                <w:rFonts w:hint="default" w:ascii="宋体" w:hAnsi="宋体" w:eastAsia="宋体" w:cs="宋体"/>
                <w:color w:val="auto"/>
                <w:spacing w:val="0"/>
                <w:szCs w:val="21"/>
                <w:highlight w:val="none"/>
                <w:lang w:val="en-US"/>
              </w:rPr>
            </w:pPr>
            <w:r>
              <w:rPr>
                <w:rFonts w:hint="eastAsia" w:ascii="宋体" w:hAnsi="宋体" w:cs="宋体"/>
                <w:color w:val="auto"/>
                <w:spacing w:val="0"/>
                <w:szCs w:val="21"/>
                <w:highlight w:val="none"/>
                <w:lang w:val="en-US" w:eastAsia="zh-CN"/>
              </w:rPr>
              <w:t>18</w:t>
            </w:r>
          </w:p>
        </w:tc>
        <w:tc>
          <w:tcPr>
            <w:tcW w:w="1825"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rPr>
              <w:t>备注一</w:t>
            </w:r>
          </w:p>
        </w:tc>
        <w:tc>
          <w:tcPr>
            <w:tcW w:w="7568" w:type="dxa"/>
            <w:vAlign w:val="center"/>
          </w:tcPr>
          <w:p>
            <w:pPr>
              <w:pStyle w:val="36"/>
              <w:keepNext w:val="0"/>
              <w:keepLines w:val="0"/>
              <w:suppressLineNumbers w:val="0"/>
              <w:adjustRightInd w:val="0"/>
              <w:snapToGrid w:val="0"/>
              <w:spacing w:before="0" w:beforeAutospacing="0" w:after="0" w:afterAutospacing="0" w:line="320" w:lineRule="exact"/>
              <w:ind w:left="0" w:right="0"/>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1</w:t>
            </w:r>
            <w:r>
              <w:rPr>
                <w:rFonts w:hint="eastAsia" w:ascii="宋体" w:hAnsi="宋体" w:eastAsia="宋体" w:cs="宋体"/>
                <w:color w:val="auto"/>
                <w:spacing w:val="0"/>
                <w:sz w:val="21"/>
                <w:szCs w:val="21"/>
                <w:highlight w:val="none"/>
              </w:rPr>
              <w:t>、联合体供应商，联合体任何一方存在上述不良信用记录的，视同联合体存在不良信用记录。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color w:val="auto"/>
                <w:spacing w:val="0"/>
                <w:sz w:val="21"/>
                <w:szCs w:val="21"/>
                <w:highlight w:val="none"/>
                <w:lang w:val="en-US" w:eastAsia="zh-CN"/>
              </w:rPr>
              <w:t>2</w:t>
            </w:r>
            <w:r>
              <w:rPr>
                <w:rFonts w:hint="eastAsia" w:ascii="宋体" w:hAnsi="宋体" w:eastAsia="宋体" w:cs="宋体"/>
                <w:color w:val="auto"/>
                <w:spacing w:val="0"/>
                <w:sz w:val="21"/>
                <w:szCs w:val="21"/>
                <w:highlight w:val="none"/>
              </w:rPr>
              <w:t>、</w:t>
            </w:r>
            <w:r>
              <w:rPr>
                <w:rFonts w:hint="eastAsia" w:ascii="宋体" w:hAnsi="宋体"/>
                <w:color w:val="auto"/>
                <w:spacing w:val="0"/>
                <w:sz w:val="21"/>
                <w:szCs w:val="21"/>
                <w:highlight w:val="none"/>
                <w:lang w:val="en-US" w:eastAsia="zh-CN"/>
              </w:rPr>
              <w:t>供应商存在以下不良信用记录情</w:t>
            </w:r>
            <w:r>
              <w:rPr>
                <w:rFonts w:hint="eastAsia" w:ascii="宋体" w:hAnsi="宋体" w:eastAsia="宋体" w:cs="宋体"/>
                <w:i w:val="0"/>
                <w:caps w:val="0"/>
                <w:color w:val="auto"/>
                <w:spacing w:val="0"/>
                <w:sz w:val="21"/>
                <w:szCs w:val="21"/>
                <w:highlight w:val="none"/>
                <w:shd w:val="clear" w:color="auto" w:fill="FFFFFF"/>
                <w:lang w:val="en-US" w:eastAsia="zh-CN"/>
              </w:rPr>
              <w:t>形之一的，不得推荐为中标候选供应商，不得确定为中标供应商（仅以下述渠道查询结果为准，其他网站无效）：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(1）供应商被人民法院列入失信被执行人的，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w:t>
            </w:r>
            <w:r>
              <w:rPr>
                <w:rFonts w:hint="eastAsia" w:ascii="宋体" w:hAnsi="宋体" w:cs="宋体"/>
                <w:i w:val="0"/>
                <w:caps w:val="0"/>
                <w:color w:val="auto"/>
                <w:spacing w:val="0"/>
                <w:sz w:val="21"/>
                <w:szCs w:val="21"/>
                <w:highlight w:val="none"/>
                <w:shd w:val="clear" w:color="auto" w:fill="FFFFFF"/>
                <w:lang w:val="en-US" w:eastAsia="zh-CN"/>
              </w:rPr>
              <w:t>网</w:t>
            </w:r>
            <w:r>
              <w:rPr>
                <w:rFonts w:hint="eastAsia" w:ascii="宋体" w:hAnsi="宋体" w:eastAsia="宋体" w:cs="宋体"/>
                <w:i w:val="0"/>
                <w:caps w:val="0"/>
                <w:color w:val="auto"/>
                <w:spacing w:val="0"/>
                <w:sz w:val="21"/>
                <w:szCs w:val="21"/>
                <w:highlight w:val="none"/>
                <w:shd w:val="clear" w:color="auto" w:fill="FFFFFF"/>
                <w:lang w:val="en-US" w:eastAsia="zh-CN"/>
              </w:rPr>
              <w:t>（www.creditchina.gov.cn）；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(2）供应商被工商行政管理部门列入企业经营异常名录的，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国家企业信用信息公示系统网站（www.gsxt.gov.cn）；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(3）供应商被税务部门列入重大税收违法案件当事人名单的，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(4）供应商被政府采购监管部门列入政府采购严重违法失信行为记录名单的，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中国政府采购官网（www.ccgp.gov.cn）。</w:t>
            </w:r>
          </w:p>
          <w:p>
            <w:pPr>
              <w:pStyle w:val="36"/>
              <w:keepNext w:val="0"/>
              <w:keepLines w:val="0"/>
              <w:suppressLineNumbers w:val="0"/>
              <w:adjustRightInd w:val="0"/>
              <w:snapToGrid w:val="0"/>
              <w:spacing w:before="0" w:beforeAutospacing="0" w:after="0" w:afterAutospacing="0" w:line="320" w:lineRule="exact"/>
              <w:ind w:left="0" w:right="0"/>
              <w:rPr>
                <w:rFonts w:hint="eastAsia" w:ascii="宋体" w:hAnsi="宋体" w:eastAsia="宋体" w:cs="宋体"/>
                <w:b/>
                <w:bCs/>
                <w:color w:val="auto"/>
                <w:spacing w:val="0"/>
                <w:kern w:val="0"/>
                <w:szCs w:val="21"/>
                <w:highlight w:val="none"/>
                <w:shd w:val="clear" w:color="auto" w:fill="FFFFFF"/>
              </w:rPr>
            </w:pPr>
            <w:r>
              <w:rPr>
                <w:rFonts w:hint="eastAsia" w:ascii="宋体" w:hAnsi="宋体" w:cs="宋体"/>
                <w:color w:val="auto"/>
                <w:spacing w:val="0"/>
                <w:sz w:val="21"/>
                <w:szCs w:val="21"/>
                <w:highlight w:val="none"/>
                <w:lang w:val="en-US" w:eastAsia="zh-CN"/>
              </w:rPr>
              <w:t>3</w:t>
            </w:r>
            <w:r>
              <w:rPr>
                <w:rFonts w:hint="eastAsia" w:ascii="宋体" w:hAnsi="宋体" w:eastAsia="宋体" w:cs="宋体"/>
                <w:color w:val="auto"/>
                <w:spacing w:val="0"/>
                <w:sz w:val="21"/>
                <w:szCs w:val="21"/>
                <w:highlight w:val="none"/>
              </w:rPr>
              <w:t>、询价时，供应商应当查询上述记录后，如实提供无不良信用记录承诺并加盖供应商</w:t>
            </w:r>
            <w:r>
              <w:rPr>
                <w:rFonts w:hint="eastAsia" w:ascii="宋体" w:hAnsi="宋体" w:cs="宋体"/>
                <w:color w:val="auto"/>
                <w:spacing w:val="0"/>
                <w:sz w:val="21"/>
                <w:szCs w:val="21"/>
                <w:highlight w:val="none"/>
                <w:lang w:eastAsia="zh-CN"/>
              </w:rPr>
              <w:t>公</w:t>
            </w:r>
            <w:r>
              <w:rPr>
                <w:rFonts w:hint="eastAsia" w:ascii="宋体" w:hAnsi="宋体" w:eastAsia="宋体" w:cs="宋体"/>
                <w:color w:val="auto"/>
                <w:spacing w:val="0"/>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keepNext w:val="0"/>
              <w:keepLines w:val="0"/>
              <w:suppressLineNumbers w:val="0"/>
              <w:adjustRightInd w:val="0"/>
              <w:snapToGrid w:val="0"/>
              <w:spacing w:before="0" w:beforeAutospacing="0" w:after="0" w:afterAutospacing="0" w:line="360" w:lineRule="exact"/>
              <w:ind w:left="0" w:right="0"/>
              <w:jc w:val="center"/>
              <w:rPr>
                <w:rFonts w:hint="default" w:ascii="宋体" w:hAnsi="宋体" w:eastAsia="宋体" w:cs="宋体"/>
                <w:color w:val="auto"/>
                <w:spacing w:val="0"/>
                <w:szCs w:val="21"/>
                <w:highlight w:val="none"/>
                <w:lang w:val="en-US" w:eastAsia="zh-CN"/>
              </w:rPr>
            </w:pPr>
          </w:p>
        </w:tc>
        <w:tc>
          <w:tcPr>
            <w:tcW w:w="1825"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w:t>
            </w:r>
            <w:r>
              <w:rPr>
                <w:rFonts w:hint="eastAsia" w:ascii="宋体" w:hAnsi="宋体" w:cs="宋体"/>
                <w:color w:val="auto"/>
                <w:spacing w:val="0"/>
                <w:szCs w:val="21"/>
                <w:highlight w:val="none"/>
                <w:lang w:val="en-US" w:eastAsia="zh-CN"/>
              </w:rPr>
              <w:t>二</w:t>
            </w:r>
          </w:p>
        </w:tc>
        <w:tc>
          <w:tcPr>
            <w:tcW w:w="7568" w:type="dxa"/>
            <w:vAlign w:val="center"/>
          </w:tcPr>
          <w:p>
            <w:pPr>
              <w:pStyle w:val="36"/>
              <w:keepNext w:val="0"/>
              <w:keepLines w:val="0"/>
              <w:suppressLineNumbers w:val="0"/>
              <w:adjustRightInd w:val="0"/>
              <w:snapToGrid w:val="0"/>
              <w:spacing w:before="0" w:beforeAutospacing="0" w:after="0" w:afterAutospacing="0" w:line="320" w:lineRule="exact"/>
              <w:ind w:left="0" w:right="0"/>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770" w:type="dxa"/>
            <w:vMerge w:val="continue"/>
            <w:vAlign w:val="center"/>
          </w:tcPr>
          <w:p>
            <w:pPr>
              <w:keepNext w:val="0"/>
              <w:keepLines w:val="0"/>
              <w:suppressLineNumbers w:val="0"/>
              <w:adjustRightInd w:val="0"/>
              <w:snapToGrid w:val="0"/>
              <w:spacing w:before="0" w:beforeAutospacing="0" w:after="0" w:afterAutospacing="0" w:line="360" w:lineRule="exact"/>
              <w:ind w:left="0" w:right="0"/>
              <w:jc w:val="center"/>
              <w:rPr>
                <w:rFonts w:hint="default" w:ascii="宋体" w:hAnsi="宋体" w:eastAsia="宋体" w:cs="宋体"/>
                <w:color w:val="auto"/>
                <w:spacing w:val="0"/>
                <w:szCs w:val="21"/>
                <w:highlight w:val="none"/>
                <w:lang w:val="en-US" w:eastAsia="zh-CN"/>
              </w:rPr>
            </w:pPr>
          </w:p>
        </w:tc>
        <w:tc>
          <w:tcPr>
            <w:tcW w:w="1825"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default"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备注三</w:t>
            </w:r>
          </w:p>
        </w:tc>
        <w:tc>
          <w:tcPr>
            <w:tcW w:w="7568" w:type="dxa"/>
            <w:vAlign w:val="center"/>
          </w:tcPr>
          <w:p>
            <w:pPr>
              <w:pStyle w:val="36"/>
              <w:keepNext w:val="0"/>
              <w:keepLines w:val="0"/>
              <w:suppressLineNumbers w:val="0"/>
              <w:adjustRightInd w:val="0"/>
              <w:snapToGrid w:val="0"/>
              <w:spacing w:before="0" w:beforeAutospacing="0" w:after="0" w:afterAutospacing="0" w:line="320" w:lineRule="exact"/>
              <w:ind w:left="0" w:right="0"/>
              <w:rPr>
                <w:rFonts w:hint="eastAsia" w:ascii="宋体" w:hAnsi="宋体" w:eastAsia="宋体" w:cs="宋体"/>
                <w:b/>
                <w:color w:val="auto"/>
                <w:spacing w:val="0"/>
                <w:sz w:val="21"/>
                <w:szCs w:val="21"/>
                <w:highlight w:val="none"/>
              </w:rPr>
            </w:pPr>
            <w:r>
              <w:rPr>
                <w:rFonts w:hint="eastAsia" w:ascii="宋体" w:hAnsi="宋体" w:cs="宋体"/>
                <w:color w:val="auto"/>
                <w:spacing w:val="0"/>
                <w:szCs w:val="20"/>
                <w:highlight w:val="none"/>
              </w:rPr>
              <w:t>参加开标会时应携带以下资料</w:t>
            </w:r>
            <w:r>
              <w:rPr>
                <w:rFonts w:hint="eastAsia" w:ascii="宋体" w:hAnsi="宋体" w:eastAsia="宋体" w:cs="宋体"/>
                <w:b/>
                <w:color w:val="auto"/>
                <w:spacing w:val="0"/>
                <w:sz w:val="21"/>
                <w:szCs w:val="21"/>
                <w:highlight w:val="none"/>
              </w:rPr>
              <w:t>原件现场查验：</w:t>
            </w:r>
            <w:r>
              <w:rPr>
                <w:rFonts w:hint="eastAsia" w:ascii="宋体" w:hAnsi="宋体" w:eastAsia="宋体" w:cs="宋体"/>
                <w:b/>
                <w:color w:val="auto"/>
                <w:spacing w:val="0"/>
                <w:sz w:val="21"/>
                <w:szCs w:val="21"/>
                <w:highlight w:val="none"/>
                <w:lang w:val="en-US" w:eastAsia="zh-CN"/>
              </w:rPr>
              <w:t>法人身份证明和法人身份证原件或</w:t>
            </w:r>
            <w:r>
              <w:rPr>
                <w:rFonts w:hint="eastAsia" w:ascii="宋体" w:hAnsi="宋体" w:eastAsia="宋体" w:cs="宋体"/>
                <w:b/>
                <w:color w:val="auto"/>
                <w:spacing w:val="0"/>
                <w:sz w:val="21"/>
                <w:szCs w:val="21"/>
                <w:highlight w:val="none"/>
              </w:rPr>
              <w:t>授权委托代理人身份证和授权委托书原件、</w:t>
            </w:r>
            <w:r>
              <w:rPr>
                <w:rFonts w:hint="eastAsia" w:ascii="宋体" w:hAnsi="宋体" w:eastAsia="宋体" w:cs="宋体"/>
                <w:b/>
                <w:color w:val="auto"/>
                <w:spacing w:val="0"/>
                <w:sz w:val="21"/>
                <w:szCs w:val="21"/>
                <w:highlight w:val="none"/>
                <w:lang w:val="en-US" w:eastAsia="zh-CN"/>
              </w:rPr>
              <w:t>保证金进账单</w:t>
            </w:r>
            <w:r>
              <w:rPr>
                <w:rFonts w:hint="eastAsia" w:ascii="宋体" w:hAnsi="宋体" w:eastAsia="宋体" w:cs="宋体"/>
                <w:b/>
                <w:color w:val="auto"/>
                <w:spacing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keepNext w:val="0"/>
              <w:keepLines w:val="0"/>
              <w:suppressLineNumbers w:val="0"/>
              <w:adjustRightInd w:val="0"/>
              <w:snapToGrid w:val="0"/>
              <w:spacing w:before="0" w:beforeAutospacing="0" w:after="0" w:afterAutospacing="0" w:line="360" w:lineRule="exact"/>
              <w:ind w:left="0" w:right="0"/>
              <w:jc w:val="left"/>
              <w:rPr>
                <w:rFonts w:hint="default" w:ascii="宋体" w:hAnsi="宋体" w:eastAsia="宋体" w:cs="宋体"/>
                <w:b/>
                <w:bCs/>
                <w:color w:val="auto"/>
                <w:spacing w:val="0"/>
                <w:szCs w:val="22"/>
                <w:highlight w:val="none"/>
                <w:lang w:val="en-US" w:eastAsia="zh-CN"/>
              </w:rPr>
            </w:pPr>
            <w:r>
              <w:rPr>
                <w:rFonts w:hint="eastAsia" w:ascii="宋体" w:hAnsi="宋体" w:eastAsia="宋体" w:cs="宋体"/>
                <w:b/>
                <w:bCs/>
                <w:color w:val="auto"/>
                <w:spacing w:val="0"/>
                <w:szCs w:val="20"/>
                <w:highlight w:val="none"/>
              </w:rPr>
              <w:t>备注</w:t>
            </w:r>
            <w:r>
              <w:rPr>
                <w:rFonts w:hint="eastAsia" w:ascii="宋体" w:hAnsi="宋体" w:eastAsia="宋体" w:cs="宋体"/>
                <w:b/>
                <w:bCs/>
                <w:color w:val="auto"/>
                <w:spacing w:val="0"/>
                <w:szCs w:val="20"/>
                <w:highlight w:val="none"/>
                <w:lang w:eastAsia="zh-CN"/>
              </w:rPr>
              <w:t>：</w:t>
            </w:r>
            <w:r>
              <w:rPr>
                <w:rFonts w:hint="eastAsia" w:ascii="宋体" w:hAnsi="宋体" w:eastAsia="宋体" w:cs="宋体"/>
                <w:b/>
                <w:bCs/>
                <w:color w:val="auto"/>
                <w:spacing w:val="0"/>
                <w:szCs w:val="20"/>
                <w:highlight w:val="none"/>
              </w:rPr>
              <w:t>1</w:t>
            </w:r>
            <w:r>
              <w:rPr>
                <w:rFonts w:hint="eastAsia" w:ascii="宋体" w:hAnsi="宋体" w:eastAsia="宋体" w:cs="宋体"/>
                <w:b/>
                <w:bCs/>
                <w:color w:val="auto"/>
                <w:spacing w:val="0"/>
                <w:szCs w:val="20"/>
                <w:highlight w:val="none"/>
                <w:lang w:eastAsia="zh-CN"/>
              </w:rPr>
              <w:t>、</w:t>
            </w:r>
            <w:r>
              <w:rPr>
                <w:rFonts w:hint="eastAsia" w:ascii="宋体" w:hAnsi="宋体" w:eastAsia="宋体" w:cs="宋体"/>
                <w:b/>
                <w:bCs/>
                <w:color w:val="auto"/>
                <w:spacing w:val="0"/>
                <w:szCs w:val="2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eastAsia="宋体" w:cs="宋体"/>
                <w:b/>
                <w:bCs/>
                <w:color w:val="auto"/>
                <w:spacing w:val="0"/>
                <w:szCs w:val="22"/>
                <w:highlight w:val="none"/>
                <w:lang w:val="en-US" w:eastAsia="zh-CN"/>
              </w:rPr>
              <w:t>本项目采购代理服务费由</w:t>
            </w:r>
            <w:r>
              <w:rPr>
                <w:rFonts w:hint="eastAsia" w:ascii="宋体" w:hAnsi="宋体" w:cs="宋体"/>
                <w:b/>
                <w:bCs/>
                <w:color w:val="auto"/>
                <w:spacing w:val="0"/>
                <w:szCs w:val="22"/>
                <w:highlight w:val="none"/>
                <w:lang w:val="en-US" w:eastAsia="zh-CN"/>
              </w:rPr>
              <w:t>成交人</w:t>
            </w:r>
            <w:r>
              <w:rPr>
                <w:rFonts w:hint="eastAsia" w:ascii="宋体" w:hAnsi="宋体" w:eastAsia="宋体" w:cs="宋体"/>
                <w:b/>
                <w:bCs/>
                <w:color w:val="auto"/>
                <w:spacing w:val="0"/>
                <w:szCs w:val="22"/>
                <w:highlight w:val="none"/>
                <w:lang w:val="en-US" w:eastAsia="zh-CN"/>
              </w:rPr>
              <w:t>支付</w:t>
            </w:r>
            <w:r>
              <w:rPr>
                <w:rFonts w:hint="eastAsia" w:ascii="宋体" w:hAnsi="宋体" w:cs="宋体"/>
                <w:b/>
                <w:bCs/>
                <w:color w:val="auto"/>
                <w:spacing w:val="0"/>
                <w:szCs w:val="22"/>
                <w:highlight w:val="none"/>
                <w:lang w:val="en-US" w:eastAsia="zh-CN"/>
              </w:rPr>
              <w:t>，</w:t>
            </w:r>
            <w:r>
              <w:rPr>
                <w:rFonts w:hint="eastAsia" w:ascii="宋体" w:hAnsi="宋体" w:eastAsia="宋体" w:cs="宋体"/>
                <w:b/>
                <w:bCs/>
                <w:color w:val="auto"/>
                <w:spacing w:val="0"/>
                <w:szCs w:val="22"/>
                <w:highlight w:val="none"/>
                <w:lang w:val="en-US" w:eastAsia="zh-CN"/>
              </w:rPr>
              <w:t>成交通知书发放前，按规定向代理机构交纳采购代理服务费</w:t>
            </w:r>
            <w:r>
              <w:rPr>
                <w:rFonts w:hint="eastAsia" w:ascii="宋体" w:hAnsi="宋体" w:cs="宋体"/>
                <w:b/>
                <w:bCs/>
                <w:color w:val="auto"/>
                <w:spacing w:val="0"/>
                <w:szCs w:val="22"/>
                <w:highlight w:val="none"/>
                <w:lang w:val="en-US" w:eastAsia="zh-CN"/>
              </w:rPr>
              <w:t>，本项目须一次性缴纳代理费2000元（含专家评审费）。</w:t>
            </w:r>
          </w:p>
          <w:p>
            <w:pPr>
              <w:keepNext w:val="0"/>
              <w:keepLines w:val="0"/>
              <w:suppressLineNumbers w:val="0"/>
              <w:adjustRightInd w:val="0"/>
              <w:snapToGrid w:val="0"/>
              <w:spacing w:before="0" w:beforeAutospacing="0" w:after="0" w:afterAutospacing="0" w:line="360" w:lineRule="exact"/>
              <w:ind w:left="0" w:right="0"/>
              <w:jc w:val="left"/>
              <w:rPr>
                <w:rFonts w:hint="eastAsia" w:ascii="宋体" w:hAnsi="宋体" w:eastAsia="宋体" w:cs="宋体"/>
                <w:b/>
                <w:color w:val="auto"/>
                <w:spacing w:val="0"/>
                <w:sz w:val="21"/>
                <w:szCs w:val="21"/>
                <w:highlight w:val="none"/>
              </w:rPr>
            </w:pPr>
            <w:r>
              <w:rPr>
                <w:rFonts w:hint="eastAsia" w:ascii="宋体" w:hAnsi="宋体" w:eastAsia="宋体" w:cs="宋体"/>
                <w:b/>
                <w:bCs/>
                <w:color w:val="auto"/>
                <w:spacing w:val="0"/>
                <w:szCs w:val="20"/>
                <w:highlight w:val="none"/>
                <w:lang w:val="en-US" w:eastAsia="zh-CN"/>
              </w:rPr>
              <w:t>2、</w:t>
            </w:r>
            <w:r>
              <w:rPr>
                <w:rFonts w:hint="eastAsia" w:ascii="宋体" w:hAnsi="宋体" w:cs="宋体"/>
                <w:b/>
                <w:bCs/>
                <w:color w:val="auto"/>
                <w:spacing w:val="0"/>
                <w:szCs w:val="20"/>
                <w:highlight w:val="none"/>
                <w:lang w:eastAsia="zh-CN"/>
              </w:rPr>
              <w:t>供应商</w:t>
            </w:r>
            <w:r>
              <w:rPr>
                <w:rFonts w:hint="eastAsia" w:ascii="宋体" w:hAnsi="宋体" w:eastAsia="宋体" w:cs="宋体"/>
                <w:b/>
                <w:bCs/>
                <w:color w:val="auto"/>
                <w:spacing w:val="0"/>
                <w:szCs w:val="20"/>
                <w:highlight w:val="none"/>
              </w:rPr>
              <w:t>在投标截止时间内收到的投标文件不足三家的，或评审过程中造成流标现象的，其投标文件也不予退还给</w:t>
            </w:r>
            <w:r>
              <w:rPr>
                <w:rFonts w:hint="eastAsia" w:ascii="宋体" w:hAnsi="宋体" w:cs="宋体"/>
                <w:b/>
                <w:bCs/>
                <w:color w:val="auto"/>
                <w:spacing w:val="0"/>
                <w:szCs w:val="20"/>
                <w:highlight w:val="none"/>
                <w:lang w:eastAsia="zh-CN"/>
              </w:rPr>
              <w:t>供应商</w:t>
            </w:r>
            <w:r>
              <w:rPr>
                <w:rFonts w:hint="eastAsia" w:ascii="宋体" w:hAnsi="宋体" w:eastAsia="宋体" w:cs="宋体"/>
                <w:b/>
                <w:bCs/>
                <w:color w:val="auto"/>
                <w:spacing w:val="0"/>
                <w:szCs w:val="20"/>
                <w:highlight w:val="none"/>
              </w:rPr>
              <w:t>。</w:t>
            </w:r>
          </w:p>
        </w:tc>
      </w:tr>
    </w:tbl>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363199267"/>
      <w:bookmarkStart w:id="11" w:name="_Toc216158627"/>
      <w:r>
        <w:rPr>
          <w:rFonts w:hint="eastAsia" w:ascii="宋体" w:hAnsi="宋体" w:eastAsia="宋体" w:cs="宋体"/>
          <w:bCs/>
          <w:color w:val="auto"/>
          <w:sz w:val="28"/>
          <w:szCs w:val="28"/>
        </w:rPr>
        <w:t>（二）供应商资格</w:t>
      </w:r>
      <w:bookmarkEnd w:id="8"/>
    </w:p>
    <w:bookmarkEnd w:id="9"/>
    <w:p>
      <w:pPr>
        <w:pStyle w:val="3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2" w:name="_Toc363199266"/>
      <w:bookmarkStart w:id="13" w:name="_Toc438648662"/>
      <w:bookmarkStart w:id="14" w:name="_Toc216158625"/>
      <w:bookmarkStart w:id="15" w:name="_Toc12806"/>
      <w:r>
        <w:rPr>
          <w:rFonts w:hint="eastAsia"/>
          <w:color w:val="auto"/>
          <w:sz w:val="24"/>
          <w:szCs w:val="24"/>
          <w:lang w:eastAsia="zh-CN"/>
        </w:rPr>
        <w:t>详见询价公告</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霍山县财政局</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7"/>
        <w:rPr>
          <w:rFonts w:hint="eastAsia"/>
          <w:color w:val="auto"/>
        </w:rPr>
      </w:pPr>
    </w:p>
    <w:bookmarkEnd w:id="10"/>
    <w:bookmarkEnd w:id="11"/>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lang w:val="en-US" w:eastAsia="zh-CN"/>
        </w:rPr>
        <w:t xml:space="preserve">  </w:t>
      </w:r>
      <w:r>
        <w:rPr>
          <w:rFonts w:hint="eastAsia" w:ascii="宋体" w:hAnsi="宋体" w:cs="宋体"/>
          <w:b/>
          <w:color w:val="auto"/>
          <w:kern w:val="0"/>
          <w:szCs w:val="21"/>
        </w:rPr>
        <w:t>2、</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不足三家，采购人将依法重新开展谈判或采购人申请转变采购方式；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471299093"/>
      <w:bookmarkStart w:id="22" w:name="_Toc31686"/>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1065"/>
      <w:bookmarkStart w:id="24" w:name="_Toc471299094"/>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471299095"/>
      <w:bookmarkStart w:id="26" w:name="_Toc382"/>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471299096"/>
      <w:bookmarkStart w:id="28" w:name="_Toc23222"/>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471299097"/>
      <w:bookmarkStart w:id="30" w:name="_Toc23894"/>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2天将质疑电子版及纸质版（需加盖供应商公章）提交至514453063@qq.com，质疑纸质版需送至安徽大别山工程咨询有限公司111办公室。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采购人</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采购人</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7"/>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1" w:name="_Toc25805"/>
      <w:bookmarkStart w:id="32" w:name="_Toc8300_WPSOffice_Level1"/>
      <w:r>
        <w:rPr>
          <w:rFonts w:hint="eastAsia" w:ascii="宋体" w:hAnsi="宋体" w:eastAsia="宋体" w:cs="宋体"/>
          <w:b/>
          <w:color w:val="auto"/>
          <w:kern w:val="0"/>
          <w:sz w:val="30"/>
          <w:szCs w:val="30"/>
          <w:lang w:val="en-US" w:eastAsia="zh-CN" w:bidi="ar-SA"/>
        </w:rPr>
        <w:t>三、</w:t>
      </w:r>
      <w:bookmarkEnd w:id="18"/>
      <w:bookmarkEnd w:id="31"/>
      <w:bookmarkEnd w:id="32"/>
      <w:bookmarkStart w:id="33" w:name="_Toc12757"/>
      <w:bookmarkStart w:id="34" w:name="_Toc16484_WPSOffice_Level1"/>
      <w:bookmarkStart w:id="35" w:name="_Toc363199273"/>
      <w:r>
        <w:rPr>
          <w:rFonts w:hint="eastAsia"/>
          <w:color w:val="auto"/>
          <w:sz w:val="28"/>
          <w:szCs w:val="28"/>
        </w:rPr>
        <w:t>采购合同（甲乙双方可自行拟定</w:t>
      </w:r>
      <w:r>
        <w:rPr>
          <w:rFonts w:hint="eastAsia"/>
          <w:color w:val="auto"/>
          <w:sz w:val="28"/>
          <w:szCs w:val="28"/>
          <w:lang w:eastAsia="zh-CN"/>
        </w:rPr>
        <w:t>，以下仅供参考</w:t>
      </w:r>
      <w:r>
        <w:rPr>
          <w:rFonts w:hint="eastAsia"/>
          <w:color w:val="auto"/>
          <w:sz w:val="28"/>
          <w:szCs w:val="28"/>
        </w:rPr>
        <w:t>）</w:t>
      </w:r>
    </w:p>
    <w:p>
      <w:pPr>
        <w:keepNext w:val="0"/>
        <w:keepLines w:val="0"/>
        <w:widowControl w:val="0"/>
        <w:suppressLineNumbers w:val="0"/>
        <w:autoSpaceDE w:val="0"/>
        <w:autoSpaceDN w:val="0"/>
        <w:adjustRightInd w:val="0"/>
        <w:spacing w:before="0" w:beforeAutospacing="0" w:after="0" w:afterAutospacing="0" w:line="480" w:lineRule="exact"/>
        <w:ind w:left="0" w:right="0" w:firstLine="602" w:firstLineChars="200"/>
        <w:jc w:val="left"/>
        <w:textAlignment w:val="baseline"/>
        <w:rPr>
          <w:rFonts w:hint="eastAsia" w:ascii="宋体" w:hAnsi="宋体" w:eastAsia="宋体" w:cs="Times New Roman"/>
          <w:b/>
          <w:bCs w:val="0"/>
          <w:kern w:val="2"/>
          <w:sz w:val="24"/>
          <w:szCs w:val="24"/>
        </w:rPr>
      </w:pPr>
      <w:r>
        <w:rPr>
          <w:rFonts w:hint="eastAsia" w:ascii="宋体" w:hAnsi="宋体" w:cs="宋体"/>
          <w:b/>
          <w:bCs/>
          <w:color w:val="auto"/>
          <w:kern w:val="0"/>
          <w:sz w:val="30"/>
          <w:szCs w:val="30"/>
          <w:lang w:val="en-US" w:eastAsia="zh-CN" w:bidi="ar-SA"/>
        </w:rPr>
        <w:br w:type="page"/>
      </w:r>
      <w:r>
        <w:rPr>
          <w:rFonts w:hint="eastAsia" w:ascii="宋体" w:hAnsi="宋体" w:eastAsia="宋体" w:cs="宋体"/>
          <w:b/>
          <w:bCs w:val="0"/>
          <w:kern w:val="2"/>
          <w:sz w:val="24"/>
          <w:szCs w:val="24"/>
          <w:lang w:val="en-US" w:eastAsia="zh-CN" w:bidi="ar"/>
        </w:rPr>
        <w:t>1. 项目名称</w:t>
      </w:r>
    </w:p>
    <w:p>
      <w:pPr>
        <w:keepNext w:val="0"/>
        <w:keepLines w:val="0"/>
        <w:widowControl w:val="0"/>
        <w:suppressLineNumbers w:val="0"/>
        <w:adjustRightInd w:val="0"/>
        <w:spacing w:before="0" w:beforeAutospacing="0" w:after="0" w:afterAutospacing="0" w:line="480" w:lineRule="exact"/>
        <w:ind w:left="0" w:right="0" w:firstLine="480" w:firstLineChars="200"/>
        <w:jc w:val="both"/>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1.1霍山县衡山镇人民政府信息系统网络安全等级保护测评项目。</w:t>
      </w:r>
    </w:p>
    <w:p>
      <w:pPr>
        <w:keepNext w:val="0"/>
        <w:keepLines w:val="0"/>
        <w:widowControl w:val="0"/>
        <w:suppressLineNumbers w:val="0"/>
        <w:adjustRightInd w:val="0"/>
        <w:spacing w:before="0" w:beforeAutospacing="0" w:after="0" w:afterAutospacing="0" w:line="480" w:lineRule="exact"/>
        <w:ind w:left="0" w:right="0" w:firstLine="482" w:firstLineChars="200"/>
        <w:jc w:val="both"/>
        <w:textAlignment w:val="baseline"/>
        <w:rPr>
          <w:rFonts w:hint="eastAsia" w:ascii="宋体" w:hAnsi="宋体" w:eastAsia="宋体" w:cs="Times New Roman"/>
          <w:b/>
          <w:bCs w:val="0"/>
          <w:kern w:val="2"/>
          <w:sz w:val="24"/>
          <w:szCs w:val="24"/>
        </w:rPr>
      </w:pPr>
      <w:r>
        <w:rPr>
          <w:rFonts w:hint="eastAsia" w:ascii="宋体" w:hAnsi="宋体" w:eastAsia="宋体" w:cs="宋体"/>
          <w:b/>
          <w:bCs w:val="0"/>
          <w:kern w:val="2"/>
          <w:sz w:val="24"/>
          <w:szCs w:val="24"/>
          <w:lang w:val="en-US" w:eastAsia="zh-CN" w:bidi="ar"/>
        </w:rPr>
        <w:t>2.</w:t>
      </w:r>
      <w:r>
        <w:rPr>
          <w:rFonts w:hint="eastAsia" w:ascii="宋体" w:hAnsi="宋体" w:eastAsia="宋体" w:cs="Times New Roman"/>
          <w:b/>
          <w:bCs w:val="0"/>
          <w:kern w:val="2"/>
          <w:sz w:val="24"/>
          <w:szCs w:val="24"/>
          <w:lang w:val="en-US" w:eastAsia="zh-CN" w:bidi="ar"/>
        </w:rPr>
        <w:t xml:space="preserve"> </w:t>
      </w:r>
      <w:r>
        <w:rPr>
          <w:rFonts w:hint="eastAsia" w:ascii="宋体" w:hAnsi="宋体" w:eastAsia="宋体" w:cs="宋体"/>
          <w:b/>
          <w:bCs w:val="0"/>
          <w:kern w:val="2"/>
          <w:sz w:val="24"/>
          <w:szCs w:val="24"/>
          <w:lang w:val="en-US" w:eastAsia="zh-CN" w:bidi="ar"/>
        </w:rPr>
        <w:t>质量</w:t>
      </w:r>
    </w:p>
    <w:p>
      <w:pPr>
        <w:keepNext w:val="0"/>
        <w:keepLines w:val="0"/>
        <w:widowControl w:val="0"/>
        <w:suppressLineNumbers w:val="0"/>
        <w:autoSpaceDE w:val="0"/>
        <w:autoSpaceDN w:val="0"/>
        <w:adjustRightInd w:val="0"/>
        <w:spacing w:before="0" w:beforeAutospacing="0" w:after="0" w:afterAutospacing="0" w:line="480" w:lineRule="exact"/>
        <w:ind w:left="0" w:right="0" w:firstLine="480" w:firstLineChars="200"/>
        <w:jc w:val="left"/>
        <w:textAlignment w:val="baseline"/>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2.1 </w:t>
      </w:r>
      <w:r>
        <w:rPr>
          <w:rFonts w:hint="eastAsia" w:ascii="宋体" w:hAnsi="宋体" w:eastAsia="宋体" w:cs="宋体"/>
          <w:color w:val="000000"/>
          <w:kern w:val="2"/>
          <w:sz w:val="24"/>
          <w:szCs w:val="24"/>
          <w:lang w:val="en-US" w:eastAsia="zh-CN" w:bidi="ar"/>
        </w:rPr>
        <w:t>乙方服务过程应遵循相关的国家法律、法规及标准</w:t>
      </w:r>
      <w:r>
        <w:rPr>
          <w:rFonts w:hint="eastAsia" w:ascii="宋体" w:hAnsi="宋体" w:eastAsia="宋体" w:cs="宋体"/>
          <w:kern w:val="2"/>
          <w:sz w:val="24"/>
          <w:szCs w:val="24"/>
          <w:lang w:val="en-US" w:eastAsia="zh-CN" w:bidi="ar"/>
        </w:rPr>
        <w:t>。</w:t>
      </w:r>
    </w:p>
    <w:p>
      <w:pPr>
        <w:keepNext w:val="0"/>
        <w:keepLines w:val="0"/>
        <w:widowControl w:val="0"/>
        <w:suppressLineNumbers w:val="0"/>
        <w:autoSpaceDE w:val="0"/>
        <w:autoSpaceDN w:val="0"/>
        <w:adjustRightInd w:val="0"/>
        <w:spacing w:before="0" w:beforeAutospacing="0" w:after="0" w:afterAutospacing="0" w:line="480" w:lineRule="exact"/>
        <w:ind w:left="0" w:right="0" w:firstLine="480" w:firstLineChars="200"/>
        <w:jc w:val="left"/>
        <w:textAlignment w:val="baseline"/>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2.2 乙方确保交付符合监管部门要求的</w:t>
      </w:r>
      <w:r>
        <w:rPr>
          <w:rFonts w:hint="eastAsia" w:ascii="宋体" w:hAnsi="宋体" w:eastAsia="宋体" w:cs="宋体"/>
          <w:color w:val="000000"/>
          <w:kern w:val="2"/>
          <w:sz w:val="24"/>
          <w:szCs w:val="24"/>
          <w:lang w:val="en-US" w:eastAsia="zh-CN" w:bidi="ar"/>
        </w:rPr>
        <w:t>《网络安全等级保护测评报告》</w:t>
      </w:r>
      <w:r>
        <w:rPr>
          <w:rFonts w:hint="eastAsia" w:ascii="宋体" w:hAnsi="宋体" w:eastAsia="宋体" w:cs="宋体"/>
          <w:kern w:val="2"/>
          <w:sz w:val="24"/>
          <w:szCs w:val="24"/>
          <w:lang w:val="en-US" w:eastAsia="zh-CN" w:bidi="ar"/>
        </w:rPr>
        <w:t>。</w:t>
      </w:r>
    </w:p>
    <w:p>
      <w:pPr>
        <w:keepNext w:val="0"/>
        <w:keepLines w:val="0"/>
        <w:widowControl w:val="0"/>
        <w:suppressLineNumbers w:val="0"/>
        <w:autoSpaceDE w:val="0"/>
        <w:autoSpaceDN w:val="0"/>
        <w:adjustRightInd w:val="0"/>
        <w:spacing w:before="0" w:beforeAutospacing="0" w:after="0" w:afterAutospacing="0" w:line="480" w:lineRule="exact"/>
        <w:ind w:left="0" w:right="0" w:firstLine="482" w:firstLineChars="200"/>
        <w:jc w:val="left"/>
        <w:textAlignment w:val="baseline"/>
        <w:rPr>
          <w:rFonts w:hint="eastAsia" w:ascii="宋体" w:hAnsi="宋体" w:eastAsia="宋体" w:cs="Times New Roman"/>
          <w:b/>
          <w:bCs w:val="0"/>
          <w:kern w:val="2"/>
          <w:sz w:val="24"/>
          <w:szCs w:val="24"/>
        </w:rPr>
      </w:pPr>
      <w:r>
        <w:rPr>
          <w:rFonts w:hint="eastAsia" w:ascii="宋体" w:hAnsi="宋体" w:eastAsia="宋体" w:cs="宋体"/>
          <w:b/>
          <w:bCs w:val="0"/>
          <w:kern w:val="2"/>
          <w:sz w:val="24"/>
          <w:szCs w:val="24"/>
          <w:lang w:val="en-US" w:eastAsia="zh-CN" w:bidi="ar"/>
        </w:rPr>
        <w:t>3.技术规格和标准</w:t>
      </w:r>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《信息安全技术 网络安全等级保护基本要求》（GB/T 22239-2019）</w:t>
      </w:r>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《信息安全技术 网络安全等级保护测评要求》（GB/T 28448-2019）</w:t>
      </w:r>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《信息安全技术 网络安全等级保护测评过程指南》（GB/T 28449-2018）</w:t>
      </w:r>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《信息安全技术 信息系统安全等级保护定级指南》（GB/T 22240-2020）</w:t>
      </w:r>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《信息安全技术 网络安全等级保护实施指南》（GB/T 25058-2019）</w:t>
      </w:r>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《信息安全技术 网络基础安全技术要求》（GB/T 20270-2006）</w:t>
      </w:r>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《信息安全技术 信息系统通用安全技术要求》（GB/T 20271-2006）</w:t>
      </w:r>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《信息安全技术 操作系统安全技术要求》（GB/T 20272-2019）</w:t>
      </w:r>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《信息安全技术 数据库管理系统安全技术要求》（GB/T 20273-2006）</w:t>
      </w:r>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《信息安全技术 应用系统安全等级保护通用技术指南》（GA/T 711-2007）</w:t>
      </w:r>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《信息安全技术 服务器安全技术要求》（GB/T 21028-2007）</w:t>
      </w:r>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《信息安全技术 信息安全事件分类分级指南》（GB/Z 20986-2007）</w:t>
      </w:r>
    </w:p>
    <w:p>
      <w:pPr>
        <w:keepNext w:val="0"/>
        <w:keepLines w:val="0"/>
        <w:widowControl w:val="0"/>
        <w:suppressLineNumbers w:val="0"/>
        <w:autoSpaceDE w:val="0"/>
        <w:autoSpaceDN w:val="0"/>
        <w:adjustRightInd w:val="0"/>
        <w:spacing w:before="0" w:beforeAutospacing="0" w:after="0" w:afterAutospacing="0" w:line="480" w:lineRule="exact"/>
        <w:ind w:left="0" w:right="0" w:firstLine="482" w:firstLineChars="200"/>
        <w:jc w:val="left"/>
        <w:textAlignment w:val="baseline"/>
        <w:rPr>
          <w:rFonts w:hint="eastAsia" w:ascii="宋体" w:hAnsi="宋体" w:eastAsia="宋体" w:cs="Times New Roman"/>
          <w:b/>
          <w:bCs w:val="0"/>
          <w:kern w:val="2"/>
          <w:sz w:val="24"/>
          <w:szCs w:val="24"/>
        </w:rPr>
      </w:pPr>
      <w:r>
        <w:rPr>
          <w:rFonts w:hint="eastAsia" w:ascii="宋体" w:hAnsi="宋体" w:eastAsia="宋体" w:cs="宋体"/>
          <w:b/>
          <w:bCs w:val="0"/>
          <w:kern w:val="2"/>
          <w:sz w:val="24"/>
          <w:szCs w:val="24"/>
          <w:lang w:val="en-US" w:eastAsia="zh-CN" w:bidi="ar"/>
        </w:rPr>
        <w:t>4.保密</w:t>
      </w:r>
    </w:p>
    <w:p>
      <w:pPr>
        <w:keepNext w:val="0"/>
        <w:keepLines w:val="0"/>
        <w:widowControl w:val="0"/>
        <w:suppressLineNumbers w:val="0"/>
        <w:autoSpaceDE w:val="0"/>
        <w:autoSpaceDN w:val="0"/>
        <w:adjustRightInd w:val="0"/>
        <w:spacing w:before="0" w:beforeAutospacing="0" w:after="0" w:afterAutospacing="0" w:line="480" w:lineRule="exact"/>
        <w:ind w:left="0" w:right="0" w:firstLine="480" w:firstLineChars="200"/>
        <w:jc w:val="left"/>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4.1 乙方必须如约承担协议履行时所应该尽的一切保密义务，对等级测评实施过程中的资料、数据进行保密，未经委托单位书面同意不得泄露，且保密责任不因协议的中止或解除而失效。</w:t>
      </w:r>
    </w:p>
    <w:p>
      <w:pPr>
        <w:keepNext w:val="0"/>
        <w:keepLines w:val="0"/>
        <w:widowControl w:val="0"/>
        <w:suppressLineNumbers w:val="0"/>
        <w:autoSpaceDE w:val="0"/>
        <w:autoSpaceDN w:val="0"/>
        <w:adjustRightInd w:val="0"/>
        <w:spacing w:before="0" w:beforeAutospacing="0" w:after="0" w:afterAutospacing="0" w:line="480" w:lineRule="exact"/>
        <w:ind w:left="0" w:right="0" w:firstLine="482" w:firstLineChars="200"/>
        <w:jc w:val="left"/>
        <w:textAlignment w:val="baseline"/>
        <w:rPr>
          <w:rFonts w:hint="eastAsia" w:ascii="宋体" w:hAnsi="宋体" w:eastAsia="宋体" w:cs="Times New Roman"/>
          <w:b/>
          <w:bCs w:val="0"/>
          <w:kern w:val="2"/>
          <w:sz w:val="24"/>
          <w:szCs w:val="24"/>
        </w:rPr>
      </w:pPr>
      <w:r>
        <w:rPr>
          <w:rFonts w:hint="eastAsia" w:ascii="宋体" w:hAnsi="宋体" w:eastAsia="宋体" w:cs="宋体"/>
          <w:b/>
          <w:bCs w:val="0"/>
          <w:kern w:val="2"/>
          <w:sz w:val="24"/>
          <w:szCs w:val="24"/>
          <w:lang w:val="en-US" w:eastAsia="zh-CN" w:bidi="ar"/>
        </w:rPr>
        <w:t>5.价格</w:t>
      </w:r>
    </w:p>
    <w:p>
      <w:pPr>
        <w:keepNext w:val="0"/>
        <w:keepLines w:val="0"/>
        <w:widowControl w:val="0"/>
        <w:suppressLineNumbers w:val="0"/>
        <w:autoSpaceDE w:val="0"/>
        <w:autoSpaceDN w:val="0"/>
        <w:adjustRightInd w:val="0"/>
        <w:spacing w:before="0" w:beforeAutospacing="0" w:after="0" w:afterAutospacing="0" w:line="480" w:lineRule="exact"/>
        <w:ind w:left="0" w:right="0" w:firstLine="480" w:firstLineChars="200"/>
        <w:jc w:val="left"/>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5.1除非合同中另有规定，卖方为其所供货物和服务而要求买方支付的金额应与其中标总金额一致。</w:t>
      </w:r>
    </w:p>
    <w:p>
      <w:pPr>
        <w:keepNext w:val="0"/>
        <w:keepLines w:val="0"/>
        <w:widowControl w:val="0"/>
        <w:suppressLineNumbers w:val="0"/>
        <w:autoSpaceDE w:val="0"/>
        <w:autoSpaceDN w:val="0"/>
        <w:adjustRightInd w:val="0"/>
        <w:spacing w:before="0" w:beforeAutospacing="0" w:after="0" w:afterAutospacing="0" w:line="480" w:lineRule="exact"/>
        <w:ind w:left="0" w:right="0" w:firstLine="482" w:firstLineChars="200"/>
        <w:jc w:val="left"/>
        <w:textAlignment w:val="baseline"/>
        <w:rPr>
          <w:rFonts w:hint="eastAsia" w:ascii="宋体" w:hAnsi="宋体" w:eastAsia="宋体" w:cs="Times New Roman"/>
          <w:b/>
          <w:bCs w:val="0"/>
          <w:kern w:val="2"/>
          <w:sz w:val="24"/>
          <w:szCs w:val="24"/>
        </w:rPr>
      </w:pPr>
      <w:r>
        <w:rPr>
          <w:rFonts w:hint="eastAsia" w:ascii="宋体" w:hAnsi="宋体" w:eastAsia="宋体" w:cs="宋体"/>
          <w:b/>
          <w:bCs w:val="0"/>
          <w:kern w:val="2"/>
          <w:sz w:val="24"/>
          <w:szCs w:val="24"/>
          <w:lang w:val="en-US" w:eastAsia="zh-CN" w:bidi="ar"/>
        </w:rPr>
        <w:t>6.授权与风险</w:t>
      </w:r>
    </w:p>
    <w:p>
      <w:pPr>
        <w:keepNext w:val="0"/>
        <w:keepLines w:val="0"/>
        <w:widowControl w:val="0"/>
        <w:suppressLineNumbers w:val="0"/>
        <w:autoSpaceDE w:val="0"/>
        <w:autoSpaceDN w:val="0"/>
        <w:adjustRightInd w:val="0"/>
        <w:spacing w:before="0" w:beforeAutospacing="0" w:after="0" w:afterAutospacing="0" w:line="480" w:lineRule="exact"/>
        <w:ind w:left="0" w:right="0" w:firstLine="480" w:firstLineChars="200"/>
        <w:jc w:val="left"/>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6.1 乙方开展等级测评工作前需取得委托单位的书面授权。</w:t>
      </w:r>
    </w:p>
    <w:p>
      <w:pPr>
        <w:pStyle w:val="16"/>
        <w:keepNext w:val="0"/>
        <w:keepLines w:val="0"/>
        <w:widowControl w:val="0"/>
        <w:suppressLineNumbers w:val="0"/>
        <w:adjustRightInd w:val="0"/>
        <w:spacing w:before="0" w:beforeAutospacing="0" w:after="0" w:afterAutospacing="0" w:line="360" w:lineRule="auto"/>
        <w:ind w:left="0" w:right="0" w:firstLine="480" w:firstLineChars="0"/>
        <w:jc w:val="both"/>
        <w:textAlignment w:val="baseline"/>
        <w:rPr>
          <w:rFonts w:hint="default" w:ascii="Verdana" w:hAnsi="Verdana" w:eastAsia="宋体" w:cs="Times New Roman"/>
          <w:kern w:val="2"/>
          <w:sz w:val="24"/>
          <w:szCs w:val="24"/>
        </w:rPr>
      </w:pPr>
      <w:r>
        <w:rPr>
          <w:rFonts w:hint="eastAsia" w:ascii="宋体" w:hAnsi="宋体" w:eastAsia="宋体" w:cs="宋体"/>
          <w:kern w:val="2"/>
          <w:sz w:val="24"/>
          <w:szCs w:val="24"/>
          <w:lang w:val="en-US" w:eastAsia="zh-CN" w:bidi="ar"/>
        </w:rPr>
        <w:t>6.2 乙方需与甲方沟通等级测评服务过程中可能产生的风险，并能接受此风险可能带来的损失。</w:t>
      </w:r>
    </w:p>
    <w:p>
      <w:pPr>
        <w:keepNext w:val="0"/>
        <w:keepLines w:val="0"/>
        <w:widowControl w:val="0"/>
        <w:suppressLineNumbers w:val="0"/>
        <w:adjustRightInd w:val="0"/>
        <w:spacing w:before="0" w:beforeAutospacing="0" w:after="0" w:afterAutospacing="0" w:line="480" w:lineRule="exact"/>
        <w:ind w:left="0" w:right="0" w:firstLine="482" w:firstLineChars="200"/>
        <w:jc w:val="both"/>
        <w:textAlignment w:val="baseline"/>
        <w:rPr>
          <w:rFonts w:hint="eastAsia" w:ascii="宋体" w:hAnsi="宋体" w:eastAsia="宋体" w:cs="Times New Roman"/>
          <w:b/>
          <w:bCs w:val="0"/>
          <w:kern w:val="2"/>
          <w:sz w:val="24"/>
          <w:szCs w:val="24"/>
        </w:rPr>
      </w:pPr>
      <w:r>
        <w:rPr>
          <w:rFonts w:hint="eastAsia" w:ascii="宋体" w:hAnsi="宋体" w:eastAsia="宋体" w:cs="宋体"/>
          <w:b/>
          <w:bCs w:val="0"/>
          <w:kern w:val="2"/>
          <w:sz w:val="24"/>
          <w:szCs w:val="24"/>
          <w:lang w:val="en-US" w:eastAsia="zh-CN" w:bidi="ar"/>
        </w:rPr>
        <w:t>7.具体工作内容</w:t>
      </w:r>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被委托单位对以上信息系统开展网络安全等级保护测评工作，具体工作内容如下：</w:t>
      </w:r>
    </w:p>
    <w:p>
      <w:pPr>
        <w:keepNext w:val="0"/>
        <w:keepLines w:val="0"/>
        <w:widowControl w:val="0"/>
        <w:numPr>
          <w:ilvl w:val="0"/>
          <w:numId w:val="1"/>
        </w:numPr>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被委托单位在协议签订后60个工作日内完成以上信息系统的前期现场测评活动并提交《网络安全等级保护测评问题清单和整改建议》；</w:t>
      </w:r>
    </w:p>
    <w:p>
      <w:pPr>
        <w:keepNext w:val="0"/>
        <w:keepLines w:val="0"/>
        <w:widowControl w:val="0"/>
        <w:numPr>
          <w:ilvl w:val="0"/>
          <w:numId w:val="1"/>
        </w:numPr>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在委托单位完成信息系统整改并提交《网络安全等级保护测评问题清单的整改反馈》后，15个工作日内完成信息系统的现场验收测评工作；</w:t>
      </w:r>
    </w:p>
    <w:p>
      <w:pPr>
        <w:keepNext w:val="0"/>
        <w:keepLines w:val="0"/>
        <w:widowControl w:val="0"/>
        <w:numPr>
          <w:ilvl w:val="0"/>
          <w:numId w:val="1"/>
        </w:numPr>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被委托单位在现场验收测评工作完成后，在3个工作日内反馈委托单位信息系统是否符合对应安全保护等级的基本要求：</w:t>
      </w:r>
    </w:p>
    <w:p>
      <w:pPr>
        <w:keepNext w:val="0"/>
        <w:keepLines w:val="0"/>
        <w:widowControl w:val="0"/>
        <w:numPr>
          <w:ilvl w:val="0"/>
          <w:numId w:val="2"/>
        </w:numPr>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若信息系统符合对应保护等级的基本要求，被委托单位应在15个工作日内完成并提交《网络安全等级保护测评报告》，并协助委托单位提交公安机关完成报备工作；</w:t>
      </w:r>
    </w:p>
    <w:p>
      <w:pPr>
        <w:keepNext w:val="0"/>
        <w:keepLines w:val="0"/>
        <w:widowControl w:val="0"/>
        <w:numPr>
          <w:ilvl w:val="0"/>
          <w:numId w:val="2"/>
        </w:numPr>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若信息系统不符合对应保护等级的基本要求，被委托单位应在5个工作日内重新提交《网络安全等级保护测评问题清单和整改建议》，以便委托单位重新开展信息系统整改工作。</w:t>
      </w:r>
    </w:p>
    <w:p>
      <w:pPr>
        <w:keepNext w:val="0"/>
        <w:keepLines w:val="0"/>
        <w:widowControl w:val="0"/>
        <w:suppressLineNumbers w:val="0"/>
        <w:adjustRightInd w:val="0"/>
        <w:spacing w:before="0" w:beforeAutospacing="0" w:after="0" w:afterAutospacing="0" w:line="480" w:lineRule="exact"/>
        <w:ind w:left="0" w:right="0" w:firstLine="482" w:firstLineChars="200"/>
        <w:jc w:val="both"/>
        <w:textAlignment w:val="baseline"/>
        <w:rPr>
          <w:rFonts w:hint="eastAsia" w:ascii="宋体" w:hAnsi="宋体" w:eastAsia="宋体" w:cs="宋体"/>
          <w:b/>
          <w:bCs w:val="0"/>
          <w:kern w:val="2"/>
          <w:sz w:val="24"/>
          <w:szCs w:val="24"/>
        </w:rPr>
      </w:pPr>
      <w:r>
        <w:rPr>
          <w:rFonts w:hint="eastAsia" w:ascii="宋体" w:hAnsi="宋体" w:eastAsia="宋体" w:cs="宋体"/>
          <w:b/>
          <w:bCs w:val="0"/>
          <w:kern w:val="2"/>
          <w:sz w:val="24"/>
          <w:szCs w:val="24"/>
          <w:lang w:val="en-US" w:eastAsia="zh-CN" w:bidi="ar"/>
        </w:rPr>
        <w:t>8.现场服务</w:t>
      </w:r>
    </w:p>
    <w:p>
      <w:pPr>
        <w:keepNext w:val="0"/>
        <w:keepLines w:val="0"/>
        <w:widowControl w:val="0"/>
        <w:suppressLineNumbers w:val="0"/>
        <w:adjustRightInd w:val="0"/>
        <w:spacing w:before="0" w:beforeAutospacing="0" w:after="0" w:afterAutospacing="0" w:line="360" w:lineRule="auto"/>
        <w:ind w:left="420" w:leftChars="200" w:right="0" w:firstLine="0" w:firstLineChars="0"/>
        <w:jc w:val="both"/>
        <w:textAlignment w:val="baseline"/>
        <w:rPr>
          <w:rFonts w:hint="eastAsia" w:ascii="宋体" w:hAnsi="宋体" w:eastAsia="宋体" w:cs="宋体"/>
          <w:color w:val="000000"/>
          <w:kern w:val="2"/>
          <w:sz w:val="24"/>
          <w:szCs w:val="24"/>
        </w:rPr>
      </w:pPr>
      <w:r>
        <w:rPr>
          <w:rFonts w:hint="eastAsia" w:ascii="宋体" w:hAnsi="宋体" w:eastAsia="宋体" w:cs="宋体"/>
          <w:kern w:val="2"/>
          <w:sz w:val="24"/>
          <w:szCs w:val="24"/>
          <w:lang w:val="en-US" w:eastAsia="zh-CN" w:bidi="ar"/>
        </w:rPr>
        <w:t>8.1</w:t>
      </w:r>
      <w:r>
        <w:rPr>
          <w:rFonts w:hint="eastAsia" w:ascii="宋体" w:hAnsi="宋体" w:eastAsia="宋体" w:cs="宋体"/>
          <w:color w:val="000000"/>
          <w:kern w:val="2"/>
          <w:sz w:val="24"/>
          <w:szCs w:val="24"/>
          <w:lang w:val="en-US" w:eastAsia="zh-CN" w:bidi="ar"/>
        </w:rPr>
        <w:t>委托单位的权利和义务</w:t>
      </w:r>
    </w:p>
    <w:p>
      <w:pPr>
        <w:keepNext w:val="0"/>
        <w:keepLines w:val="0"/>
        <w:widowControl w:val="0"/>
        <w:numPr>
          <w:ilvl w:val="0"/>
          <w:numId w:val="3"/>
        </w:numPr>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应安排专人协助被委托单位进行“网络安全等级测评工作”；</w:t>
      </w:r>
    </w:p>
    <w:p>
      <w:pPr>
        <w:keepNext w:val="0"/>
        <w:keepLines w:val="0"/>
        <w:widowControl w:val="0"/>
        <w:numPr>
          <w:ilvl w:val="0"/>
          <w:numId w:val="3"/>
        </w:numPr>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应向被委托单位提供等级保护测评所需的真实、准确、完整的文件、资料。</w:t>
      </w:r>
    </w:p>
    <w:p>
      <w:pPr>
        <w:keepNext w:val="0"/>
        <w:keepLines w:val="0"/>
        <w:widowControl w:val="0"/>
        <w:suppressLineNumbers w:val="0"/>
        <w:adjustRightInd w:val="0"/>
        <w:spacing w:before="0" w:beforeAutospacing="0" w:after="0" w:afterAutospacing="0" w:line="360" w:lineRule="auto"/>
        <w:ind w:left="420" w:leftChars="200" w:right="0" w:firstLine="0" w:firstLineChars="0"/>
        <w:jc w:val="both"/>
        <w:textAlignment w:val="baseline"/>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8.2被委托单位的权利和义务</w:t>
      </w:r>
    </w:p>
    <w:p>
      <w:pPr>
        <w:keepNext w:val="0"/>
        <w:keepLines w:val="0"/>
        <w:widowControl w:val="0"/>
        <w:numPr>
          <w:ilvl w:val="0"/>
          <w:numId w:val="4"/>
        </w:numPr>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负责按等级保护相关标准要求，提供“网络安全等级测评工作”；</w:t>
      </w:r>
    </w:p>
    <w:p>
      <w:pPr>
        <w:keepNext w:val="0"/>
        <w:keepLines w:val="0"/>
        <w:widowControl w:val="0"/>
        <w:numPr>
          <w:ilvl w:val="0"/>
          <w:numId w:val="4"/>
        </w:numPr>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负责按照本协议约定完成各项服务工作；</w:t>
      </w:r>
    </w:p>
    <w:p>
      <w:pPr>
        <w:keepNext w:val="0"/>
        <w:keepLines w:val="0"/>
        <w:widowControl w:val="0"/>
        <w:numPr>
          <w:ilvl w:val="0"/>
          <w:numId w:val="4"/>
        </w:numPr>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现场验收测评次数不超过2次。在第2次验收现场测评后，被委托单位将依照第2次现场测评的测评结果出具对应结论的《网络安全等级保护测评报告》，以此作为测评工作的完结依据。</w:t>
      </w:r>
    </w:p>
    <w:p>
      <w:pPr>
        <w:keepNext w:val="0"/>
        <w:keepLines w:val="0"/>
        <w:widowControl w:val="0"/>
        <w:suppressLineNumbers w:val="0"/>
        <w:adjustRightInd w:val="0"/>
        <w:spacing w:before="0" w:beforeAutospacing="0" w:after="0" w:afterAutospacing="0" w:line="480" w:lineRule="exact"/>
        <w:ind w:left="0" w:right="0" w:firstLine="482" w:firstLineChars="200"/>
        <w:jc w:val="both"/>
        <w:textAlignment w:val="baseline"/>
        <w:rPr>
          <w:rFonts w:hint="eastAsia" w:ascii="宋体" w:hAnsi="宋体" w:eastAsia="宋体" w:cs="Times New Roman"/>
          <w:b/>
          <w:bCs w:val="0"/>
          <w:kern w:val="2"/>
          <w:sz w:val="24"/>
          <w:szCs w:val="24"/>
        </w:rPr>
      </w:pPr>
      <w:r>
        <w:rPr>
          <w:rFonts w:hint="eastAsia" w:ascii="宋体" w:hAnsi="宋体" w:eastAsia="宋体" w:cs="宋体"/>
          <w:b/>
          <w:bCs w:val="0"/>
          <w:kern w:val="2"/>
          <w:sz w:val="24"/>
          <w:szCs w:val="24"/>
          <w:lang w:val="en-US" w:eastAsia="zh-CN" w:bidi="ar"/>
        </w:rPr>
        <w:t>9.索赔</w:t>
      </w:r>
    </w:p>
    <w:p>
      <w:pPr>
        <w:keepNext w:val="0"/>
        <w:keepLines w:val="0"/>
        <w:widowControl w:val="0"/>
        <w:suppressLineNumbers w:val="0"/>
        <w:adjustRightInd w:val="0"/>
        <w:spacing w:before="0" w:beforeAutospacing="0" w:after="0" w:afterAutospacing="0" w:line="480" w:lineRule="exact"/>
        <w:ind w:left="0" w:right="0" w:firstLine="480" w:firstLineChars="200"/>
        <w:jc w:val="both"/>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9.1由于卖方原因，合同设备（软件）性能验收试验不能达到技术规范所规定的性能保证值时，买方有权按一定比例向卖方收取违约金；卖方提交违约金后，仍有义务向买方提供技术帮助，采取各种措施以使合同设备（软件）达到各项性能保证值；合同设备（软件）按照以上各项累积计算的最大违约金总金额将不超过合同设备总价的10％。卖方支付全部违约金并且合同设备（软件）达到了性能保证值时，买方应承认合同设备（软件）可以竣工验收并同意出具竣工验收证书。</w:t>
      </w:r>
    </w:p>
    <w:p>
      <w:pPr>
        <w:keepNext w:val="0"/>
        <w:keepLines w:val="0"/>
        <w:widowControl w:val="0"/>
        <w:suppressLineNumbers w:val="0"/>
        <w:adjustRightInd w:val="0"/>
        <w:spacing w:before="0" w:beforeAutospacing="0" w:after="0" w:afterAutospacing="0" w:line="480" w:lineRule="exact"/>
        <w:ind w:left="0" w:right="0" w:firstLine="480" w:firstLineChars="200"/>
        <w:jc w:val="left"/>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9.2在履行合同过程中，如果卖方遇到不能按时交货和提供服务的情况，应及时以书面形式将不能按时交货的理由、延误时间通知买方。买方在收到卖方通知后，应进行分析，如果同意，可通过修改合同，酌情延长交货时间。若未经买方同意延长交货时间，且由于卖方原因，未能按技术协议规定的设备交货期交货时，买方有权按一定比例向卖方收取违约金。</w:t>
      </w:r>
    </w:p>
    <w:p>
      <w:pPr>
        <w:keepNext w:val="0"/>
        <w:keepLines w:val="0"/>
        <w:widowControl w:val="0"/>
        <w:suppressLineNumbers w:val="0"/>
        <w:adjustRightInd w:val="0"/>
        <w:spacing w:before="0" w:beforeAutospacing="0" w:after="0" w:afterAutospacing="0" w:line="480" w:lineRule="exact"/>
        <w:ind w:left="0" w:right="0" w:firstLine="480" w:firstLineChars="200"/>
        <w:jc w:val="left"/>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9.2.1合同设备（软件）迟交货物的违约金总金额不超过合同设备（软件）总价的10％。</w:t>
      </w:r>
    </w:p>
    <w:p>
      <w:pPr>
        <w:keepNext w:val="0"/>
        <w:keepLines w:val="0"/>
        <w:widowControl w:val="0"/>
        <w:suppressLineNumbers w:val="0"/>
        <w:adjustRightInd w:val="0"/>
        <w:spacing w:before="0" w:beforeAutospacing="0" w:after="0" w:afterAutospacing="0" w:line="480" w:lineRule="exact"/>
        <w:ind w:left="0" w:right="0" w:firstLine="480" w:firstLineChars="200"/>
        <w:jc w:val="left"/>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9.2.2卖方支付迟交违约金，并不解除卖方按照合同继续交货的义务。</w:t>
      </w:r>
    </w:p>
    <w:p>
      <w:pPr>
        <w:keepNext w:val="0"/>
        <w:keepLines w:val="0"/>
        <w:widowControl w:val="0"/>
        <w:suppressLineNumbers w:val="0"/>
        <w:adjustRightInd w:val="0"/>
        <w:spacing w:before="0" w:beforeAutospacing="0" w:after="0" w:afterAutospacing="0" w:line="480" w:lineRule="exact"/>
        <w:ind w:left="0" w:right="0" w:firstLine="480" w:firstLineChars="200"/>
        <w:jc w:val="left"/>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9.2.3如迟交货物对项目进度造成重大影响时，卖方向买方支付的违约金总金额为合同设备（软件）总价的10</w:t>
      </w:r>
      <w:r>
        <w:rPr>
          <w:rFonts w:hint="eastAsia" w:ascii="宋体" w:hAnsi="宋体" w:eastAsia="宋体" w:cs="Times New Roman"/>
          <w:kern w:val="2"/>
          <w:sz w:val="24"/>
          <w:szCs w:val="24"/>
          <w:lang w:val="en-US" w:eastAsia="zh-CN" w:bidi="ar"/>
        </w:rPr>
        <w:t>%</w:t>
      </w:r>
      <w:r>
        <w:rPr>
          <w:rFonts w:hint="eastAsia" w:ascii="宋体" w:hAnsi="宋体" w:eastAsia="宋体" w:cs="宋体"/>
          <w:kern w:val="2"/>
          <w:sz w:val="24"/>
          <w:szCs w:val="24"/>
          <w:lang w:val="en-US" w:eastAsia="zh-CN" w:bidi="ar"/>
        </w:rPr>
        <w:t>。与此同时，买方有权终止部分或全部合同。</w:t>
      </w:r>
    </w:p>
    <w:p>
      <w:pPr>
        <w:keepNext w:val="0"/>
        <w:keepLines w:val="0"/>
        <w:widowControl w:val="0"/>
        <w:suppressLineNumbers w:val="0"/>
        <w:adjustRightInd w:val="0"/>
        <w:spacing w:before="0" w:beforeAutospacing="0" w:after="0" w:afterAutospacing="0" w:line="480" w:lineRule="exact"/>
        <w:ind w:left="0" w:right="0" w:firstLine="480" w:firstLineChars="200"/>
        <w:jc w:val="left"/>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9.3 如由于卖方责任未能按技术协议的要求按时交付关键技术资料而严重影响项目进度时，买方有权按一定比例向卖方收取违约金；卖方因迟交关键技术资料的违约金总金额不超过合同设备总价的5％。</w:t>
      </w:r>
    </w:p>
    <w:p>
      <w:pPr>
        <w:keepNext w:val="0"/>
        <w:keepLines w:val="0"/>
        <w:widowControl w:val="0"/>
        <w:suppressLineNumbers w:val="0"/>
        <w:adjustRightInd w:val="0"/>
        <w:spacing w:before="0" w:beforeAutospacing="0" w:after="0" w:afterAutospacing="0" w:line="480" w:lineRule="exact"/>
        <w:ind w:left="0" w:right="0" w:firstLine="480" w:firstLineChars="200"/>
        <w:jc w:val="left"/>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9.4如果由于卖方现场技术服务的延误、疏忽或错误而造成工程延误，每延误工期一周卖方将向买方支付合同设备（软件）总价的</w:t>
      </w:r>
      <w:r>
        <w:rPr>
          <w:rFonts w:hint="eastAsia" w:ascii="宋体" w:hAnsi="宋体" w:eastAsia="宋体" w:cs="Times New Roman"/>
          <w:kern w:val="2"/>
          <w:sz w:val="24"/>
          <w:szCs w:val="24"/>
          <w:lang w:val="en-US" w:eastAsia="zh-CN" w:bidi="ar"/>
        </w:rPr>
        <w:t>0.</w:t>
      </w:r>
      <w:r>
        <w:rPr>
          <w:rFonts w:hint="eastAsia" w:ascii="宋体" w:hAnsi="宋体" w:eastAsia="宋体" w:cs="宋体"/>
          <w:kern w:val="2"/>
          <w:sz w:val="24"/>
          <w:szCs w:val="24"/>
          <w:lang w:val="en-US" w:eastAsia="zh-CN" w:bidi="ar"/>
        </w:rPr>
        <w:t>5％违约金，卖方这部分违约金总金额最多不超过合同设备（软件）总价的</w:t>
      </w:r>
      <w:r>
        <w:rPr>
          <w:rFonts w:hint="eastAsia" w:ascii="宋体" w:hAnsi="宋体" w:eastAsia="宋体" w:cs="Times New Roman"/>
          <w:kern w:val="2"/>
          <w:sz w:val="24"/>
          <w:szCs w:val="24"/>
          <w:lang w:val="en-US" w:eastAsia="zh-CN" w:bidi="ar"/>
        </w:rPr>
        <w:t>5</w:t>
      </w:r>
      <w:r>
        <w:rPr>
          <w:rFonts w:hint="eastAsia" w:ascii="宋体" w:hAnsi="宋体" w:eastAsia="宋体" w:cs="宋体"/>
          <w:kern w:val="2"/>
          <w:sz w:val="24"/>
          <w:szCs w:val="24"/>
          <w:lang w:val="en-US" w:eastAsia="zh-CN" w:bidi="ar"/>
        </w:rPr>
        <w:t>％。</w:t>
      </w:r>
    </w:p>
    <w:p>
      <w:pPr>
        <w:keepNext w:val="0"/>
        <w:keepLines w:val="0"/>
        <w:widowControl w:val="0"/>
        <w:suppressLineNumbers w:val="0"/>
        <w:adjustRightInd w:val="0"/>
        <w:spacing w:before="0" w:beforeAutospacing="0" w:after="0" w:afterAutospacing="0" w:line="480" w:lineRule="exact"/>
        <w:ind w:left="0" w:right="0" w:firstLine="480" w:firstLineChars="200"/>
        <w:jc w:val="left"/>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9.5 卖方对于根据合同9条承担的合同设备（软件）违约金总金额不论单项或多项累计不超过合同设备（软件）总价的</w:t>
      </w:r>
      <w:r>
        <w:rPr>
          <w:rFonts w:hint="eastAsia" w:ascii="宋体" w:hAnsi="宋体" w:eastAsia="宋体" w:cs="Times New Roman"/>
          <w:kern w:val="2"/>
          <w:sz w:val="24"/>
          <w:szCs w:val="24"/>
          <w:lang w:val="en-US" w:eastAsia="zh-CN" w:bidi="ar"/>
        </w:rPr>
        <w:t>1</w:t>
      </w:r>
      <w:r>
        <w:rPr>
          <w:rFonts w:hint="eastAsia" w:ascii="宋体" w:hAnsi="宋体" w:eastAsia="宋体" w:cs="宋体"/>
          <w:kern w:val="2"/>
          <w:sz w:val="24"/>
          <w:szCs w:val="24"/>
          <w:lang w:val="en-US" w:eastAsia="zh-CN" w:bidi="ar"/>
        </w:rPr>
        <w:t>5％。一旦达到违约金金额的最高限额，买方可考虑根据合同通用条款的规定终止合同。</w:t>
      </w:r>
    </w:p>
    <w:p>
      <w:pPr>
        <w:keepNext w:val="0"/>
        <w:keepLines w:val="0"/>
        <w:widowControl w:val="0"/>
        <w:suppressLineNumbers w:val="0"/>
        <w:adjustRightInd w:val="0"/>
        <w:spacing w:before="0" w:beforeAutospacing="0" w:after="0" w:afterAutospacing="0" w:line="480" w:lineRule="exact"/>
        <w:ind w:left="0" w:right="0" w:firstLine="480" w:firstLineChars="200"/>
        <w:jc w:val="both"/>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9.6 卖方支付迟交违约金并不解除按合同所规定的相应义务。</w:t>
      </w:r>
    </w:p>
    <w:p>
      <w:pPr>
        <w:keepNext w:val="0"/>
        <w:keepLines w:val="0"/>
        <w:widowControl w:val="0"/>
        <w:suppressLineNumbers w:val="0"/>
        <w:adjustRightInd w:val="0"/>
        <w:spacing w:before="0" w:beforeAutospacing="0" w:after="0" w:afterAutospacing="0" w:line="480" w:lineRule="exact"/>
        <w:ind w:left="0" w:right="0" w:firstLine="480" w:firstLineChars="200"/>
        <w:jc w:val="both"/>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9.7如合同设备（软件）的性能不能满足买方正常生产时，买方有权要求卖方更换新的设备（软件）或按合同价的100%进行赔付。</w:t>
      </w:r>
    </w:p>
    <w:p>
      <w:pPr>
        <w:keepNext w:val="0"/>
        <w:keepLines w:val="0"/>
        <w:widowControl w:val="0"/>
        <w:suppressLineNumbers w:val="0"/>
        <w:adjustRightInd w:val="0"/>
        <w:spacing w:before="0" w:beforeAutospacing="0" w:after="0" w:afterAutospacing="0" w:line="480" w:lineRule="exact"/>
        <w:ind w:left="0" w:right="0" w:firstLine="482" w:firstLineChars="200"/>
        <w:jc w:val="both"/>
        <w:textAlignment w:val="baseline"/>
        <w:rPr>
          <w:rFonts w:hint="eastAsia" w:ascii="宋体" w:hAnsi="宋体" w:eastAsia="宋体" w:cs="Times New Roman"/>
          <w:b/>
          <w:bCs w:val="0"/>
          <w:kern w:val="2"/>
          <w:sz w:val="24"/>
          <w:szCs w:val="24"/>
        </w:rPr>
      </w:pPr>
      <w:r>
        <w:rPr>
          <w:rFonts w:hint="eastAsia" w:ascii="宋体" w:hAnsi="宋体" w:eastAsia="宋体" w:cs="宋体"/>
          <w:b/>
          <w:bCs w:val="0"/>
          <w:kern w:val="2"/>
          <w:sz w:val="24"/>
          <w:szCs w:val="24"/>
          <w:lang w:val="en-US" w:eastAsia="zh-CN" w:bidi="ar"/>
        </w:rPr>
        <w:t>10.付款方式</w:t>
      </w:r>
    </w:p>
    <w:p>
      <w:pPr>
        <w:keepNext w:val="0"/>
        <w:keepLines w:val="0"/>
        <w:widowControl w:val="0"/>
        <w:suppressLineNumbers w:val="0"/>
        <w:adjustRightInd w:val="0"/>
        <w:spacing w:before="0" w:beforeAutospacing="0" w:after="0" w:afterAutospacing="0" w:line="480" w:lineRule="exact"/>
        <w:ind w:left="0" w:right="0" w:firstLine="480" w:firstLineChars="200"/>
        <w:jc w:val="left"/>
        <w:textAlignment w:val="baseline"/>
        <w:rPr>
          <w:rFonts w:hint="eastAsia" w:ascii="宋体" w:hAnsi="宋体" w:eastAsia="宋体" w:cs="Times New Roman"/>
          <w:kern w:val="2"/>
          <w:sz w:val="24"/>
          <w:szCs w:val="24"/>
        </w:rPr>
      </w:pPr>
      <w:r>
        <w:rPr>
          <w:rFonts w:hint="eastAsia" w:ascii="宋体" w:hAnsi="宋体" w:eastAsia="宋体" w:cs="宋体"/>
          <w:bCs/>
          <w:kern w:val="2"/>
          <w:sz w:val="24"/>
          <w:szCs w:val="24"/>
          <w:lang w:val="en-US" w:eastAsia="zh-CN" w:bidi="ar"/>
        </w:rPr>
        <w:t>本次测评项目为一次性测评服务。完成现场测评，以及出具符合公安要求的《测评报告》后，10个自然人一次性支付合同额的100%。</w:t>
      </w:r>
    </w:p>
    <w:p>
      <w:pPr>
        <w:keepNext w:val="0"/>
        <w:keepLines w:val="0"/>
        <w:widowControl w:val="0"/>
        <w:suppressLineNumbers w:val="0"/>
        <w:adjustRightInd w:val="0"/>
        <w:spacing w:before="0" w:beforeAutospacing="0" w:after="0" w:afterAutospacing="0" w:line="480" w:lineRule="exact"/>
        <w:ind w:left="0" w:right="0" w:firstLine="482" w:firstLineChars="200"/>
        <w:jc w:val="both"/>
        <w:textAlignment w:val="baseline"/>
        <w:rPr>
          <w:rFonts w:hint="eastAsia" w:ascii="宋体" w:hAnsi="宋体" w:eastAsia="宋体" w:cs="Times New Roman"/>
          <w:b/>
          <w:bCs w:val="0"/>
          <w:kern w:val="2"/>
          <w:sz w:val="24"/>
          <w:szCs w:val="24"/>
        </w:rPr>
      </w:pPr>
      <w:r>
        <w:rPr>
          <w:rFonts w:hint="eastAsia" w:ascii="宋体" w:hAnsi="宋体" w:eastAsia="宋体" w:cs="Times New Roman"/>
          <w:b/>
          <w:bCs w:val="0"/>
          <w:kern w:val="2"/>
          <w:sz w:val="24"/>
          <w:szCs w:val="24"/>
          <w:lang w:val="en-US" w:eastAsia="zh-CN" w:bidi="ar"/>
        </w:rPr>
        <w:t>1</w:t>
      </w:r>
      <w:r>
        <w:rPr>
          <w:rFonts w:hint="eastAsia" w:ascii="宋体" w:hAnsi="宋体" w:eastAsia="宋体" w:cs="宋体"/>
          <w:b/>
          <w:bCs w:val="0"/>
          <w:kern w:val="2"/>
          <w:sz w:val="24"/>
          <w:szCs w:val="24"/>
          <w:lang w:val="en-US" w:eastAsia="zh-CN" w:bidi="ar"/>
        </w:rPr>
        <w:t>1</w:t>
      </w:r>
      <w:r>
        <w:rPr>
          <w:rFonts w:hint="eastAsia" w:ascii="宋体" w:hAnsi="宋体" w:eastAsia="宋体" w:cs="Times New Roman"/>
          <w:b/>
          <w:bCs w:val="0"/>
          <w:kern w:val="2"/>
          <w:sz w:val="24"/>
          <w:szCs w:val="24"/>
          <w:lang w:val="en-US" w:eastAsia="zh-CN" w:bidi="ar"/>
        </w:rPr>
        <w:t>.合同的解除和变更</w:t>
      </w:r>
    </w:p>
    <w:p>
      <w:pPr>
        <w:keepNext w:val="0"/>
        <w:keepLines w:val="0"/>
        <w:widowControl w:val="0"/>
        <w:suppressLineNumbers w:val="0"/>
        <w:adjustRightInd w:val="0"/>
        <w:spacing w:before="0" w:beforeAutospacing="0" w:after="0" w:afterAutospacing="0" w:line="480" w:lineRule="exact"/>
        <w:ind w:left="0" w:right="0" w:firstLine="480" w:firstLineChars="200"/>
        <w:jc w:val="both"/>
        <w:textAlignment w:val="baseline"/>
        <w:rPr>
          <w:rFonts w:hint="eastAsia" w:ascii="宋体" w:hAnsi="宋体" w:eastAsia="宋体" w:cs="Times New Roman"/>
          <w:kern w:val="2"/>
          <w:sz w:val="24"/>
          <w:szCs w:val="24"/>
        </w:rPr>
      </w:pPr>
      <w:r>
        <w:rPr>
          <w:rFonts w:hint="eastAsia" w:ascii="宋体" w:hAnsi="宋体" w:eastAsia="宋体" w:cs="Times New Roman"/>
          <w:kern w:val="2"/>
          <w:sz w:val="24"/>
          <w:szCs w:val="24"/>
          <w:lang w:val="en-US" w:eastAsia="zh-CN" w:bidi="ar"/>
        </w:rPr>
        <w:t>1</w:t>
      </w:r>
      <w:r>
        <w:rPr>
          <w:rFonts w:hint="eastAsia" w:ascii="宋体" w:hAnsi="宋体" w:eastAsia="宋体" w:cs="宋体"/>
          <w:kern w:val="2"/>
          <w:sz w:val="24"/>
          <w:szCs w:val="24"/>
          <w:lang w:val="en-US" w:eastAsia="zh-CN" w:bidi="ar"/>
        </w:rPr>
        <w:t>1</w:t>
      </w:r>
      <w:r>
        <w:rPr>
          <w:rFonts w:hint="eastAsia" w:ascii="宋体" w:hAnsi="宋体" w:eastAsia="宋体" w:cs="Times New Roman"/>
          <w:kern w:val="2"/>
          <w:sz w:val="24"/>
          <w:szCs w:val="24"/>
          <w:lang w:val="en-US" w:eastAsia="zh-CN" w:bidi="ar"/>
        </w:rPr>
        <w:t>.1合同生效后，除不可抗力外，不得解除和无效变更。若因国家计划改变，或设计变更确需解除或变更合同时，要求变更的一方应及时通知对方，对方在接到通知15日内给予答复，逾期未答复则视为已同意。</w:t>
      </w:r>
    </w:p>
    <w:p>
      <w:pPr>
        <w:keepNext w:val="0"/>
        <w:keepLines w:val="0"/>
        <w:widowControl w:val="0"/>
        <w:suppressLineNumbers w:val="0"/>
        <w:adjustRightInd w:val="0"/>
        <w:spacing w:before="0" w:beforeAutospacing="0" w:after="0" w:afterAutospacing="0" w:line="480" w:lineRule="exact"/>
        <w:ind w:left="0" w:right="0" w:firstLine="480" w:firstLineChars="200"/>
        <w:jc w:val="both"/>
        <w:textAlignment w:val="baseline"/>
        <w:rPr>
          <w:rFonts w:hint="eastAsia" w:ascii="宋体" w:hAnsi="宋体" w:eastAsia="宋体" w:cs="Times New Roman"/>
          <w:kern w:val="2"/>
          <w:sz w:val="24"/>
          <w:szCs w:val="24"/>
        </w:rPr>
      </w:pPr>
      <w:r>
        <w:rPr>
          <w:rFonts w:hint="eastAsia" w:ascii="宋体" w:hAnsi="宋体" w:eastAsia="宋体" w:cs="Times New Roman"/>
          <w:kern w:val="2"/>
          <w:sz w:val="24"/>
          <w:szCs w:val="24"/>
          <w:lang w:val="en-US" w:eastAsia="zh-CN" w:bidi="ar"/>
        </w:rPr>
        <w:t>1</w:t>
      </w:r>
      <w:r>
        <w:rPr>
          <w:rFonts w:hint="eastAsia" w:ascii="宋体" w:hAnsi="宋体" w:eastAsia="宋体" w:cs="宋体"/>
          <w:kern w:val="2"/>
          <w:sz w:val="24"/>
          <w:szCs w:val="24"/>
          <w:lang w:val="en-US" w:eastAsia="zh-CN" w:bidi="ar"/>
        </w:rPr>
        <w:t>1</w:t>
      </w:r>
      <w:r>
        <w:rPr>
          <w:rFonts w:hint="eastAsia" w:ascii="宋体" w:hAnsi="宋体" w:eastAsia="宋体" w:cs="Times New Roman"/>
          <w:kern w:val="2"/>
          <w:sz w:val="24"/>
          <w:szCs w:val="24"/>
          <w:lang w:val="en-US" w:eastAsia="zh-CN" w:bidi="ar"/>
        </w:rPr>
        <w:t>.2变更或解除合同，所造成的损失由提出方负责。</w:t>
      </w:r>
    </w:p>
    <w:p>
      <w:pPr>
        <w:keepNext w:val="0"/>
        <w:keepLines w:val="0"/>
        <w:widowControl w:val="0"/>
        <w:suppressLineNumbers w:val="0"/>
        <w:adjustRightInd w:val="0"/>
        <w:spacing w:before="0" w:beforeAutospacing="0" w:after="0" w:afterAutospacing="0" w:line="480" w:lineRule="exact"/>
        <w:ind w:left="0" w:right="0" w:firstLine="482" w:firstLineChars="200"/>
        <w:jc w:val="both"/>
        <w:textAlignment w:val="baseline"/>
        <w:rPr>
          <w:rFonts w:hint="eastAsia" w:ascii="宋体" w:hAnsi="宋体" w:eastAsia="宋体" w:cs="Times New Roman"/>
          <w:b/>
          <w:bCs w:val="0"/>
          <w:kern w:val="2"/>
          <w:sz w:val="24"/>
          <w:szCs w:val="24"/>
        </w:rPr>
      </w:pPr>
      <w:r>
        <w:rPr>
          <w:rFonts w:hint="eastAsia" w:ascii="宋体" w:hAnsi="宋体" w:eastAsia="宋体" w:cs="宋体"/>
          <w:b/>
          <w:bCs w:val="0"/>
          <w:kern w:val="2"/>
          <w:sz w:val="24"/>
          <w:szCs w:val="24"/>
          <w:lang w:val="en-US" w:eastAsia="zh-CN" w:bidi="ar"/>
        </w:rPr>
        <w:t>12.争议及解决办法</w:t>
      </w:r>
    </w:p>
    <w:p>
      <w:pPr>
        <w:keepNext w:val="0"/>
        <w:keepLines w:val="0"/>
        <w:widowControl w:val="0"/>
        <w:suppressLineNumbers w:val="0"/>
        <w:adjustRightInd w:val="0"/>
        <w:spacing w:before="0" w:beforeAutospacing="0" w:after="0" w:afterAutospacing="0" w:line="480" w:lineRule="exact"/>
        <w:ind w:left="0" w:right="0" w:firstLine="480" w:firstLineChars="200"/>
        <w:jc w:val="both"/>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12.1合同履行中发生的分歧和争议，应首先通过双方友好协商解决。如协商不能一致，可诉诸法律。</w:t>
      </w:r>
    </w:p>
    <w:p>
      <w:pPr>
        <w:keepNext w:val="0"/>
        <w:keepLines w:val="0"/>
        <w:widowControl w:val="0"/>
        <w:suppressLineNumbers w:val="0"/>
        <w:adjustRightInd w:val="0"/>
        <w:spacing w:before="0" w:beforeAutospacing="0" w:after="0" w:afterAutospacing="0" w:line="480" w:lineRule="exact"/>
        <w:ind w:left="0" w:right="0" w:firstLine="482" w:firstLineChars="200"/>
        <w:jc w:val="both"/>
        <w:textAlignment w:val="baseline"/>
        <w:rPr>
          <w:rFonts w:hint="eastAsia" w:ascii="宋体" w:hAnsi="宋体" w:eastAsia="宋体" w:cs="Times New Roman"/>
          <w:b/>
          <w:bCs w:val="0"/>
          <w:kern w:val="2"/>
          <w:sz w:val="24"/>
          <w:szCs w:val="24"/>
        </w:rPr>
      </w:pPr>
      <w:r>
        <w:rPr>
          <w:rFonts w:hint="eastAsia" w:ascii="宋体" w:hAnsi="宋体" w:eastAsia="宋体" w:cs="Times New Roman"/>
          <w:b/>
          <w:bCs w:val="0"/>
          <w:kern w:val="2"/>
          <w:sz w:val="24"/>
          <w:szCs w:val="24"/>
          <w:lang w:val="en-US" w:eastAsia="zh-CN" w:bidi="ar"/>
        </w:rPr>
        <w:t>1</w:t>
      </w:r>
      <w:r>
        <w:rPr>
          <w:rFonts w:hint="eastAsia" w:ascii="宋体" w:hAnsi="宋体" w:eastAsia="宋体" w:cs="宋体"/>
          <w:b/>
          <w:bCs w:val="0"/>
          <w:kern w:val="2"/>
          <w:sz w:val="24"/>
          <w:szCs w:val="24"/>
          <w:lang w:val="en-US" w:eastAsia="zh-CN" w:bidi="ar"/>
        </w:rPr>
        <w:t>3</w:t>
      </w:r>
      <w:r>
        <w:rPr>
          <w:rFonts w:hint="eastAsia" w:ascii="宋体" w:hAnsi="宋体" w:eastAsia="宋体" w:cs="Times New Roman"/>
          <w:b/>
          <w:bCs w:val="0"/>
          <w:kern w:val="2"/>
          <w:sz w:val="24"/>
          <w:szCs w:val="24"/>
          <w:lang w:val="en-US" w:eastAsia="zh-CN" w:bidi="ar"/>
        </w:rPr>
        <w:t>.合同生效及其它</w:t>
      </w:r>
    </w:p>
    <w:p>
      <w:pPr>
        <w:keepNext w:val="0"/>
        <w:keepLines w:val="0"/>
        <w:widowControl w:val="0"/>
        <w:suppressLineNumbers w:val="0"/>
        <w:adjustRightInd w:val="0"/>
        <w:spacing w:before="0" w:beforeAutospacing="0" w:after="0" w:afterAutospacing="0" w:line="480" w:lineRule="exact"/>
        <w:ind w:left="0" w:right="0" w:firstLine="480" w:firstLineChars="200"/>
        <w:jc w:val="both"/>
        <w:textAlignment w:val="baseline"/>
        <w:rPr>
          <w:rFonts w:hint="eastAsia" w:cs="宋体"/>
          <w:b/>
          <w:color w:val="auto"/>
          <w:kern w:val="0"/>
          <w:sz w:val="32"/>
          <w:szCs w:val="32"/>
          <w:lang w:val="en-US" w:eastAsia="zh-CN" w:bidi="ar-SA"/>
        </w:rPr>
      </w:pPr>
      <w:r>
        <w:rPr>
          <w:rFonts w:hint="eastAsia" w:ascii="宋体" w:hAnsi="宋体" w:eastAsia="宋体" w:cs="宋体"/>
          <w:kern w:val="2"/>
          <w:sz w:val="24"/>
          <w:szCs w:val="24"/>
          <w:lang w:val="en-US" w:eastAsia="zh-CN" w:bidi="ar"/>
        </w:rPr>
        <w:t>如合同无特别约定，合同经供需双方代表签字并加盖单位公章后，即行生效。</w:t>
      </w:r>
    </w:p>
    <w:bookmarkEnd w:id="33"/>
    <w:bookmarkEnd w:id="34"/>
    <w:p>
      <w:pPr>
        <w:numPr>
          <w:ilvl w:val="0"/>
          <w:numId w:val="5"/>
        </w:numPr>
        <w:jc w:val="center"/>
        <w:outlineLvl w:val="0"/>
        <w:rPr>
          <w:rFonts w:hint="eastAsia" w:ascii="宋体" w:hAnsi="宋体" w:eastAsia="宋体" w:cs="宋体"/>
          <w:b/>
          <w:bCs w:val="0"/>
          <w:sz w:val="28"/>
          <w:szCs w:val="28"/>
          <w:lang w:eastAsia="zh-CN"/>
        </w:rPr>
      </w:pPr>
      <w:r>
        <w:rPr>
          <w:rFonts w:hint="eastAsia" w:ascii="宋体" w:hAnsi="宋体" w:eastAsia="宋体" w:cs="宋体"/>
          <w:b/>
          <w:bCs w:val="0"/>
          <w:sz w:val="28"/>
          <w:szCs w:val="28"/>
          <w:lang w:eastAsia="zh-CN"/>
        </w:rPr>
        <w:t>采购需求</w:t>
      </w:r>
    </w:p>
    <w:p>
      <w:pPr>
        <w:pStyle w:val="7"/>
        <w:widowControl/>
        <w:rPr>
          <w:rFonts w:hint="default" w:ascii="Arial" w:hAnsi="Arial" w:eastAsia="黑体" w:cs="Times New Roman"/>
          <w:b/>
          <w:bCs/>
          <w:kern w:val="2"/>
          <w:sz w:val="32"/>
          <w:szCs w:val="32"/>
        </w:rPr>
      </w:pPr>
      <w:bookmarkStart w:id="36" w:name="_Toc21808_WPSOffice_Level2"/>
      <w:bookmarkEnd w:id="36"/>
      <w:bookmarkStart w:id="37" w:name="_Toc6708"/>
      <w:r>
        <w:rPr>
          <w:rFonts w:hint="eastAsia" w:ascii="黑体" w:hAnsi="宋体" w:eastAsia="黑体" w:cs="黑体"/>
          <w:b/>
          <w:bCs/>
          <w:kern w:val="2"/>
          <w:sz w:val="32"/>
          <w:szCs w:val="32"/>
        </w:rPr>
        <w:t>第一章</w:t>
      </w:r>
      <w:r>
        <w:rPr>
          <w:rFonts w:hint="eastAsia" w:ascii="Arial" w:hAnsi="Arial" w:eastAsia="黑体" w:cs="Times New Roman"/>
          <w:b/>
          <w:bCs/>
          <w:kern w:val="2"/>
          <w:sz w:val="32"/>
          <w:szCs w:val="32"/>
        </w:rPr>
        <w:t xml:space="preserve">  </w:t>
      </w:r>
      <w:r>
        <w:rPr>
          <w:rFonts w:hint="eastAsia" w:ascii="黑体" w:hAnsi="宋体" w:eastAsia="黑体" w:cs="黑体"/>
          <w:b/>
          <w:bCs/>
          <w:kern w:val="2"/>
          <w:sz w:val="32"/>
          <w:szCs w:val="32"/>
        </w:rPr>
        <w:t>概述</w:t>
      </w:r>
      <w:bookmarkEnd w:id="37"/>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本技术规格书是信息系统网络安全等级保护测评项目的技术标书，是投标过程中的规范性文件，是投标人编制投标书的依据。</w:t>
      </w:r>
    </w:p>
    <w:p>
      <w:pPr>
        <w:pStyle w:val="7"/>
        <w:widowControl/>
        <w:rPr>
          <w:rFonts w:hint="default" w:ascii="Arial" w:hAnsi="Arial" w:eastAsia="黑体" w:cs="Times New Roman"/>
          <w:b/>
          <w:bCs/>
          <w:kern w:val="2"/>
          <w:sz w:val="32"/>
          <w:szCs w:val="32"/>
        </w:rPr>
      </w:pPr>
      <w:bookmarkStart w:id="38" w:name="_Toc10995_WPSOffice_Level2"/>
      <w:bookmarkEnd w:id="38"/>
      <w:bookmarkStart w:id="39" w:name="_Toc24526"/>
      <w:r>
        <w:rPr>
          <w:rFonts w:hint="eastAsia" w:ascii="黑体" w:hAnsi="宋体" w:eastAsia="黑体" w:cs="黑体"/>
          <w:b/>
          <w:bCs/>
          <w:kern w:val="2"/>
          <w:sz w:val="32"/>
          <w:szCs w:val="32"/>
        </w:rPr>
        <w:t>第二章</w:t>
      </w:r>
      <w:r>
        <w:rPr>
          <w:rFonts w:hint="eastAsia" w:ascii="Arial" w:hAnsi="Arial" w:eastAsia="黑体" w:cs="Times New Roman"/>
          <w:b/>
          <w:bCs/>
          <w:kern w:val="2"/>
          <w:sz w:val="32"/>
          <w:szCs w:val="32"/>
        </w:rPr>
        <w:t xml:space="preserve">  </w:t>
      </w:r>
      <w:r>
        <w:rPr>
          <w:rFonts w:hint="eastAsia" w:ascii="黑体" w:hAnsi="宋体" w:eastAsia="黑体" w:cs="黑体"/>
          <w:b/>
          <w:bCs/>
          <w:kern w:val="2"/>
          <w:sz w:val="32"/>
          <w:szCs w:val="32"/>
        </w:rPr>
        <w:t>项目背景</w:t>
      </w:r>
      <w:bookmarkEnd w:id="39"/>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Times New Roman"/>
          <w:kern w:val="2"/>
          <w:sz w:val="24"/>
          <w:szCs w:val="24"/>
        </w:rPr>
      </w:pPr>
      <w:bookmarkStart w:id="40" w:name="_Toc7116_WPSOffice_Level2"/>
      <w:bookmarkEnd w:id="40"/>
      <w:r>
        <w:rPr>
          <w:rFonts w:hint="eastAsia" w:ascii="宋体" w:hAnsi="宋体" w:eastAsia="宋体" w:cs="宋体"/>
          <w:kern w:val="2"/>
          <w:sz w:val="24"/>
          <w:szCs w:val="24"/>
          <w:lang w:val="en-US" w:eastAsia="zh-CN" w:bidi="ar"/>
        </w:rPr>
        <w:t>为进一步提高信息系统的保障能力，根据《中华人民共和国网络安全法》（</w:t>
      </w:r>
      <w:r>
        <w:rPr>
          <w:rFonts w:hint="default" w:ascii="Verdana" w:hAnsi="Verdana" w:eastAsia="宋体" w:cs="Times New Roman"/>
          <w:kern w:val="2"/>
          <w:sz w:val="24"/>
          <w:szCs w:val="24"/>
          <w:lang w:val="en-US" w:eastAsia="zh-CN" w:bidi="ar"/>
        </w:rPr>
        <w:fldChar w:fldCharType="begin"/>
      </w:r>
      <w:r>
        <w:rPr>
          <w:rFonts w:hint="default" w:ascii="Verdana" w:hAnsi="Verdana" w:eastAsia="宋体" w:cs="Times New Roman"/>
          <w:kern w:val="2"/>
          <w:sz w:val="24"/>
          <w:szCs w:val="24"/>
          <w:lang w:val="en-US" w:eastAsia="zh-CN" w:bidi="ar"/>
        </w:rPr>
        <w:instrText xml:space="preserve"> HYPERLINK "https://baike.baidu.com/item/%E4%B8%AD%E5%8D%8E%E4%BA%BA%E6%B0%91%E5%85%B1%E5%92%8C%E5%9B%BD%E4%B8%BB%E5%B8%AD%E4%BB%A4%EF%BC%88%E7%AC%AC%E4%BA%94%E5%8D%81%E4%B8%89%E5%8F%B7%EF%BC%89/23119921" </w:instrText>
      </w:r>
      <w:r>
        <w:rPr>
          <w:rFonts w:hint="default" w:ascii="Verdana" w:hAnsi="Verdana" w:eastAsia="宋体" w:cs="Times New Roman"/>
          <w:kern w:val="2"/>
          <w:sz w:val="24"/>
          <w:szCs w:val="24"/>
          <w:lang w:val="en-US" w:eastAsia="zh-CN" w:bidi="ar"/>
        </w:rPr>
        <w:fldChar w:fldCharType="separate"/>
      </w:r>
      <w:r>
        <w:rPr>
          <w:rStyle w:val="27"/>
          <w:rFonts w:hint="eastAsia" w:ascii="宋体" w:hAnsi="宋体" w:eastAsia="宋体" w:cs="宋体"/>
          <w:kern w:val="2"/>
          <w:sz w:val="24"/>
          <w:szCs w:val="24"/>
        </w:rPr>
        <w:t>主席令第</w:t>
      </w:r>
      <w:r>
        <w:rPr>
          <w:rStyle w:val="27"/>
          <w:rFonts w:hint="default" w:ascii="Verdana" w:hAnsi="Verdana" w:eastAsia="宋体" w:cs="Verdana"/>
          <w:kern w:val="2"/>
          <w:sz w:val="24"/>
          <w:szCs w:val="24"/>
        </w:rPr>
        <w:t>53</w:t>
      </w:r>
      <w:r>
        <w:rPr>
          <w:rStyle w:val="27"/>
          <w:rFonts w:hint="eastAsia" w:ascii="宋体" w:hAnsi="宋体" w:eastAsia="宋体" w:cs="宋体"/>
          <w:kern w:val="2"/>
          <w:sz w:val="24"/>
          <w:szCs w:val="24"/>
        </w:rPr>
        <w:t>号</w:t>
      </w:r>
      <w:r>
        <w:rPr>
          <w:rFonts w:hint="default" w:ascii="Verdana" w:hAnsi="Verdana" w:eastAsia="宋体" w:cs="Times New Roman"/>
          <w:kern w:val="2"/>
          <w:sz w:val="24"/>
          <w:szCs w:val="24"/>
          <w:lang w:val="en-US" w:eastAsia="zh-CN" w:bidi="ar"/>
        </w:rPr>
        <w:fldChar w:fldCharType="end"/>
      </w:r>
      <w:r>
        <w:rPr>
          <w:rFonts w:hint="eastAsia" w:ascii="宋体" w:hAnsi="宋体" w:eastAsia="宋体" w:cs="宋体"/>
          <w:kern w:val="2"/>
          <w:sz w:val="24"/>
          <w:szCs w:val="24"/>
          <w:lang w:val="en-US" w:eastAsia="zh-CN" w:bidi="ar"/>
        </w:rPr>
        <w:t>）、《国家网络安全事件应急预案》（中央网信办〔2017〕4号）、《GB/T 22239-2019 信息安全技术网络安全等级保护基本要求》、《GB/T 28448-2019 信息安全技术网络安全等级保护测评要求》等相关法律法规要求和安徽省信息系统网络安全等级保护相关要求，我单位“智慧衡山社会治理一体化综合服务平台”需依据等级保护2.0相关要求开展等保测评工作。</w:t>
      </w:r>
      <w:bookmarkStart w:id="41" w:name="_Hlk61516329"/>
      <w:bookmarkEnd w:id="41"/>
      <w:bookmarkStart w:id="42" w:name="_Toc19884"/>
      <w:bookmarkEnd w:id="42"/>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我单位将委托第三方有测评资质且在安徽省备案的测评机构，对我单位智慧衡山社会治理一体化综合服务平台（三级）按照等级保护要求进行测评，测评结束后出具符合公安部门要求的的信息系统网络安全测评报告。</w:t>
      </w:r>
    </w:p>
    <w:p>
      <w:pPr>
        <w:pStyle w:val="7"/>
        <w:widowControl/>
        <w:rPr>
          <w:rFonts w:hint="default" w:ascii="Arial" w:hAnsi="Arial" w:eastAsia="黑体" w:cs="Times New Roman"/>
          <w:b/>
          <w:bCs/>
          <w:kern w:val="2"/>
          <w:sz w:val="32"/>
          <w:szCs w:val="32"/>
        </w:rPr>
      </w:pPr>
      <w:r>
        <w:rPr>
          <w:rFonts w:hint="eastAsia" w:ascii="黑体" w:hAnsi="宋体" w:eastAsia="黑体" w:cs="黑体"/>
          <w:b/>
          <w:bCs/>
          <w:kern w:val="2"/>
          <w:sz w:val="32"/>
          <w:szCs w:val="32"/>
        </w:rPr>
        <w:t>第三章</w:t>
      </w:r>
      <w:r>
        <w:rPr>
          <w:rFonts w:hint="eastAsia" w:ascii="Arial" w:hAnsi="Arial" w:eastAsia="黑体" w:cs="Times New Roman"/>
          <w:b/>
          <w:bCs/>
          <w:kern w:val="2"/>
          <w:sz w:val="32"/>
          <w:szCs w:val="32"/>
        </w:rPr>
        <w:t xml:space="preserve">  </w:t>
      </w:r>
      <w:r>
        <w:rPr>
          <w:rFonts w:hint="eastAsia" w:ascii="黑体" w:hAnsi="宋体" w:eastAsia="黑体" w:cs="黑体"/>
          <w:b/>
          <w:bCs/>
          <w:kern w:val="2"/>
          <w:sz w:val="32"/>
          <w:szCs w:val="32"/>
        </w:rPr>
        <w:t>项目目标</w:t>
      </w:r>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rPr>
      </w:pPr>
      <w:bookmarkStart w:id="43" w:name="_Toc26764_WPSOffice_Level2"/>
      <w:bookmarkEnd w:id="43"/>
      <w:r>
        <w:rPr>
          <w:rFonts w:hint="eastAsia" w:ascii="宋体" w:hAnsi="宋体" w:eastAsia="宋体" w:cs="宋体"/>
          <w:kern w:val="2"/>
          <w:sz w:val="24"/>
          <w:szCs w:val="24"/>
          <w:lang w:val="en-US" w:eastAsia="zh-CN" w:bidi="ar"/>
        </w:rPr>
        <w:t>本次信息安全等级保护测评就信息系统进行测评。</w:t>
      </w:r>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测评单位应依据相应等级的安全保护测评要求及行业的特殊安全需求，对信息系统进行等级保护符合性测评。测评内容涵盖物理和环境安全、网络和通信安全、设备和计算安全、应用和数据安全、数据安全与备份恢复、安全策略和管理制度、安全管理机构和人员、系统建设管理、系统运维管理等信息安全的各个层面。</w:t>
      </w:r>
    </w:p>
    <w:p>
      <w:pPr>
        <w:pStyle w:val="7"/>
        <w:widowControl/>
        <w:rPr>
          <w:rFonts w:hint="default" w:ascii="Arial" w:hAnsi="Arial" w:eastAsia="黑体" w:cs="Times New Roman"/>
          <w:b/>
          <w:bCs/>
          <w:kern w:val="2"/>
          <w:sz w:val="32"/>
          <w:szCs w:val="32"/>
        </w:rPr>
      </w:pPr>
      <w:bookmarkStart w:id="44" w:name="_Toc3327"/>
      <w:bookmarkEnd w:id="44"/>
      <w:r>
        <w:rPr>
          <w:rFonts w:hint="eastAsia" w:ascii="黑体" w:hAnsi="宋体" w:eastAsia="黑体" w:cs="黑体"/>
          <w:b/>
          <w:bCs/>
          <w:kern w:val="2"/>
          <w:sz w:val="32"/>
          <w:szCs w:val="32"/>
        </w:rPr>
        <w:t>第四章</w:t>
      </w:r>
      <w:r>
        <w:rPr>
          <w:rFonts w:hint="eastAsia" w:ascii="Arial" w:hAnsi="Arial" w:eastAsia="黑体" w:cs="Times New Roman"/>
          <w:b/>
          <w:bCs/>
          <w:kern w:val="2"/>
          <w:sz w:val="32"/>
          <w:szCs w:val="32"/>
        </w:rPr>
        <w:t xml:space="preserve">  </w:t>
      </w:r>
      <w:r>
        <w:rPr>
          <w:rFonts w:hint="eastAsia" w:ascii="黑体" w:hAnsi="宋体" w:eastAsia="黑体" w:cs="黑体"/>
          <w:b/>
          <w:bCs/>
          <w:kern w:val="2"/>
          <w:sz w:val="32"/>
          <w:szCs w:val="32"/>
        </w:rPr>
        <w:t>项目内容</w:t>
      </w:r>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rPr>
      </w:pPr>
      <w:bookmarkStart w:id="45" w:name="_Toc859_WPSOffice_Level2"/>
      <w:bookmarkEnd w:id="45"/>
      <w:r>
        <w:rPr>
          <w:rFonts w:hint="eastAsia" w:ascii="宋体" w:hAnsi="宋体" w:eastAsia="宋体" w:cs="宋体"/>
          <w:kern w:val="2"/>
          <w:sz w:val="24"/>
          <w:szCs w:val="24"/>
          <w:lang w:val="en-US" w:eastAsia="zh-CN" w:bidi="ar"/>
        </w:rPr>
        <w:t>1、本次等级保护测评对象为运</w:t>
      </w:r>
      <w:r>
        <w:rPr>
          <w:rFonts w:hint="eastAsia" w:ascii="宋体" w:hAnsi="宋体" w:eastAsia="宋体" w:cs="宋体"/>
          <w:color w:val="000000"/>
          <w:kern w:val="2"/>
          <w:sz w:val="24"/>
          <w:szCs w:val="24"/>
          <w:lang w:val="en-US" w:eastAsia="zh-CN" w:bidi="ar"/>
        </w:rPr>
        <w:t>行在单位机房内的1个信息系统</w:t>
      </w:r>
      <w:r>
        <w:rPr>
          <w:rFonts w:hint="eastAsia" w:ascii="宋体" w:hAnsi="宋体" w:eastAsia="宋体" w:cs="宋体"/>
          <w:kern w:val="2"/>
          <w:sz w:val="24"/>
          <w:szCs w:val="24"/>
          <w:lang w:val="en-US" w:eastAsia="zh-CN" w:bidi="ar"/>
        </w:rPr>
        <w:t>：</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42"/>
        <w:gridCol w:w="1394"/>
        <w:gridCol w:w="1701"/>
        <w:gridCol w:w="2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8" w:hRule="atLeast"/>
        </w:trPr>
        <w:tc>
          <w:tcPr>
            <w:tcW w:w="254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val="0"/>
              <w:suppressLineNumbers w:val="0"/>
              <w:adjustRightInd w:val="0"/>
              <w:spacing w:before="0" w:beforeAutospacing="0" w:after="0" w:afterAutospacing="0" w:line="480" w:lineRule="auto"/>
              <w:ind w:left="0" w:right="0" w:firstLine="0" w:firstLineChars="0"/>
              <w:jc w:val="center"/>
              <w:textAlignment w:val="baseline"/>
              <w:rPr>
                <w:rFonts w:hint="eastAsia" w:ascii="宋体" w:hAnsi="宋体" w:eastAsia="宋体" w:cs="方正仿宋_GBK"/>
                <w:b/>
                <w:bCs/>
                <w:kern w:val="0"/>
                <w:sz w:val="24"/>
                <w:szCs w:val="24"/>
              </w:rPr>
            </w:pPr>
            <w:r>
              <w:rPr>
                <w:rFonts w:hint="eastAsia" w:ascii="宋体" w:hAnsi="宋体" w:eastAsia="宋体" w:cs="方正仿宋_GBK"/>
                <w:b/>
                <w:bCs/>
                <w:kern w:val="0"/>
                <w:sz w:val="24"/>
                <w:szCs w:val="24"/>
                <w:lang w:val="en-US" w:eastAsia="zh-CN" w:bidi="ar"/>
              </w:rPr>
              <w:t>系统名称</w:t>
            </w:r>
          </w:p>
        </w:tc>
        <w:tc>
          <w:tcPr>
            <w:tcW w:w="1394"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val="0"/>
              <w:suppressLineNumbers w:val="0"/>
              <w:adjustRightInd w:val="0"/>
              <w:spacing w:before="0" w:beforeAutospacing="0" w:after="0" w:afterAutospacing="0" w:line="480" w:lineRule="auto"/>
              <w:ind w:left="0" w:right="0" w:firstLine="0" w:firstLineChars="0"/>
              <w:jc w:val="center"/>
              <w:textAlignment w:val="baseline"/>
              <w:rPr>
                <w:rFonts w:hint="eastAsia" w:ascii="宋体" w:hAnsi="宋体" w:eastAsia="宋体" w:cs="方正仿宋_GBK"/>
                <w:b/>
                <w:bCs/>
                <w:kern w:val="0"/>
                <w:sz w:val="24"/>
                <w:szCs w:val="24"/>
              </w:rPr>
            </w:pPr>
            <w:r>
              <w:rPr>
                <w:rFonts w:hint="eastAsia" w:ascii="宋体" w:hAnsi="宋体" w:eastAsia="宋体" w:cs="方正仿宋_GBK"/>
                <w:b/>
                <w:bCs/>
                <w:kern w:val="0"/>
                <w:sz w:val="24"/>
                <w:szCs w:val="24"/>
                <w:lang w:val="en-US" w:eastAsia="zh-CN" w:bidi="ar"/>
              </w:rPr>
              <w:t>等级</w:t>
            </w:r>
          </w:p>
        </w:tc>
        <w:tc>
          <w:tcPr>
            <w:tcW w:w="1701"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val="0"/>
              <w:suppressLineNumbers w:val="0"/>
              <w:adjustRightInd w:val="0"/>
              <w:spacing w:before="0" w:beforeAutospacing="0" w:after="0" w:afterAutospacing="0" w:line="480" w:lineRule="auto"/>
              <w:ind w:left="0" w:right="0" w:firstLine="0" w:firstLineChars="0"/>
              <w:jc w:val="center"/>
              <w:textAlignment w:val="baseline"/>
              <w:rPr>
                <w:rFonts w:hint="eastAsia" w:ascii="宋体" w:hAnsi="宋体" w:eastAsia="宋体" w:cs="方正仿宋_GBK"/>
                <w:b/>
                <w:bCs/>
                <w:kern w:val="0"/>
                <w:sz w:val="24"/>
                <w:szCs w:val="24"/>
              </w:rPr>
            </w:pPr>
            <w:r>
              <w:rPr>
                <w:rFonts w:hint="eastAsia" w:ascii="宋体" w:hAnsi="宋体" w:eastAsia="宋体" w:cs="方正仿宋_GBK"/>
                <w:b/>
                <w:bCs/>
                <w:kern w:val="2"/>
                <w:sz w:val="24"/>
                <w:szCs w:val="24"/>
                <w:lang w:val="en-US" w:eastAsia="zh-CN" w:bidi="ar"/>
              </w:rPr>
              <w:t>等保测评</w:t>
            </w:r>
          </w:p>
        </w:tc>
        <w:tc>
          <w:tcPr>
            <w:tcW w:w="2885"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val="0"/>
              <w:suppressLineNumbers w:val="0"/>
              <w:adjustRightInd w:val="0"/>
              <w:spacing w:before="0" w:beforeAutospacing="0" w:after="0" w:afterAutospacing="0" w:line="480" w:lineRule="auto"/>
              <w:ind w:left="0" w:right="0" w:firstLine="0" w:firstLineChars="0"/>
              <w:jc w:val="center"/>
              <w:textAlignment w:val="baseline"/>
              <w:rPr>
                <w:rFonts w:hint="eastAsia" w:ascii="宋体" w:hAnsi="宋体" w:eastAsia="宋体" w:cs="方正仿宋_GBK"/>
                <w:b/>
                <w:bCs/>
                <w:kern w:val="0"/>
                <w:sz w:val="24"/>
                <w:szCs w:val="24"/>
              </w:rPr>
            </w:pPr>
            <w:r>
              <w:rPr>
                <w:rFonts w:hint="eastAsia" w:ascii="宋体" w:hAnsi="宋体" w:eastAsia="宋体" w:cs="方正仿宋_GBK"/>
                <w:b/>
                <w:bCs/>
                <w:kern w:val="0"/>
                <w:sz w:val="24"/>
                <w:szCs w:val="24"/>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54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val="0"/>
              <w:suppressLineNumbers w:val="0"/>
              <w:adjustRightInd w:val="0"/>
              <w:spacing w:before="0" w:beforeAutospacing="0" w:after="0" w:afterAutospacing="0" w:line="480" w:lineRule="auto"/>
              <w:ind w:left="0" w:right="0" w:firstLine="0" w:firstLineChars="0"/>
              <w:jc w:val="center"/>
              <w:textAlignment w:val="baseline"/>
              <w:rPr>
                <w:rFonts w:hint="eastAsia" w:ascii="宋体" w:hAnsi="宋体" w:eastAsia="宋体" w:cs="Times New Roman"/>
                <w:kern w:val="2"/>
                <w:sz w:val="24"/>
                <w:szCs w:val="24"/>
              </w:rPr>
            </w:pPr>
            <w:r>
              <w:rPr>
                <w:rFonts w:hint="eastAsia" w:ascii="宋体" w:hAnsi="宋体" w:eastAsia="宋体" w:cs="Times New Roman"/>
                <w:kern w:val="2"/>
                <w:sz w:val="24"/>
                <w:szCs w:val="24"/>
                <w:lang w:val="en-US" w:eastAsia="zh-CN" w:bidi="ar"/>
              </w:rPr>
              <w:t>智慧衡山社会治理</w:t>
            </w:r>
          </w:p>
          <w:p>
            <w:pPr>
              <w:keepNext w:val="0"/>
              <w:keepLines w:val="0"/>
              <w:widowControl w:val="0"/>
              <w:suppressLineNumbers w:val="0"/>
              <w:adjustRightInd w:val="0"/>
              <w:spacing w:before="0" w:beforeAutospacing="0" w:after="0" w:afterAutospacing="0" w:line="480" w:lineRule="auto"/>
              <w:ind w:left="0" w:right="0" w:firstLine="0" w:firstLineChars="0"/>
              <w:jc w:val="center"/>
              <w:textAlignment w:val="baseline"/>
              <w:rPr>
                <w:rFonts w:hint="eastAsia" w:ascii="宋体" w:hAnsi="宋体" w:eastAsia="宋体" w:cs="方正仿宋_GBK"/>
                <w:kern w:val="0"/>
                <w:sz w:val="24"/>
                <w:szCs w:val="24"/>
              </w:rPr>
            </w:pPr>
            <w:r>
              <w:rPr>
                <w:rFonts w:hint="eastAsia" w:ascii="宋体" w:hAnsi="宋体" w:eastAsia="宋体" w:cs="Times New Roman"/>
                <w:kern w:val="2"/>
                <w:sz w:val="24"/>
                <w:szCs w:val="24"/>
                <w:lang w:val="en-US" w:eastAsia="zh-CN" w:bidi="ar"/>
              </w:rPr>
              <w:t>一体化综合服务平台</w:t>
            </w:r>
          </w:p>
        </w:tc>
        <w:tc>
          <w:tcPr>
            <w:tcW w:w="1394"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val="0"/>
              <w:suppressLineNumbers w:val="0"/>
              <w:adjustRightInd w:val="0"/>
              <w:spacing w:before="0" w:beforeAutospacing="0" w:after="0" w:afterAutospacing="0" w:line="480" w:lineRule="auto"/>
              <w:ind w:left="0" w:right="0" w:firstLine="0" w:firstLineChars="0"/>
              <w:jc w:val="center"/>
              <w:textAlignment w:val="baseline"/>
              <w:rPr>
                <w:rFonts w:hint="eastAsia" w:ascii="宋体" w:hAnsi="宋体" w:eastAsia="宋体" w:cs="方正仿宋_GBK"/>
                <w:kern w:val="0"/>
                <w:sz w:val="24"/>
                <w:szCs w:val="24"/>
              </w:rPr>
            </w:pPr>
            <w:r>
              <w:rPr>
                <w:rFonts w:hint="eastAsia" w:ascii="宋体" w:hAnsi="宋体" w:eastAsia="宋体" w:cs="方正仿宋_GBK"/>
                <w:kern w:val="0"/>
                <w:sz w:val="24"/>
                <w:szCs w:val="24"/>
                <w:lang w:val="en-US" w:eastAsia="zh-CN" w:bidi="ar"/>
              </w:rPr>
              <w:t>三级</w:t>
            </w:r>
          </w:p>
        </w:tc>
        <w:tc>
          <w:tcPr>
            <w:tcW w:w="1701"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val="0"/>
              <w:suppressLineNumbers w:val="0"/>
              <w:adjustRightInd w:val="0"/>
              <w:spacing w:before="0" w:beforeAutospacing="0" w:after="0" w:afterAutospacing="0" w:line="480" w:lineRule="auto"/>
              <w:ind w:left="0" w:right="0" w:firstLine="0" w:firstLineChars="0"/>
              <w:jc w:val="center"/>
              <w:textAlignment w:val="baseline"/>
              <w:rPr>
                <w:rFonts w:hint="eastAsia" w:ascii="宋体" w:hAnsi="宋体" w:eastAsia="宋体" w:cs="方正仿宋_GBK"/>
                <w:kern w:val="0"/>
                <w:sz w:val="24"/>
                <w:szCs w:val="24"/>
              </w:rPr>
            </w:pPr>
            <w:r>
              <w:rPr>
                <w:rFonts w:hint="eastAsia" w:ascii="宋体" w:hAnsi="宋体" w:eastAsia="宋体" w:cs="宋体"/>
                <w:kern w:val="0"/>
                <w:sz w:val="24"/>
                <w:szCs w:val="24"/>
                <w:lang w:val="en-US" w:eastAsia="zh-CN" w:bidi="ar"/>
              </w:rPr>
              <w:t>√</w:t>
            </w:r>
          </w:p>
        </w:tc>
        <w:tc>
          <w:tcPr>
            <w:tcW w:w="2885"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val="0"/>
              <w:suppressLineNumbers w:val="0"/>
              <w:adjustRightInd w:val="0"/>
              <w:spacing w:before="0" w:beforeAutospacing="0" w:after="0" w:afterAutospacing="0" w:line="480" w:lineRule="auto"/>
              <w:ind w:left="0" w:right="0" w:firstLine="0" w:firstLineChars="0"/>
              <w:jc w:val="center"/>
              <w:textAlignment w:val="baseline"/>
              <w:rPr>
                <w:rFonts w:hint="eastAsia" w:ascii="宋体" w:hAnsi="宋体" w:eastAsia="宋体" w:cs="方正仿宋_GBK"/>
                <w:kern w:val="2"/>
                <w:sz w:val="24"/>
                <w:szCs w:val="24"/>
              </w:rPr>
            </w:pPr>
            <w:r>
              <w:rPr>
                <w:rFonts w:hint="eastAsia" w:ascii="宋体" w:hAnsi="宋体" w:eastAsia="宋体" w:cs="方正仿宋_GBK"/>
                <w:kern w:val="2"/>
                <w:sz w:val="24"/>
                <w:szCs w:val="24"/>
                <w:lang w:val="en-US" w:eastAsia="zh-CN" w:bidi="ar"/>
              </w:rPr>
              <w:t>协助取得系统备案证明</w:t>
            </w:r>
          </w:p>
        </w:tc>
      </w:tr>
    </w:tbl>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2、项目预算 ：9万</w:t>
      </w:r>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3、主要项目内容包括：</w:t>
      </w:r>
    </w:p>
    <w:p>
      <w:pPr>
        <w:keepNext w:val="0"/>
        <w:keepLines w:val="0"/>
        <w:widowControl w:val="0"/>
        <w:suppressLineNumbers w:val="0"/>
        <w:autoSpaceDE w:val="0"/>
        <w:autoSpaceDN w:val="0"/>
        <w:adjustRightInd w:val="0"/>
        <w:spacing w:before="38" w:beforeAutospacing="0" w:after="0" w:afterAutospacing="0" w:line="520" w:lineRule="exact"/>
        <w:ind w:left="0" w:right="-20" w:firstLine="480" w:firstLineChars="200"/>
        <w:jc w:val="both"/>
        <w:textAlignment w:val="baseline"/>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（1）</w:t>
      </w:r>
      <w:r>
        <w:rPr>
          <w:rFonts w:hint="eastAsia" w:ascii="宋体" w:hAnsi="宋体" w:eastAsia="宋体" w:cs="宋体"/>
          <w:b/>
          <w:bCs w:val="0"/>
          <w:kern w:val="2"/>
          <w:sz w:val="24"/>
          <w:szCs w:val="24"/>
          <w:lang w:val="en-US" w:eastAsia="zh-CN" w:bidi="ar"/>
        </w:rPr>
        <w:t>漏洞扫描：</w:t>
      </w:r>
      <w:r>
        <w:rPr>
          <w:rFonts w:hint="eastAsia" w:ascii="宋体" w:hAnsi="宋体" w:eastAsia="宋体" w:cs="宋体"/>
          <w:kern w:val="2"/>
          <w:sz w:val="24"/>
          <w:szCs w:val="24"/>
          <w:lang w:val="en-US" w:eastAsia="zh-CN" w:bidi="ar"/>
        </w:rPr>
        <w:t>供应商需针对网络设备，服务器，应用等进行漏洞扫描出具漏洞扫描报告。</w:t>
      </w:r>
    </w:p>
    <w:p>
      <w:pPr>
        <w:keepNext w:val="0"/>
        <w:keepLines w:val="0"/>
        <w:widowControl w:val="0"/>
        <w:suppressLineNumbers w:val="0"/>
        <w:autoSpaceDE w:val="0"/>
        <w:autoSpaceDN w:val="0"/>
        <w:adjustRightInd w:val="0"/>
        <w:spacing w:before="38" w:beforeAutospacing="0" w:after="0" w:afterAutospacing="0" w:line="520" w:lineRule="exact"/>
        <w:ind w:left="0" w:right="-20" w:firstLine="480" w:firstLineChars="200"/>
        <w:jc w:val="both"/>
        <w:textAlignment w:val="baseline"/>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（2）</w:t>
      </w:r>
      <w:r>
        <w:rPr>
          <w:rFonts w:hint="eastAsia" w:ascii="宋体" w:hAnsi="宋体" w:eastAsia="宋体" w:cs="宋体"/>
          <w:b/>
          <w:bCs w:val="0"/>
          <w:kern w:val="2"/>
          <w:sz w:val="24"/>
          <w:szCs w:val="24"/>
          <w:lang w:val="en-US" w:eastAsia="zh-CN" w:bidi="ar"/>
        </w:rPr>
        <w:t>渗透测试：</w:t>
      </w:r>
      <w:r>
        <w:rPr>
          <w:rFonts w:hint="eastAsia" w:ascii="宋体" w:hAnsi="宋体" w:eastAsia="宋体" w:cs="宋体"/>
          <w:kern w:val="2"/>
          <w:sz w:val="24"/>
          <w:szCs w:val="24"/>
          <w:lang w:val="en-US" w:eastAsia="zh-CN" w:bidi="ar"/>
        </w:rPr>
        <w:t>模拟黑客可能使用的攻击技术和漏洞发现技术，对信息系统进行验证性渗透测试。</w:t>
      </w:r>
    </w:p>
    <w:p>
      <w:pPr>
        <w:pStyle w:val="16"/>
        <w:keepNext w:val="0"/>
        <w:keepLines w:val="0"/>
        <w:widowControl w:val="0"/>
        <w:suppressLineNumbers w:val="0"/>
        <w:adjustRightInd w:val="0"/>
        <w:spacing w:before="0" w:beforeAutospacing="0" w:after="0" w:afterAutospacing="0" w:line="360" w:lineRule="auto"/>
        <w:ind w:left="0" w:right="0" w:firstLine="482" w:firstLineChars="0"/>
        <w:jc w:val="both"/>
        <w:textAlignment w:val="baseline"/>
        <w:rPr>
          <w:rFonts w:hint="default" w:ascii="Verdana" w:hAnsi="Verdana" w:eastAsia="宋体" w:cs="Times New Roman"/>
          <w:kern w:val="2"/>
          <w:sz w:val="24"/>
          <w:szCs w:val="24"/>
        </w:rPr>
      </w:pPr>
      <w:r>
        <w:rPr>
          <w:rFonts w:hint="eastAsia" w:ascii="宋体" w:hAnsi="宋体" w:eastAsia="宋体" w:cs="宋体"/>
          <w:kern w:val="2"/>
          <w:sz w:val="24"/>
          <w:szCs w:val="24"/>
          <w:lang w:val="en-US" w:eastAsia="zh-CN" w:bidi="ar"/>
        </w:rPr>
        <w:t>（</w:t>
      </w:r>
      <w:r>
        <w:rPr>
          <w:rFonts w:hint="default" w:ascii="Verdana" w:hAnsi="Verdana" w:eastAsia="宋体" w:cs="Verdana"/>
          <w:kern w:val="2"/>
          <w:sz w:val="24"/>
          <w:szCs w:val="24"/>
          <w:lang w:val="en-US" w:eastAsia="zh-CN" w:bidi="ar"/>
        </w:rPr>
        <w:t>3</w:t>
      </w:r>
      <w:r>
        <w:rPr>
          <w:rFonts w:hint="eastAsia" w:ascii="宋体" w:hAnsi="宋体" w:eastAsia="宋体" w:cs="宋体"/>
          <w:kern w:val="2"/>
          <w:sz w:val="24"/>
          <w:szCs w:val="24"/>
          <w:lang w:val="en-US" w:eastAsia="zh-CN" w:bidi="ar"/>
        </w:rPr>
        <w:t>）</w:t>
      </w:r>
      <w:r>
        <w:rPr>
          <w:rFonts w:hint="eastAsia" w:ascii="宋体" w:hAnsi="宋体" w:eastAsia="宋体" w:cs="宋体"/>
          <w:b/>
          <w:bCs/>
          <w:kern w:val="2"/>
          <w:sz w:val="24"/>
          <w:szCs w:val="24"/>
          <w:lang w:val="en-US" w:eastAsia="zh-CN" w:bidi="ar"/>
        </w:rPr>
        <w:t>系统定级与备案：</w:t>
      </w:r>
      <w:r>
        <w:rPr>
          <w:rFonts w:hint="eastAsia" w:ascii="宋体" w:hAnsi="宋体" w:eastAsia="宋体" w:cs="宋体"/>
          <w:kern w:val="2"/>
          <w:sz w:val="24"/>
          <w:szCs w:val="24"/>
          <w:lang w:val="en-US" w:eastAsia="zh-CN" w:bidi="ar"/>
        </w:rPr>
        <w:t>协助我单位完成系统的定级（含专家评审）与备案工作，最终取得公安部门下发的</w:t>
      </w:r>
      <w:r>
        <w:rPr>
          <w:rFonts w:hint="eastAsia" w:ascii="宋体" w:hAnsi="宋体" w:eastAsia="宋体" w:cs="宋体"/>
          <w:kern w:val="2"/>
          <w:sz w:val="24"/>
          <w:szCs w:val="24"/>
          <w:u w:val="single"/>
          <w:lang w:val="en-US" w:eastAsia="zh-CN" w:bidi="ar"/>
        </w:rPr>
        <w:t>备案证明</w:t>
      </w:r>
      <w:r>
        <w:rPr>
          <w:rFonts w:hint="eastAsia" w:ascii="宋体" w:hAnsi="宋体" w:eastAsia="宋体" w:cs="宋体"/>
          <w:kern w:val="2"/>
          <w:sz w:val="24"/>
          <w:szCs w:val="24"/>
          <w:lang w:val="en-US" w:eastAsia="zh-CN" w:bidi="ar"/>
        </w:rPr>
        <w:t>。</w:t>
      </w:r>
    </w:p>
    <w:p>
      <w:pPr>
        <w:keepNext w:val="0"/>
        <w:keepLines w:val="0"/>
        <w:widowControl w:val="0"/>
        <w:suppressLineNumbers w:val="0"/>
        <w:adjustRightInd w:val="0"/>
        <w:spacing w:before="0" w:beforeAutospacing="0" w:after="0" w:afterAutospacing="0" w:line="520" w:lineRule="exact"/>
        <w:ind w:left="0" w:right="0" w:firstLine="480" w:firstLineChars="200"/>
        <w:jc w:val="both"/>
        <w:textAlignment w:val="baseline"/>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（4）</w:t>
      </w:r>
      <w:r>
        <w:rPr>
          <w:rFonts w:hint="eastAsia" w:ascii="宋体" w:hAnsi="宋体" w:eastAsia="宋体" w:cs="宋体"/>
          <w:b/>
          <w:bCs w:val="0"/>
          <w:kern w:val="2"/>
          <w:sz w:val="24"/>
          <w:szCs w:val="24"/>
          <w:lang w:val="en-US" w:eastAsia="zh-CN" w:bidi="ar"/>
        </w:rPr>
        <w:t>等级保护测评：</w:t>
      </w:r>
      <w:r>
        <w:rPr>
          <w:rFonts w:hint="eastAsia" w:ascii="宋体" w:hAnsi="宋体" w:eastAsia="宋体" w:cs="宋体"/>
          <w:kern w:val="2"/>
          <w:sz w:val="24"/>
          <w:szCs w:val="24"/>
          <w:lang w:val="en-US" w:eastAsia="zh-CN" w:bidi="ar"/>
        </w:rPr>
        <w:t>依据《信息安全技术 网络安全等级保护基本要求》（GB/T 22239-2019）、《信息安全技术 网络安全等级保护测评要求》（GB/T 28448-2019）等国家等级保护相关标准，参照《信息安全技术 信息系统安全等级保护定级指南》（GB/T 22240）、《信息安全技术 网络安全等级保护测评过程指南》（GB/T 28449-2018），完成安全技术层面包括安全物理环境、安全通信网络、安全区域边界、安全计算环境和安全管理中心五个方面的安全测评；安全管理层面包括安全管理机构、安全管理制度、安全管理人员、安全建设管理和安全运维管理五个方面的安全测评。完成上述测评工作和整改加固实施后，供应商最后出具符合公安机关要求的各信息系统网络安全等级保护测评报告。</w:t>
      </w:r>
    </w:p>
    <w:p>
      <w:pPr>
        <w:keepNext w:val="0"/>
        <w:keepLines w:val="0"/>
        <w:widowControl w:val="0"/>
        <w:suppressLineNumbers w:val="0"/>
        <w:adjustRightInd w:val="0"/>
        <w:spacing w:before="0" w:beforeAutospacing="0" w:after="0" w:afterAutospacing="0" w:line="520" w:lineRule="exact"/>
        <w:ind w:left="0" w:right="0" w:firstLine="480" w:firstLineChars="200"/>
        <w:jc w:val="both"/>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（5）、</w:t>
      </w:r>
      <w:r>
        <w:rPr>
          <w:rFonts w:hint="eastAsia" w:ascii="宋体" w:hAnsi="宋体" w:eastAsia="宋体" w:cs="宋体"/>
          <w:b/>
          <w:bCs/>
          <w:kern w:val="2"/>
          <w:sz w:val="24"/>
          <w:szCs w:val="24"/>
          <w:lang w:val="en-US" w:eastAsia="zh-CN" w:bidi="ar"/>
        </w:rPr>
        <w:t>测评项目要求及成果验证</w:t>
      </w:r>
      <w:r>
        <w:rPr>
          <w:rFonts w:hint="eastAsia" w:ascii="宋体" w:hAnsi="宋体" w:eastAsia="宋体" w:cs="宋体"/>
          <w:kern w:val="2"/>
          <w:sz w:val="24"/>
          <w:szCs w:val="24"/>
          <w:lang w:val="en-US" w:eastAsia="zh-CN" w:bidi="ar"/>
        </w:rPr>
        <w:t>：</w:t>
      </w:r>
    </w:p>
    <w:tbl>
      <w:tblPr>
        <w:tblStyle w:val="18"/>
        <w:tblW w:w="93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85"/>
        <w:gridCol w:w="1701"/>
        <w:gridCol w:w="2410"/>
        <w:gridCol w:w="4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85" w:type="dxa"/>
            <w:tcBorders>
              <w:top w:val="single" w:color="auto" w:sz="4" w:space="0"/>
              <w:left w:val="single" w:color="auto" w:sz="4" w:space="0"/>
              <w:bottom w:val="single" w:color="auto" w:sz="4" w:space="0"/>
              <w:right w:val="single" w:color="auto" w:sz="4" w:space="0"/>
            </w:tcBorders>
            <w:shd w:val="clear" w:color="auto" w:fill="D9D9D9"/>
            <w:vAlign w:val="center"/>
          </w:tcPr>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lang w:val="en-US" w:eastAsia="zh-CN" w:bidi="ar"/>
              </w:rPr>
              <w:t>序号</w:t>
            </w:r>
          </w:p>
        </w:tc>
        <w:tc>
          <w:tcPr>
            <w:tcW w:w="1701" w:type="dxa"/>
            <w:tcBorders>
              <w:top w:val="single" w:color="auto" w:sz="4" w:space="0"/>
              <w:left w:val="nil"/>
              <w:bottom w:val="single" w:color="auto" w:sz="4" w:space="0"/>
              <w:right w:val="single" w:color="auto" w:sz="4" w:space="0"/>
            </w:tcBorders>
            <w:shd w:val="clear" w:color="auto" w:fill="D9D9D9"/>
            <w:vAlign w:val="center"/>
          </w:tcPr>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lang w:val="en-US" w:eastAsia="zh-CN" w:bidi="ar"/>
              </w:rPr>
              <w:t>工作阶段</w:t>
            </w:r>
          </w:p>
        </w:tc>
        <w:tc>
          <w:tcPr>
            <w:tcW w:w="2410" w:type="dxa"/>
            <w:tcBorders>
              <w:top w:val="single" w:color="auto" w:sz="4" w:space="0"/>
              <w:left w:val="nil"/>
              <w:bottom w:val="single" w:color="auto" w:sz="4" w:space="0"/>
              <w:right w:val="single" w:color="auto" w:sz="4" w:space="0"/>
            </w:tcBorders>
            <w:shd w:val="clear" w:color="auto" w:fill="D9D9D9"/>
            <w:vAlign w:val="center"/>
          </w:tcPr>
          <w:p>
            <w:pPr>
              <w:keepNext w:val="0"/>
              <w:keepLines w:val="0"/>
              <w:widowControl w:val="0"/>
              <w:suppressLineNumbers w:val="0"/>
              <w:adjustRightInd w:val="0"/>
              <w:spacing w:before="0" w:beforeAutospacing="0" w:after="0" w:afterAutospacing="0" w:line="400" w:lineRule="exact"/>
              <w:ind w:left="0" w:right="0" w:firstLine="0" w:firstLineChars="0"/>
              <w:jc w:val="both"/>
              <w:textAlignment w:val="baseline"/>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lang w:val="en-US" w:eastAsia="zh-CN" w:bidi="ar"/>
              </w:rPr>
              <w:t>项目成果构成和形式</w:t>
            </w:r>
          </w:p>
        </w:tc>
        <w:tc>
          <w:tcPr>
            <w:tcW w:w="4412" w:type="dxa"/>
            <w:tcBorders>
              <w:top w:val="single" w:color="auto" w:sz="4" w:space="0"/>
              <w:left w:val="nil"/>
              <w:bottom w:val="single" w:color="auto" w:sz="4" w:space="0"/>
              <w:right w:val="single" w:color="auto" w:sz="4" w:space="0"/>
            </w:tcBorders>
            <w:shd w:val="clear" w:color="auto" w:fill="D9D9D9"/>
            <w:vAlign w:val="center"/>
          </w:tcPr>
          <w:p>
            <w:pPr>
              <w:keepNext w:val="0"/>
              <w:keepLines w:val="0"/>
              <w:widowControl w:val="0"/>
              <w:suppressLineNumbers w:val="0"/>
              <w:adjustRightInd w:val="0"/>
              <w:spacing w:before="0" w:beforeAutospacing="0" w:after="0" w:afterAutospacing="0" w:line="400" w:lineRule="exact"/>
              <w:ind w:left="0" w:right="0" w:firstLine="482" w:firstLineChars="200"/>
              <w:jc w:val="center"/>
              <w:textAlignment w:val="baseline"/>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lang w:val="en-US" w:eastAsia="zh-CN" w:bidi="ar"/>
              </w:rPr>
              <w:t>项目成果验证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199" w:firstLineChars="83"/>
              <w:jc w:val="both"/>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1</w:t>
            </w:r>
          </w:p>
        </w:tc>
        <w:tc>
          <w:tcPr>
            <w:tcW w:w="1701"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测试准备</w:t>
            </w:r>
          </w:p>
        </w:tc>
        <w:tc>
          <w:tcPr>
            <w:tcW w:w="241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等级测评项目启动</w:t>
            </w:r>
          </w:p>
        </w:tc>
        <w:tc>
          <w:tcPr>
            <w:tcW w:w="4412"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adjustRightInd w:val="0"/>
              <w:spacing w:before="0" w:beforeAutospacing="0" w:after="0" w:afterAutospacing="0" w:line="400" w:lineRule="exact"/>
              <w:ind w:left="0" w:right="0" w:firstLine="480" w:firstLineChars="200"/>
              <w:jc w:val="left"/>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应包含测试的进度安排、人力资源计划、质量保证、风险管理、沟通管理等内容。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199" w:firstLineChars="83"/>
              <w:jc w:val="both"/>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2</w:t>
            </w:r>
          </w:p>
        </w:tc>
        <w:tc>
          <w:tcPr>
            <w:tcW w:w="1701"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41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信息收集与分析</w:t>
            </w:r>
          </w:p>
        </w:tc>
        <w:tc>
          <w:tcPr>
            <w:tcW w:w="4412"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adjustRightInd w:val="0"/>
              <w:spacing w:before="0" w:beforeAutospacing="0" w:after="0" w:afterAutospacing="0" w:line="400" w:lineRule="exact"/>
              <w:ind w:left="0" w:right="0" w:firstLine="480" w:firstLineChars="200"/>
              <w:jc w:val="left"/>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应完成信息收集与分析，形成相关文件。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199" w:firstLineChars="83"/>
              <w:jc w:val="both"/>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3</w:t>
            </w:r>
          </w:p>
        </w:tc>
        <w:tc>
          <w:tcPr>
            <w:tcW w:w="1701"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41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工具和表单准备</w:t>
            </w:r>
          </w:p>
        </w:tc>
        <w:tc>
          <w:tcPr>
            <w:tcW w:w="4412"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adjustRightInd w:val="0"/>
              <w:spacing w:before="0" w:beforeAutospacing="0" w:after="0" w:afterAutospacing="0" w:line="400" w:lineRule="exact"/>
              <w:ind w:left="0" w:right="0" w:firstLine="480" w:firstLineChars="200"/>
              <w:jc w:val="left"/>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涉及表单应包含：单位基本情况、参与人员名单、物理环境情况、信息系统基本情况、信息系统承载业务（服务）情况、信息系统网络结构（环境）情况、外联线路及设备端口（网络边界）情况、网络设备情况、安全设备情况、服务器设备情况、终端设备情况、系统软件情况、应用系统软件情况、业务数据情况、数据备份情况、应用系统软件处理流程（多表）、业务数据流程（多表）、管理文档情况、安全威胁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199" w:firstLineChars="83"/>
              <w:jc w:val="both"/>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4</w:t>
            </w:r>
          </w:p>
        </w:tc>
        <w:tc>
          <w:tcPr>
            <w:tcW w:w="1701"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0" w:firstLineChars="0"/>
              <w:jc w:val="both"/>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测评方案编制</w:t>
            </w:r>
          </w:p>
        </w:tc>
        <w:tc>
          <w:tcPr>
            <w:tcW w:w="241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测评对象确定</w:t>
            </w:r>
          </w:p>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和测评指标确定</w:t>
            </w:r>
          </w:p>
        </w:tc>
        <w:tc>
          <w:tcPr>
            <w:tcW w:w="4412"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adjustRightInd w:val="0"/>
              <w:spacing w:before="0" w:beforeAutospacing="0" w:after="0" w:afterAutospacing="0" w:line="600" w:lineRule="auto"/>
              <w:ind w:left="0" w:right="0" w:firstLine="480" w:firstLineChars="200"/>
              <w:jc w:val="left"/>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完成测评对象及测评指标的确定。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199" w:firstLineChars="83"/>
              <w:jc w:val="both"/>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5</w:t>
            </w:r>
          </w:p>
        </w:tc>
        <w:tc>
          <w:tcPr>
            <w:tcW w:w="1701"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41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测评工具</w:t>
            </w:r>
          </w:p>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接入点确定</w:t>
            </w:r>
          </w:p>
        </w:tc>
        <w:tc>
          <w:tcPr>
            <w:tcW w:w="4412"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adjustRightInd w:val="0"/>
              <w:spacing w:before="0" w:beforeAutospacing="0" w:after="0" w:afterAutospacing="0" w:line="600" w:lineRule="auto"/>
              <w:ind w:left="0" w:right="0" w:firstLine="480" w:firstLineChars="200"/>
              <w:jc w:val="left"/>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完成测评工具的接入。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199" w:firstLineChars="83"/>
              <w:jc w:val="both"/>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6</w:t>
            </w:r>
          </w:p>
        </w:tc>
        <w:tc>
          <w:tcPr>
            <w:tcW w:w="1701"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41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测评指导书开发</w:t>
            </w:r>
          </w:p>
        </w:tc>
        <w:tc>
          <w:tcPr>
            <w:tcW w:w="4412"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adjustRightInd w:val="0"/>
              <w:spacing w:before="0" w:beforeAutospacing="0" w:after="0" w:afterAutospacing="0" w:line="400" w:lineRule="exact"/>
              <w:ind w:left="0" w:right="0" w:firstLine="480" w:firstLineChars="200"/>
              <w:jc w:val="left"/>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测评指导书应包括：安全管理机构操作指导书、安全管理制度操作指导书、人员安全管理操作指导书、系统建设管理操作指导书、系统运维管理操作指导书、物理安全操作指导书、网络安全操作指导书、主机安全操作指导书、应用安全操作指导书、工具测试操作指导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199" w:firstLineChars="83"/>
              <w:jc w:val="both"/>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7</w:t>
            </w:r>
          </w:p>
        </w:tc>
        <w:tc>
          <w:tcPr>
            <w:tcW w:w="1701"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41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测评方案编制</w:t>
            </w:r>
          </w:p>
        </w:tc>
        <w:tc>
          <w:tcPr>
            <w:tcW w:w="4412"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adjustRightInd w:val="0"/>
              <w:spacing w:before="0" w:beforeAutospacing="0" w:after="0" w:afterAutospacing="0" w:line="400" w:lineRule="exact"/>
              <w:ind w:left="0" w:right="0" w:firstLine="480" w:firstLineChars="200"/>
              <w:jc w:val="left"/>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测评方案应包括：被测系统描述、测评对象、测评指标、测评工具和接入点、测评内容、测评指导书等。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199" w:firstLineChars="83"/>
              <w:jc w:val="both"/>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8</w:t>
            </w:r>
          </w:p>
        </w:tc>
        <w:tc>
          <w:tcPr>
            <w:tcW w:w="1701"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199" w:firstLineChars="83"/>
              <w:jc w:val="both"/>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现场测评</w:t>
            </w:r>
          </w:p>
        </w:tc>
        <w:tc>
          <w:tcPr>
            <w:tcW w:w="241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199" w:firstLineChars="83"/>
              <w:jc w:val="center"/>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测评实施准备</w:t>
            </w:r>
          </w:p>
        </w:tc>
        <w:tc>
          <w:tcPr>
            <w:tcW w:w="4412"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adjustRightInd w:val="0"/>
              <w:spacing w:before="0" w:beforeAutospacing="0" w:after="0" w:afterAutospacing="0" w:line="400" w:lineRule="exact"/>
              <w:ind w:left="0" w:right="0" w:firstLine="480" w:firstLineChars="200"/>
              <w:jc w:val="left"/>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完成测评实施的准备工作。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199" w:firstLineChars="83"/>
              <w:jc w:val="both"/>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9</w:t>
            </w:r>
          </w:p>
        </w:tc>
        <w:tc>
          <w:tcPr>
            <w:tcW w:w="1701"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41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现场测评</w:t>
            </w:r>
          </w:p>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和结果记录</w:t>
            </w:r>
          </w:p>
        </w:tc>
        <w:tc>
          <w:tcPr>
            <w:tcW w:w="4412"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adjustRightInd w:val="0"/>
              <w:spacing w:before="0" w:beforeAutospacing="0" w:after="0" w:afterAutospacing="0" w:line="400" w:lineRule="exact"/>
              <w:ind w:left="0" w:right="0" w:firstLine="480" w:firstLineChars="200"/>
              <w:jc w:val="left"/>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测评项应包括：安全技术测评包括物理安全、网络安全、主机安全、应用安全、数据安全及备份恢复。安全管理测评包括安全管理制度、安全管理机构、人员安全管理、系统建设管理、系统运维管理。不计具体设备的数量，每个二级系统至少进行的测评项为135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10</w:t>
            </w:r>
          </w:p>
        </w:tc>
        <w:tc>
          <w:tcPr>
            <w:tcW w:w="1701"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41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结果确认</w:t>
            </w:r>
          </w:p>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和资料归还</w:t>
            </w:r>
          </w:p>
        </w:tc>
        <w:tc>
          <w:tcPr>
            <w:tcW w:w="4412"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adjustRightInd w:val="0"/>
              <w:spacing w:before="0" w:beforeAutospacing="0" w:after="0" w:afterAutospacing="0" w:line="400" w:lineRule="exact"/>
              <w:ind w:left="0" w:right="0" w:firstLine="480" w:firstLineChars="200"/>
              <w:jc w:val="left"/>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提交完整的测评结果，应包括问题描述、状态、严重程度、优先级等内容；归还相关资料。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11</w:t>
            </w:r>
          </w:p>
        </w:tc>
        <w:tc>
          <w:tcPr>
            <w:tcW w:w="1701"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199" w:firstLineChars="83"/>
              <w:jc w:val="both"/>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测试结束</w:t>
            </w:r>
          </w:p>
        </w:tc>
        <w:tc>
          <w:tcPr>
            <w:tcW w:w="241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分析与报告编制</w:t>
            </w:r>
          </w:p>
        </w:tc>
        <w:tc>
          <w:tcPr>
            <w:tcW w:w="4412"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adjustRightInd w:val="0"/>
              <w:spacing w:before="0" w:beforeAutospacing="0" w:after="0" w:afterAutospacing="0" w:line="400" w:lineRule="exact"/>
              <w:ind w:left="0" w:right="0" w:firstLine="480" w:firstLineChars="200"/>
              <w:jc w:val="left"/>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单项测评结果判定、单元测评结果判定、整体测评、风险分析、等级测评结论形成、测评报告编制等。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0" w:firstLineChars="0"/>
              <w:jc w:val="center"/>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12</w:t>
            </w:r>
          </w:p>
        </w:tc>
        <w:tc>
          <w:tcPr>
            <w:tcW w:w="1701"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41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400" w:lineRule="exact"/>
              <w:ind w:left="0" w:right="0" w:firstLine="480" w:firstLineChars="200"/>
              <w:jc w:val="both"/>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测评报告</w:t>
            </w:r>
          </w:p>
        </w:tc>
        <w:tc>
          <w:tcPr>
            <w:tcW w:w="4412"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adjustRightInd w:val="0"/>
              <w:spacing w:before="0" w:beforeAutospacing="0" w:after="0" w:afterAutospacing="0" w:line="400" w:lineRule="exact"/>
              <w:ind w:left="0" w:right="0" w:firstLine="480" w:firstLineChars="200"/>
              <w:jc w:val="left"/>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提交正式测评报告，测评报告包括：测评项目概述、被测信息系统情况、等级测评范围与方法、单元测评、整体测评、测评结果汇总、风险分析和评价、等级测评结论、安全建设整改建议等。</w:t>
            </w:r>
          </w:p>
        </w:tc>
      </w:tr>
    </w:tbl>
    <w:p>
      <w:pPr>
        <w:pStyle w:val="16"/>
        <w:keepNext w:val="0"/>
        <w:keepLines w:val="0"/>
        <w:widowControl w:val="0"/>
        <w:suppressLineNumbers w:val="0"/>
        <w:adjustRightInd w:val="0"/>
        <w:spacing w:before="0" w:beforeAutospacing="0" w:after="0" w:afterAutospacing="0" w:line="360" w:lineRule="auto"/>
        <w:ind w:left="0" w:right="0" w:firstLine="0" w:firstLineChars="0"/>
        <w:jc w:val="both"/>
        <w:textAlignment w:val="baseline"/>
        <w:rPr>
          <w:rFonts w:hint="default" w:ascii="Verdana" w:hAnsi="Verdana" w:eastAsia="宋体" w:cs="Times New Roman"/>
          <w:kern w:val="2"/>
          <w:sz w:val="24"/>
          <w:szCs w:val="24"/>
        </w:rPr>
      </w:pPr>
      <w:r>
        <w:rPr>
          <w:rFonts w:hint="default" w:ascii="Verdana" w:hAnsi="Verdana" w:eastAsia="宋体" w:cs="Times New Roman"/>
          <w:kern w:val="2"/>
          <w:sz w:val="24"/>
          <w:szCs w:val="24"/>
          <w:lang w:val="en-US" w:eastAsia="zh-CN" w:bidi="ar"/>
        </w:rPr>
        <w:t xml:space="preserve"> </w:t>
      </w:r>
    </w:p>
    <w:p>
      <w:pPr>
        <w:pStyle w:val="7"/>
        <w:widowControl/>
        <w:rPr>
          <w:rFonts w:hint="default" w:ascii="Arial" w:hAnsi="Arial" w:eastAsia="黑体" w:cs="Times New Roman"/>
          <w:b/>
          <w:bCs/>
          <w:kern w:val="2"/>
          <w:sz w:val="32"/>
          <w:szCs w:val="32"/>
        </w:rPr>
      </w:pPr>
      <w:bookmarkStart w:id="46" w:name="_Toc9591"/>
      <w:bookmarkEnd w:id="46"/>
      <w:r>
        <w:rPr>
          <w:rFonts w:hint="eastAsia" w:ascii="黑体" w:hAnsi="宋体" w:eastAsia="黑体" w:cs="黑体"/>
          <w:b/>
          <w:bCs/>
          <w:kern w:val="2"/>
          <w:sz w:val="32"/>
          <w:szCs w:val="32"/>
        </w:rPr>
        <w:t>第五章</w:t>
      </w:r>
      <w:r>
        <w:rPr>
          <w:rFonts w:hint="eastAsia" w:ascii="Arial" w:hAnsi="Arial" w:eastAsia="黑体" w:cs="Times New Roman"/>
          <w:b/>
          <w:bCs/>
          <w:kern w:val="2"/>
          <w:sz w:val="32"/>
          <w:szCs w:val="32"/>
        </w:rPr>
        <w:t xml:space="preserve">  </w:t>
      </w:r>
      <w:r>
        <w:rPr>
          <w:rFonts w:hint="eastAsia" w:ascii="黑体" w:hAnsi="宋体" w:eastAsia="黑体" w:cs="黑体"/>
          <w:b/>
          <w:bCs/>
          <w:kern w:val="2"/>
          <w:sz w:val="24"/>
          <w:szCs w:val="24"/>
        </w:rPr>
        <w:t>测评实施原则</w:t>
      </w:r>
    </w:p>
    <w:p>
      <w:pPr>
        <w:keepNext w:val="0"/>
        <w:keepLines w:val="0"/>
        <w:widowControl w:val="0"/>
        <w:suppressLineNumbers w:val="0"/>
        <w:adjustRightInd w:val="0"/>
        <w:spacing w:before="0" w:beforeAutospacing="0" w:after="0" w:afterAutospacing="0" w:line="560" w:lineRule="exact"/>
        <w:ind w:left="0" w:right="0" w:firstLine="480" w:firstLineChars="200"/>
        <w:jc w:val="both"/>
        <w:textAlignment w:val="baseline"/>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1、保密原则：对测评的过程数据和结果数据严格保密，未经授权不得泄露给任何单位和个人，不得利用此数据进行任何侵害招标人的行为，否则招标人有权追究中标人的责任。</w:t>
      </w:r>
    </w:p>
    <w:p>
      <w:pPr>
        <w:keepNext w:val="0"/>
        <w:keepLines w:val="0"/>
        <w:widowControl w:val="0"/>
        <w:suppressLineNumbers w:val="0"/>
        <w:adjustRightInd w:val="0"/>
        <w:spacing w:before="0" w:beforeAutospacing="0" w:after="0" w:afterAutospacing="0" w:line="560" w:lineRule="exact"/>
        <w:ind w:left="0" w:right="0" w:firstLine="480" w:firstLineChars="200"/>
        <w:jc w:val="both"/>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2、标准性原则：测评方案的设计与实施应依据国家等级保护的相关标准进行。</w:t>
      </w:r>
    </w:p>
    <w:p>
      <w:pPr>
        <w:keepNext w:val="0"/>
        <w:keepLines w:val="0"/>
        <w:widowControl w:val="0"/>
        <w:suppressLineNumbers w:val="0"/>
        <w:adjustRightInd w:val="0"/>
        <w:spacing w:before="0" w:beforeAutospacing="0" w:after="0" w:afterAutospacing="0" w:line="560" w:lineRule="exact"/>
        <w:ind w:left="0" w:right="0" w:firstLine="480" w:firstLineChars="200"/>
        <w:jc w:val="both"/>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3、规范性原则：中标人的工作中的过程和文档，具有很好的规范性，可以便于项目的跟踪和控制。</w:t>
      </w:r>
    </w:p>
    <w:p>
      <w:pPr>
        <w:keepNext w:val="0"/>
        <w:keepLines w:val="0"/>
        <w:widowControl w:val="0"/>
        <w:suppressLineNumbers w:val="0"/>
        <w:adjustRightInd w:val="0"/>
        <w:spacing w:before="0" w:beforeAutospacing="0" w:after="0" w:afterAutospacing="0" w:line="560" w:lineRule="exact"/>
        <w:ind w:left="0" w:right="0" w:firstLine="480" w:firstLineChars="200"/>
        <w:jc w:val="both"/>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4、可控性原则：测评服务的进度要跟上进度表的安排，保证招标人对于测评工作的可控性。</w:t>
      </w:r>
    </w:p>
    <w:p>
      <w:pPr>
        <w:keepNext w:val="0"/>
        <w:keepLines w:val="0"/>
        <w:widowControl w:val="0"/>
        <w:suppressLineNumbers w:val="0"/>
        <w:adjustRightInd w:val="0"/>
        <w:spacing w:before="0" w:beforeAutospacing="0" w:after="0" w:afterAutospacing="0" w:line="560" w:lineRule="exact"/>
        <w:ind w:left="0" w:right="0" w:firstLine="480" w:firstLineChars="200"/>
        <w:jc w:val="both"/>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5、整体性原则：测评的范围和内容应当整体全面，包括国家等级保护相关要求涉及的各个层面。</w:t>
      </w:r>
    </w:p>
    <w:p>
      <w:pPr>
        <w:keepNext w:val="0"/>
        <w:keepLines w:val="0"/>
        <w:widowControl w:val="0"/>
        <w:suppressLineNumbers w:val="0"/>
        <w:adjustRightInd w:val="0"/>
        <w:spacing w:before="0" w:beforeAutospacing="0" w:after="0" w:afterAutospacing="0" w:line="560" w:lineRule="exact"/>
        <w:ind w:left="0" w:right="0" w:firstLine="480" w:firstLineChars="200"/>
        <w:jc w:val="both"/>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6、最小影响原则：测评工作应尽可能小的影响系统和网络，并在可控范围内；测评工作不能对现有信息系统的正常运行、业务的正常开展产生任何影响。</w:t>
      </w:r>
    </w:p>
    <w:p>
      <w:pPr>
        <w:keepNext w:val="0"/>
        <w:keepLines w:val="0"/>
        <w:widowControl w:val="0"/>
        <w:suppressLineNumbers w:val="0"/>
        <w:adjustRightInd w:val="0"/>
        <w:spacing w:before="0" w:beforeAutospacing="0" w:after="0" w:afterAutospacing="0" w:line="560" w:lineRule="exact"/>
        <w:ind w:left="0" w:right="0" w:firstLine="480" w:firstLineChars="200"/>
        <w:jc w:val="both"/>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中标人应严格依照上述原则和国家等级保护相关标准开展项目实施工作。</w:t>
      </w:r>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adjustRightInd w:val="0"/>
        <w:spacing w:before="0" w:beforeAutospacing="0" w:after="0" w:afterAutospacing="0" w:line="360" w:lineRule="auto"/>
        <w:ind w:left="0" w:right="0" w:firstLine="0" w:firstLineChars="0"/>
        <w:jc w:val="center"/>
        <w:textAlignment w:val="baseline"/>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pStyle w:val="7"/>
        <w:widowControl/>
        <w:rPr>
          <w:rFonts w:hint="default" w:ascii="Arial" w:hAnsi="Arial" w:eastAsia="黑体" w:cs="Times New Roman"/>
          <w:b/>
          <w:bCs/>
          <w:kern w:val="2"/>
          <w:sz w:val="32"/>
          <w:szCs w:val="32"/>
        </w:rPr>
      </w:pPr>
      <w:bookmarkStart w:id="47" w:name="_Toc23191_WPSOffice_Level2"/>
      <w:bookmarkEnd w:id="47"/>
      <w:bookmarkStart w:id="48" w:name="_Toc17709"/>
      <w:r>
        <w:rPr>
          <w:rFonts w:hint="eastAsia" w:ascii="黑体" w:hAnsi="宋体" w:eastAsia="黑体" w:cs="黑体"/>
          <w:b/>
          <w:bCs/>
          <w:kern w:val="2"/>
          <w:sz w:val="32"/>
          <w:szCs w:val="32"/>
        </w:rPr>
        <w:t>第六章</w:t>
      </w:r>
      <w:r>
        <w:rPr>
          <w:rFonts w:hint="eastAsia" w:ascii="Arial" w:hAnsi="Arial" w:eastAsia="黑体" w:cs="Times New Roman"/>
          <w:b/>
          <w:bCs/>
          <w:kern w:val="2"/>
          <w:sz w:val="32"/>
          <w:szCs w:val="32"/>
        </w:rPr>
        <w:t xml:space="preserve">  </w:t>
      </w:r>
      <w:r>
        <w:rPr>
          <w:rFonts w:hint="eastAsia" w:ascii="黑体" w:hAnsi="宋体" w:eastAsia="黑体" w:cs="黑体"/>
          <w:b/>
          <w:bCs/>
          <w:kern w:val="2"/>
          <w:sz w:val="32"/>
          <w:szCs w:val="32"/>
        </w:rPr>
        <w:t>其他要求</w:t>
      </w:r>
      <w:bookmarkEnd w:id="48"/>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Times New Roman"/>
          <w:kern w:val="2"/>
          <w:sz w:val="24"/>
          <w:szCs w:val="24"/>
        </w:rPr>
      </w:pPr>
      <w:bookmarkStart w:id="49" w:name="_Toc6197"/>
      <w:bookmarkEnd w:id="49"/>
      <w:bookmarkStart w:id="50" w:name="_Toc7454_WPSOffice_Level2"/>
      <w:r>
        <w:rPr>
          <w:rFonts w:hint="eastAsia" w:ascii="宋体" w:hAnsi="宋体" w:eastAsia="宋体" w:cs="宋体"/>
          <w:kern w:val="2"/>
          <w:sz w:val="24"/>
          <w:szCs w:val="24"/>
          <w:lang w:val="en-US" w:eastAsia="zh-CN" w:bidi="ar"/>
        </w:rPr>
        <w:t>1、在本项目进行期间，未经采购方同意，中途不得更换人员，也不得将测评任务分包或转包。</w:t>
      </w:r>
      <w:bookmarkEnd w:id="50"/>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eastAsia" w:ascii="宋体" w:hAnsi="宋体" w:eastAsia="宋体" w:cs="Times New Roman"/>
          <w:kern w:val="2"/>
          <w:sz w:val="24"/>
          <w:szCs w:val="24"/>
        </w:rPr>
      </w:pPr>
      <w:r>
        <w:rPr>
          <w:rFonts w:hint="eastAsia" w:ascii="宋体" w:hAnsi="宋体" w:eastAsia="宋体" w:cs="宋体"/>
          <w:kern w:val="2"/>
          <w:sz w:val="24"/>
          <w:szCs w:val="24"/>
          <w:lang w:val="en-US" w:eastAsia="zh-CN" w:bidi="ar"/>
        </w:rPr>
        <w:t>2、中标人必须为采购方承担保密义务，</w:t>
      </w:r>
      <w:r>
        <w:rPr>
          <w:rFonts w:hint="eastAsia" w:ascii="宋体" w:hAnsi="宋体" w:eastAsia="宋体" w:cs="宋体"/>
          <w:b/>
          <w:bCs/>
          <w:kern w:val="2"/>
          <w:sz w:val="24"/>
          <w:szCs w:val="24"/>
          <w:lang w:val="en-US" w:eastAsia="zh-CN" w:bidi="ar"/>
        </w:rPr>
        <w:t>中标后签订合同前向采购方提交保密承诺函。</w:t>
      </w:r>
    </w:p>
    <w:p>
      <w:pPr>
        <w:keepNext w:val="0"/>
        <w:keepLines w:val="0"/>
        <w:widowControl w:val="0"/>
        <w:suppressLineNumbers w:val="0"/>
        <w:adjustRightInd w:val="0"/>
        <w:spacing w:before="0" w:beforeAutospacing="0" w:after="0" w:afterAutospacing="0" w:line="360" w:lineRule="auto"/>
        <w:ind w:left="0" w:right="0" w:firstLine="480" w:firstLineChars="200"/>
        <w:jc w:val="both"/>
        <w:textAlignment w:val="baseline"/>
        <w:rPr>
          <w:rFonts w:hint="default" w:ascii="Verdana" w:hAnsi="Verdana" w:eastAsia="宋体" w:cs="Times New Roman"/>
          <w:b/>
          <w:bCs/>
          <w:kern w:val="2"/>
          <w:sz w:val="24"/>
          <w:szCs w:val="24"/>
        </w:rPr>
      </w:pPr>
      <w:r>
        <w:rPr>
          <w:rFonts w:hint="eastAsia" w:ascii="宋体" w:hAnsi="宋体" w:eastAsia="宋体" w:cs="宋体"/>
          <w:kern w:val="2"/>
          <w:sz w:val="24"/>
          <w:szCs w:val="24"/>
          <w:lang w:val="en-US" w:eastAsia="zh-CN" w:bidi="ar"/>
        </w:rPr>
        <w:t>3、中标人有义务就本次测评出具的整改报告积极配合招标单位的整改工作。</w:t>
      </w: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pStyle w:val="2"/>
        <w:ind w:left="0" w:leftChars="0" w:firstLine="0" w:firstLineChars="0"/>
        <w:rPr>
          <w:rFonts w:hint="eastAsia"/>
        </w:rPr>
      </w:pP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rPr>
      </w:pPr>
      <w:r>
        <w:rPr>
          <w:rFonts w:hint="eastAsia" w:asciiTheme="majorEastAsia" w:hAnsiTheme="majorEastAsia" w:eastAsiaTheme="majorEastAsia" w:cstheme="majorEastAsia"/>
          <w:b/>
          <w:bCs/>
          <w:color w:val="auto"/>
          <w:sz w:val="21"/>
          <w:szCs w:val="21"/>
        </w:rPr>
        <w:t>备注：</w:t>
      </w: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51" w:name="_Toc2011"/>
      <w:bookmarkStart w:id="52" w:name="_Toc22507"/>
      <w:bookmarkStart w:id="53" w:name="_Toc11313"/>
      <w:bookmarkStart w:id="54" w:name="_Toc5486"/>
      <w:bookmarkStart w:id="55" w:name="_Toc3470"/>
    </w:p>
    <w:p>
      <w:pPr>
        <w:numPr>
          <w:ilvl w:val="0"/>
          <w:numId w:val="0"/>
        </w:numPr>
        <w:ind w:firstLine="422" w:firstLineChars="200"/>
        <w:jc w:val="both"/>
        <w:outlineLvl w:val="0"/>
        <w:rPr>
          <w:rFonts w:hint="eastAsia"/>
        </w:rPr>
      </w:pPr>
      <w:r>
        <w:rPr>
          <w:rFonts w:hint="eastAsia" w:asciiTheme="majorEastAsia" w:hAnsiTheme="majorEastAsia" w:eastAsiaTheme="majorEastAsia" w:cstheme="majorEastAsia"/>
          <w:b/>
          <w:bCs/>
          <w:color w:val="auto"/>
          <w:sz w:val="21"/>
          <w:szCs w:val="21"/>
          <w:lang w:val="en-US" w:eastAsia="zh-CN"/>
        </w:rPr>
        <w:t>2、</w:t>
      </w:r>
      <w:r>
        <w:rPr>
          <w:rFonts w:hint="eastAsia" w:asciiTheme="majorEastAsia" w:hAnsiTheme="majorEastAsia" w:eastAsiaTheme="majorEastAsia" w:cstheme="majorEastAsia"/>
          <w:b/>
          <w:bCs/>
          <w:color w:val="auto"/>
          <w:sz w:val="21"/>
          <w:szCs w:val="21"/>
        </w:rPr>
        <w:t>采购项目所开具发票名称必须与</w:t>
      </w:r>
      <w:r>
        <w:rPr>
          <w:rFonts w:hint="eastAsia" w:asciiTheme="majorEastAsia" w:hAnsiTheme="majorEastAsia" w:eastAsiaTheme="majorEastAsia" w:cstheme="majorEastAsia"/>
          <w:b/>
          <w:bCs/>
          <w:color w:val="auto"/>
          <w:sz w:val="21"/>
          <w:szCs w:val="21"/>
          <w:lang w:eastAsia="zh-CN"/>
        </w:rPr>
        <w:t>成交供应商</w:t>
      </w:r>
      <w:r>
        <w:rPr>
          <w:rFonts w:hint="eastAsia" w:asciiTheme="majorEastAsia" w:hAnsiTheme="majorEastAsia" w:eastAsiaTheme="majorEastAsia" w:cstheme="majorEastAsia"/>
          <w:b/>
          <w:bCs/>
          <w:color w:val="auto"/>
          <w:sz w:val="21"/>
          <w:szCs w:val="21"/>
        </w:rPr>
        <w:t>单位名称一致。</w:t>
      </w:r>
      <w:bookmarkEnd w:id="51"/>
      <w:bookmarkEnd w:id="52"/>
      <w:bookmarkEnd w:id="53"/>
      <w:bookmarkEnd w:id="54"/>
      <w:bookmarkEnd w:id="55"/>
    </w:p>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br w:type="page"/>
      </w:r>
      <w:bookmarkStart w:id="56" w:name="_Toc4288_WPSOffice_Level1"/>
      <w:bookmarkStart w:id="57" w:name="_Toc11297"/>
    </w:p>
    <w:p>
      <w:pPr>
        <w:jc w:val="both"/>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56"/>
      <w:bookmarkEnd w:id="57"/>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58"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58"/>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59" w:name="_Toc12631_WPSOffice_Level1"/>
      <w:r>
        <w:rPr>
          <w:rFonts w:hint="eastAsia" w:ascii="宋体" w:hAnsi="宋体" w:eastAsia="宋体" w:cs="宋体"/>
          <w:b/>
          <w:color w:val="auto"/>
          <w:sz w:val="44"/>
          <w:szCs w:val="44"/>
        </w:rPr>
        <w:t>响</w:t>
      </w:r>
      <w:bookmarkEnd w:id="59"/>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60" w:name="_Toc13194_WPSOffice_Level1"/>
      <w:r>
        <w:rPr>
          <w:rFonts w:hint="eastAsia" w:ascii="宋体" w:hAnsi="宋体" w:eastAsia="宋体" w:cs="宋体"/>
          <w:b/>
          <w:color w:val="auto"/>
          <w:sz w:val="44"/>
          <w:szCs w:val="44"/>
        </w:rPr>
        <w:t>应</w:t>
      </w:r>
      <w:bookmarkEnd w:id="60"/>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61" w:name="_Toc28638_WPSOffice_Level1"/>
      <w:r>
        <w:rPr>
          <w:rFonts w:hint="eastAsia" w:ascii="宋体" w:hAnsi="宋体" w:eastAsia="宋体" w:cs="宋体"/>
          <w:b/>
          <w:color w:val="auto"/>
          <w:sz w:val="44"/>
          <w:szCs w:val="44"/>
        </w:rPr>
        <w:t>文</w:t>
      </w:r>
      <w:bookmarkEnd w:id="61"/>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62" w:name="_Toc21450_WPSOffice_Level1"/>
      <w:r>
        <w:rPr>
          <w:rFonts w:hint="eastAsia" w:ascii="宋体" w:hAnsi="宋体" w:eastAsia="宋体" w:cs="宋体"/>
          <w:b/>
          <w:color w:val="auto"/>
          <w:sz w:val="44"/>
          <w:szCs w:val="44"/>
        </w:rPr>
        <w:t>件</w:t>
      </w:r>
      <w:bookmarkEnd w:id="62"/>
    </w:p>
    <w:p>
      <w:pPr>
        <w:pStyle w:val="10"/>
        <w:jc w:val="center"/>
        <w:rPr>
          <w:rFonts w:ascii="黑体"/>
          <w:color w:val="auto"/>
          <w:sz w:val="44"/>
          <w:u w:val="single"/>
        </w:rPr>
      </w:pPr>
      <w:bookmarkStart w:id="63" w:name="_Toc30778_WPSOffice_Level1"/>
      <w:r>
        <w:rPr>
          <w:rFonts w:hint="eastAsia" w:ascii="黑体" w:hAnsi="Times New Roman" w:eastAsia="黑体"/>
          <w:color w:val="auto"/>
          <w:kern w:val="2"/>
          <w:sz w:val="32"/>
          <w:szCs w:val="22"/>
          <w:u w:val="single"/>
        </w:rPr>
        <w:t>正本（副本）</w:t>
      </w:r>
      <w:bookmarkEnd w:id="63"/>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64"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64"/>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65"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65"/>
    </w:p>
    <w:p>
      <w:pPr>
        <w:spacing w:afterLines="50" w:line="500" w:lineRule="exact"/>
        <w:ind w:firstLine="562" w:firstLineChars="200"/>
        <w:rPr>
          <w:rFonts w:hint="eastAsia" w:ascii="宋体" w:hAnsi="宋体" w:eastAsia="宋体" w:cs="宋体"/>
          <w:b/>
          <w:color w:val="auto"/>
          <w:spacing w:val="20"/>
          <w:kern w:val="0"/>
          <w:sz w:val="28"/>
          <w:szCs w:val="28"/>
          <w:u w:val="single"/>
          <w:lang w:eastAsia="zh-CN"/>
        </w:rPr>
      </w:pPr>
      <w:bookmarkStart w:id="66"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66"/>
    </w:p>
    <w:p>
      <w:pPr>
        <w:spacing w:afterLines="50" w:line="500" w:lineRule="exact"/>
        <w:ind w:firstLine="1605" w:firstLineChars="500"/>
        <w:rPr>
          <w:rFonts w:hint="eastAsia" w:ascii="宋体" w:hAnsi="宋体" w:eastAsia="宋体" w:cs="宋体"/>
          <w:b/>
          <w:color w:val="auto"/>
          <w:spacing w:val="20"/>
          <w:kern w:val="0"/>
          <w:sz w:val="28"/>
          <w:szCs w:val="28"/>
        </w:rPr>
      </w:pPr>
      <w:bookmarkStart w:id="67"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67"/>
    </w:p>
    <w:p>
      <w:pPr>
        <w:jc w:val="center"/>
        <w:rPr>
          <w:rFonts w:hint="eastAsia"/>
          <w:b/>
          <w:bCs/>
          <w:color w:val="auto"/>
          <w:sz w:val="28"/>
          <w:szCs w:val="28"/>
        </w:rPr>
      </w:pPr>
      <w:bookmarkStart w:id="68" w:name="_Toc19469_WPSOffice_Level1"/>
    </w:p>
    <w:p>
      <w:pPr>
        <w:jc w:val="center"/>
        <w:rPr>
          <w:rFonts w:hint="eastAsia"/>
          <w:b/>
          <w:bCs/>
          <w:color w:val="auto"/>
          <w:sz w:val="28"/>
          <w:szCs w:val="28"/>
        </w:rPr>
      </w:pPr>
      <w:r>
        <w:rPr>
          <w:rFonts w:hint="eastAsia"/>
          <w:b/>
          <w:bCs/>
          <w:color w:val="auto"/>
          <w:sz w:val="28"/>
          <w:szCs w:val="28"/>
        </w:rPr>
        <w:t>响应文件资料清单</w:t>
      </w:r>
      <w:bookmarkEnd w:id="68"/>
    </w:p>
    <w:p>
      <w:pPr>
        <w:adjustRightInd w:val="0"/>
        <w:snapToGrid w:val="0"/>
        <w:spacing w:line="240" w:lineRule="exact"/>
        <w:jc w:val="center"/>
        <w:rPr>
          <w:rFonts w:hint="eastAsia" w:ascii="宋体" w:hAnsi="宋体" w:eastAsia="宋体" w:cs="宋体"/>
          <w:b/>
          <w:color w:val="auto"/>
          <w:sz w:val="24"/>
        </w:rPr>
      </w:pPr>
    </w:p>
    <w:tbl>
      <w:tblPr>
        <w:tblStyle w:val="18"/>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8"/>
              <w:keepNext w:val="0"/>
              <w:keepLines w:val="0"/>
              <w:suppressLineNumbers w:val="0"/>
              <w:spacing w:before="0" w:beforeAutospacing="0" w:after="0" w:afterAutospacing="0"/>
              <w:ind w:left="0" w:right="0"/>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8"/>
              <w:keepNext w:val="0"/>
              <w:keepLines w:val="0"/>
              <w:suppressLineNumbers w:val="0"/>
              <w:spacing w:before="0" w:beforeAutospacing="0" w:after="0" w:afterAutospacing="0"/>
              <w:ind w:left="0" w:right="0"/>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keepNext w:val="0"/>
              <w:keepLines w:val="0"/>
              <w:suppressLineNumbers w:val="0"/>
              <w:spacing w:before="0" w:beforeAutospacing="0" w:after="0" w:afterAutospacing="0"/>
              <w:ind w:left="0" w:right="0"/>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keepNext w:val="0"/>
              <w:keepLines w:val="0"/>
              <w:suppressLineNumbers w:val="0"/>
              <w:spacing w:before="0" w:beforeAutospacing="0" w:after="0" w:afterAutospacing="0"/>
              <w:ind w:left="0" w:right="0"/>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keepNext w:val="0"/>
              <w:keepLines w:val="0"/>
              <w:suppressLineNumbers w:val="0"/>
              <w:spacing w:before="0" w:beforeAutospacing="0" w:after="0" w:afterAutospacing="0"/>
              <w:ind w:left="0" w:right="0"/>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keepNext w:val="0"/>
              <w:keepLines w:val="0"/>
              <w:suppressLineNumbers w:val="0"/>
              <w:spacing w:before="0" w:beforeAutospacing="0" w:after="0" w:afterAutospacing="0"/>
              <w:ind w:left="0" w:right="0"/>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keepNext w:val="0"/>
              <w:keepLines w:val="0"/>
              <w:suppressLineNumbers w:val="0"/>
              <w:spacing w:before="0" w:beforeAutospacing="0" w:after="0" w:afterAutospacing="0"/>
              <w:ind w:left="0" w:right="0"/>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keepNext w:val="0"/>
              <w:keepLines w:val="0"/>
              <w:suppressLineNumbers w:val="0"/>
              <w:spacing w:before="0" w:beforeAutospacing="0" w:after="0" w:afterAutospacing="0"/>
              <w:ind w:left="0" w:right="0"/>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keepNext w:val="0"/>
              <w:keepLines w:val="0"/>
              <w:suppressLineNumbers w:val="0"/>
              <w:spacing w:before="0" w:beforeAutospacing="0" w:after="0" w:afterAutospacing="0"/>
              <w:ind w:left="0" w:right="0"/>
              <w:rPr>
                <w:rFonts w:hint="default" w:ascii="宋体" w:hAnsi="宋体" w:eastAsia="宋体" w:cs="宋体"/>
                <w:color w:val="auto"/>
                <w:sz w:val="21"/>
                <w:szCs w:val="21"/>
                <w:lang w:val="en-US"/>
              </w:rPr>
            </w:pPr>
            <w:r>
              <w:rPr>
                <w:rFonts w:hint="eastAsia" w:ascii="Tahoma" w:hAnsi="Tahoma"/>
                <w:color w:val="auto"/>
                <w:sz w:val="21"/>
                <w:szCs w:val="21"/>
                <w:lang w:val="en-US" w:eastAsia="zh-CN"/>
              </w:rPr>
              <w:t>中</w:t>
            </w:r>
            <w:r>
              <w:rPr>
                <w:rFonts w:hint="eastAsia" w:ascii="Tahoma" w:hAnsi="Tahoma"/>
                <w:color w:val="auto"/>
                <w:sz w:val="21"/>
                <w:szCs w:val="21"/>
                <w:lang w:val="zh-CN" w:eastAsia="zh-CN"/>
              </w:rPr>
              <w:t>小企业声明函（如有）</w:t>
            </w:r>
            <w:r>
              <w:rPr>
                <w:rFonts w:hint="eastAsia" w:ascii="Tahoma" w:hAnsi="Tahoma"/>
                <w:color w:val="auto"/>
                <w:sz w:val="21"/>
                <w:szCs w:val="21"/>
                <w:lang w:val="en-US" w:eastAsia="zh-CN"/>
              </w:rPr>
              <w:t>残疾人福利性单位声明函</w:t>
            </w:r>
          </w:p>
        </w:tc>
        <w:tc>
          <w:tcPr>
            <w:tcW w:w="2625" w:type="dxa"/>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十</w:t>
            </w:r>
          </w:p>
        </w:tc>
        <w:tc>
          <w:tcPr>
            <w:tcW w:w="5460" w:type="dxa"/>
            <w:vAlign w:val="center"/>
          </w:tcPr>
          <w:p>
            <w:pPr>
              <w:keepNext w:val="0"/>
              <w:keepLines w:val="0"/>
              <w:suppressLineNumbers w:val="0"/>
              <w:spacing w:before="0" w:beforeAutospacing="0" w:after="0" w:afterAutospacing="0"/>
              <w:ind w:left="0" w:right="0"/>
              <w:rPr>
                <w:rFonts w:hint="default" w:ascii="宋体" w:hAnsi="宋体" w:eastAsia="宋体" w:cs="宋体"/>
                <w:color w:val="auto"/>
                <w:szCs w:val="21"/>
                <w:lang w:val="en-US" w:eastAsia="zh-CN"/>
              </w:rPr>
            </w:pPr>
            <w:r>
              <w:rPr>
                <w:rFonts w:hint="eastAsia" w:ascii="宋体" w:hAnsi="宋体" w:cs="宋体"/>
                <w:color w:val="auto"/>
                <w:szCs w:val="21"/>
                <w:lang w:val="en-US" w:eastAsia="zh-CN"/>
              </w:rPr>
              <w:t>成交公告</w:t>
            </w:r>
          </w:p>
        </w:tc>
        <w:tc>
          <w:tcPr>
            <w:tcW w:w="2625" w:type="dxa"/>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Cs w:val="21"/>
              </w:rPr>
            </w:pPr>
          </w:p>
        </w:tc>
        <w:tc>
          <w:tcPr>
            <w:tcW w:w="5460" w:type="dxa"/>
            <w:vAlign w:val="center"/>
          </w:tcPr>
          <w:p>
            <w:pPr>
              <w:keepNext w:val="0"/>
              <w:keepLines w:val="0"/>
              <w:suppressLineNumbers w:val="0"/>
              <w:spacing w:before="0" w:beforeAutospacing="0" w:after="0" w:afterAutospacing="0"/>
              <w:ind w:left="0" w:right="0"/>
              <w:rPr>
                <w:rFonts w:hint="eastAsia" w:ascii="宋体" w:hAnsi="宋体" w:eastAsia="宋体" w:cs="宋体"/>
                <w:color w:val="auto"/>
                <w:szCs w:val="21"/>
              </w:rPr>
            </w:pPr>
          </w:p>
        </w:tc>
        <w:tc>
          <w:tcPr>
            <w:tcW w:w="2625" w:type="dxa"/>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Cs w:val="21"/>
              </w:rPr>
            </w:pPr>
          </w:p>
        </w:tc>
        <w:tc>
          <w:tcPr>
            <w:tcW w:w="5460" w:type="dxa"/>
            <w:vAlign w:val="center"/>
          </w:tcPr>
          <w:p>
            <w:pPr>
              <w:keepNext w:val="0"/>
              <w:keepLines w:val="0"/>
              <w:suppressLineNumbers w:val="0"/>
              <w:spacing w:before="0" w:beforeAutospacing="0" w:after="0" w:afterAutospacing="0"/>
              <w:ind w:left="0" w:right="0"/>
              <w:rPr>
                <w:rFonts w:hint="eastAsia" w:ascii="宋体" w:hAnsi="宋体" w:eastAsia="宋体" w:cs="宋体"/>
                <w:color w:val="auto"/>
                <w:szCs w:val="21"/>
              </w:rPr>
            </w:pPr>
          </w:p>
        </w:tc>
        <w:tc>
          <w:tcPr>
            <w:tcW w:w="2625" w:type="dxa"/>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Cs w:val="21"/>
              </w:rPr>
            </w:pPr>
          </w:p>
        </w:tc>
        <w:tc>
          <w:tcPr>
            <w:tcW w:w="5460" w:type="dxa"/>
            <w:vAlign w:val="center"/>
          </w:tcPr>
          <w:p>
            <w:pPr>
              <w:keepNext w:val="0"/>
              <w:keepLines w:val="0"/>
              <w:suppressLineNumbers w:val="0"/>
              <w:spacing w:before="0" w:beforeAutospacing="0" w:after="0" w:afterAutospacing="0"/>
              <w:ind w:left="0" w:right="0"/>
              <w:rPr>
                <w:rFonts w:hint="eastAsia" w:ascii="宋体" w:hAnsi="宋体" w:eastAsia="宋体" w:cs="宋体"/>
                <w:color w:val="auto"/>
                <w:szCs w:val="21"/>
              </w:rPr>
            </w:pPr>
          </w:p>
        </w:tc>
        <w:tc>
          <w:tcPr>
            <w:tcW w:w="2625" w:type="dxa"/>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Cs w:val="21"/>
              </w:rPr>
            </w:pPr>
          </w:p>
        </w:tc>
        <w:tc>
          <w:tcPr>
            <w:tcW w:w="5460" w:type="dxa"/>
            <w:vAlign w:val="center"/>
          </w:tcPr>
          <w:p>
            <w:pPr>
              <w:keepNext w:val="0"/>
              <w:keepLines w:val="0"/>
              <w:suppressLineNumbers w:val="0"/>
              <w:spacing w:before="0" w:beforeAutospacing="0" w:after="0" w:afterAutospacing="0"/>
              <w:ind w:left="0" w:right="0"/>
              <w:rPr>
                <w:rFonts w:hint="eastAsia" w:ascii="宋体" w:hAnsi="宋体" w:eastAsia="宋体" w:cs="宋体"/>
                <w:color w:val="auto"/>
                <w:szCs w:val="21"/>
              </w:rPr>
            </w:pPr>
          </w:p>
        </w:tc>
        <w:tc>
          <w:tcPr>
            <w:tcW w:w="2625" w:type="dxa"/>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Cs w:val="21"/>
              </w:rPr>
            </w:pPr>
          </w:p>
        </w:tc>
        <w:tc>
          <w:tcPr>
            <w:tcW w:w="5460" w:type="dxa"/>
            <w:vAlign w:val="center"/>
          </w:tcPr>
          <w:p>
            <w:pPr>
              <w:keepNext w:val="0"/>
              <w:keepLines w:val="0"/>
              <w:suppressLineNumbers w:val="0"/>
              <w:spacing w:before="0" w:beforeAutospacing="0" w:after="0" w:afterAutospacing="0"/>
              <w:ind w:left="0" w:right="0"/>
              <w:rPr>
                <w:rFonts w:hint="eastAsia" w:ascii="宋体" w:hAnsi="宋体" w:eastAsia="宋体" w:cs="宋体"/>
                <w:color w:val="auto"/>
                <w:szCs w:val="21"/>
              </w:rPr>
            </w:pPr>
          </w:p>
        </w:tc>
        <w:tc>
          <w:tcPr>
            <w:tcW w:w="2625" w:type="dxa"/>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szCs w:val="21"/>
              </w:rPr>
            </w:pPr>
          </w:p>
        </w:tc>
        <w:tc>
          <w:tcPr>
            <w:tcW w:w="5460" w:type="dxa"/>
            <w:vAlign w:val="center"/>
          </w:tcPr>
          <w:p>
            <w:pPr>
              <w:keepNext w:val="0"/>
              <w:keepLines w:val="0"/>
              <w:suppressLineNumbers w:val="0"/>
              <w:spacing w:before="0" w:beforeAutospacing="0" w:after="0" w:afterAutospacing="0"/>
              <w:ind w:left="0" w:right="0"/>
              <w:rPr>
                <w:rFonts w:hint="eastAsia" w:ascii="宋体" w:hAnsi="宋体" w:eastAsia="宋体" w:cs="宋体"/>
                <w:color w:val="auto"/>
                <w:szCs w:val="21"/>
              </w:rPr>
            </w:pPr>
          </w:p>
        </w:tc>
        <w:tc>
          <w:tcPr>
            <w:tcW w:w="2625" w:type="dxa"/>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5"/>
    <w:p>
      <w:pPr>
        <w:pStyle w:val="8"/>
        <w:adjustRightInd w:val="0"/>
        <w:snapToGrid w:val="0"/>
        <w:spacing w:before="0" w:after="0" w:line="360" w:lineRule="exact"/>
        <w:rPr>
          <w:rFonts w:hint="eastAsia" w:ascii="宋体" w:hAnsi="宋体" w:eastAsia="宋体" w:cs="宋体"/>
          <w:color w:val="auto"/>
          <w:sz w:val="21"/>
          <w:szCs w:val="21"/>
        </w:rPr>
      </w:pPr>
    </w:p>
    <w:p>
      <w:pPr>
        <w:pStyle w:val="8"/>
        <w:adjustRightInd w:val="0"/>
        <w:snapToGrid w:val="0"/>
        <w:spacing w:before="0" w:after="0" w:line="360" w:lineRule="exact"/>
        <w:rPr>
          <w:rFonts w:hint="eastAsia" w:ascii="宋体" w:hAnsi="宋体" w:eastAsia="宋体" w:cs="宋体"/>
          <w:color w:val="auto"/>
          <w:sz w:val="21"/>
          <w:szCs w:val="21"/>
        </w:rPr>
      </w:pPr>
    </w:p>
    <w:p>
      <w:pPr>
        <w:pStyle w:val="8"/>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eastAsia="宋体"/>
          <w:b/>
          <w:bCs/>
          <w:color w:val="auto"/>
          <w:sz w:val="28"/>
          <w:szCs w:val="28"/>
          <w:lang w:eastAsia="zh-CN"/>
        </w:rPr>
      </w:pPr>
      <w:bookmarkStart w:id="69" w:name="_Toc10142_WPSOffice_Level1"/>
      <w:r>
        <w:rPr>
          <w:rFonts w:hint="eastAsia"/>
          <w:b/>
          <w:bCs/>
          <w:color w:val="auto"/>
          <w:sz w:val="28"/>
          <w:szCs w:val="28"/>
        </w:rPr>
        <w:t>供应商基本信息</w:t>
      </w:r>
      <w:bookmarkEnd w:id="69"/>
      <w:r>
        <w:rPr>
          <w:rFonts w:hint="eastAsia"/>
          <w:b/>
          <w:bCs/>
          <w:color w:val="auto"/>
          <w:sz w:val="28"/>
          <w:szCs w:val="28"/>
          <w:lang w:eastAsia="zh-CN"/>
        </w:rPr>
        <w:t>（含营业执照等复印件）</w:t>
      </w:r>
    </w:p>
    <w:p>
      <w:pPr>
        <w:jc w:val="center"/>
        <w:rPr>
          <w:rFonts w:hint="eastAsia" w:eastAsia="宋体"/>
          <w:b/>
          <w:bCs/>
          <w:color w:val="auto"/>
          <w:sz w:val="28"/>
          <w:szCs w:val="28"/>
          <w:lang w:eastAsia="zh-CN"/>
        </w:rPr>
      </w:pPr>
      <w:bookmarkStart w:id="70" w:name="_Toc5936_WPSOffice_Level1"/>
      <w:r>
        <w:rPr>
          <w:rFonts w:hint="eastAsia"/>
          <w:b/>
          <w:bCs/>
          <w:color w:val="auto"/>
          <w:sz w:val="28"/>
          <w:szCs w:val="28"/>
          <w:lang w:eastAsia="zh-CN"/>
        </w:rPr>
        <w:t>（格式自拟）</w:t>
      </w:r>
      <w:bookmarkEnd w:id="70"/>
    </w:p>
    <w:p>
      <w:pPr>
        <w:pStyle w:val="8"/>
        <w:adjustRightInd w:val="0"/>
        <w:snapToGrid w:val="0"/>
        <w:spacing w:before="0" w:after="0" w:line="360" w:lineRule="exact"/>
        <w:rPr>
          <w:rFonts w:hint="eastAsia" w:ascii="宋体" w:hAnsi="宋体" w:eastAsia="宋体" w:cs="宋体"/>
          <w:color w:val="auto"/>
          <w:sz w:val="21"/>
          <w:szCs w:val="21"/>
          <w:lang w:eastAsia="zh-CN"/>
        </w:rPr>
      </w:pPr>
      <w:bookmarkStart w:id="71" w:name="_Toc471299104"/>
      <w:bookmarkStart w:id="72" w:name="_Toc31656"/>
      <w:r>
        <w:rPr>
          <w:rFonts w:hint="eastAsia" w:ascii="宋体" w:hAnsi="宋体" w:eastAsia="宋体" w:cs="宋体"/>
          <w:color w:val="auto"/>
          <w:sz w:val="21"/>
          <w:szCs w:val="21"/>
        </w:rPr>
        <w:t>附件</w:t>
      </w:r>
      <w:bookmarkEnd w:id="71"/>
      <w:bookmarkEnd w:id="72"/>
      <w:r>
        <w:rPr>
          <w:rFonts w:hint="eastAsia" w:ascii="宋体" w:hAnsi="宋体" w:cs="宋体"/>
          <w:color w:val="auto"/>
          <w:sz w:val="21"/>
          <w:szCs w:val="21"/>
          <w:lang w:eastAsia="zh-CN"/>
        </w:rPr>
        <w:t>二</w:t>
      </w:r>
    </w:p>
    <w:p>
      <w:pPr>
        <w:pStyle w:val="7"/>
        <w:spacing w:line="360" w:lineRule="auto"/>
        <w:jc w:val="center"/>
        <w:rPr>
          <w:rFonts w:hint="eastAsia" w:ascii="宋体" w:hAnsi="宋体" w:eastAsia="宋体"/>
          <w:color w:val="auto"/>
          <w:highlight w:val="none"/>
        </w:rPr>
      </w:pPr>
      <w:bookmarkStart w:id="73" w:name="_Toc16469"/>
      <w:bookmarkStart w:id="74" w:name="_Toc30884"/>
      <w:bookmarkStart w:id="75" w:name="_Toc8862_WPSOffice_Level1"/>
      <w:bookmarkStart w:id="76" w:name="_Toc471299105"/>
      <w:r>
        <w:rPr>
          <w:rFonts w:hint="eastAsia" w:ascii="宋体" w:hAnsi="宋体" w:eastAsia="宋体"/>
          <w:color w:val="auto"/>
          <w:highlight w:val="none"/>
        </w:rPr>
        <w:t>法定代表人身份证明</w:t>
      </w:r>
      <w:bookmarkEnd w:id="73"/>
      <w:bookmarkEnd w:id="74"/>
    </w:p>
    <w:p>
      <w:pPr>
        <w:spacing w:line="360" w:lineRule="auto"/>
        <w:ind w:firstLine="420" w:firstLineChars="200"/>
        <w:rPr>
          <w:rFonts w:hint="eastAsia"/>
          <w:color w:val="auto"/>
          <w:highlight w:val="none"/>
          <w:u w:val="single"/>
        </w:rPr>
      </w:pPr>
      <w:bookmarkStart w:id="77" w:name="_Toc256695502"/>
      <w:bookmarkStart w:id="78" w:name="_Toc256691626"/>
      <w:r>
        <w:rPr>
          <w:rFonts w:hint="eastAsia"/>
          <w:color w:val="auto"/>
          <w:highlight w:val="none"/>
          <w:lang w:eastAsia="zh-CN"/>
        </w:rPr>
        <w:t>承包人</w:t>
      </w:r>
      <w:r>
        <w:rPr>
          <w:rFonts w:hint="eastAsia"/>
          <w:color w:val="auto"/>
          <w:highlight w:val="none"/>
        </w:rPr>
        <w:t>名称：</w:t>
      </w:r>
      <w:bookmarkEnd w:id="77"/>
      <w:bookmarkEnd w:id="78"/>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79" w:name="_Toc256691631"/>
      <w:bookmarkStart w:id="80" w:name="_Toc256695507"/>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79"/>
      <w:bookmarkEnd w:id="80"/>
      <w:bookmarkStart w:id="81" w:name="_Toc256695508"/>
      <w:bookmarkStart w:id="82" w:name="_Toc256691632"/>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81"/>
      <w:bookmarkEnd w:id="82"/>
    </w:p>
    <w:p>
      <w:pPr>
        <w:spacing w:line="360" w:lineRule="auto"/>
        <w:ind w:firstLine="840" w:firstLineChars="400"/>
        <w:rPr>
          <w:rFonts w:hint="eastAsia"/>
          <w:color w:val="auto"/>
          <w:highlight w:val="none"/>
        </w:rPr>
      </w:pPr>
      <w:bookmarkStart w:id="83" w:name="_Toc256695509"/>
      <w:bookmarkStart w:id="84" w:name="_Toc256691633"/>
      <w:r>
        <w:rPr>
          <w:rFonts w:hint="eastAsia"/>
          <w:color w:val="auto"/>
          <w:highlight w:val="none"/>
        </w:rPr>
        <w:t>特此证明。</w:t>
      </w:r>
      <w:bookmarkEnd w:id="83"/>
      <w:bookmarkEnd w:id="84"/>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85" w:name="_Toc256695510"/>
      <w:bookmarkStart w:id="86" w:name="_Toc256691634"/>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85"/>
      <w:bookmarkEnd w:id="86"/>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87" w:name="_Toc256691635"/>
      <w:bookmarkStart w:id="88" w:name="_Toc256695511"/>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87"/>
      <w:bookmarkEnd w:id="88"/>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75"/>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rPr>
          <w:rFonts w:hint="eastAsia" w:ascii="宋体" w:hAnsi="宋体" w:eastAsia="宋体" w:cs="宋体"/>
          <w:color w:val="auto"/>
          <w:sz w:val="21"/>
          <w:szCs w:val="21"/>
        </w:rPr>
      </w:pPr>
      <w:bookmarkStart w:id="89" w:name="_Toc26907"/>
      <w:r>
        <w:rPr>
          <w:rFonts w:hint="eastAsia" w:ascii="宋体" w:hAnsi="宋体" w:eastAsia="宋体" w:cs="宋体"/>
          <w:color w:val="auto"/>
          <w:sz w:val="21"/>
          <w:szCs w:val="21"/>
        </w:rPr>
        <w:br w:type="page"/>
      </w:r>
    </w:p>
    <w:p>
      <w:pPr>
        <w:pStyle w:val="8"/>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76"/>
      <w:bookmarkEnd w:id="89"/>
      <w:r>
        <w:rPr>
          <w:rFonts w:hint="eastAsia" w:ascii="宋体" w:hAnsi="宋体" w:cs="宋体"/>
          <w:color w:val="auto"/>
          <w:sz w:val="21"/>
          <w:szCs w:val="21"/>
          <w:lang w:eastAsia="zh-CN"/>
        </w:rPr>
        <w:t>三</w:t>
      </w:r>
    </w:p>
    <w:p>
      <w:pPr>
        <w:jc w:val="center"/>
        <w:rPr>
          <w:rFonts w:hint="eastAsia"/>
          <w:b/>
          <w:bCs/>
          <w:color w:val="auto"/>
          <w:sz w:val="28"/>
          <w:szCs w:val="28"/>
        </w:rPr>
      </w:pPr>
      <w:bookmarkStart w:id="90" w:name="_Toc3858_WPSOffice_Level1"/>
      <w:bookmarkStart w:id="91" w:name="_Toc516969098"/>
      <w:bookmarkStart w:id="92" w:name="_Toc148501698"/>
      <w:r>
        <w:rPr>
          <w:rFonts w:hint="eastAsia"/>
          <w:b/>
          <w:bCs/>
          <w:color w:val="auto"/>
          <w:sz w:val="28"/>
          <w:szCs w:val="28"/>
        </w:rPr>
        <w:t>响应函</w:t>
      </w:r>
      <w:bookmarkEnd w:id="90"/>
      <w:bookmarkEnd w:id="91"/>
      <w:bookmarkEnd w:id="92"/>
    </w:p>
    <w:p>
      <w:pPr>
        <w:pStyle w:val="13"/>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8"/>
        <w:adjustRightInd w:val="0"/>
        <w:snapToGrid w:val="0"/>
        <w:spacing w:before="0" w:after="0" w:line="360" w:lineRule="exact"/>
        <w:rPr>
          <w:rFonts w:hint="eastAsia" w:ascii="宋体" w:hAnsi="宋体" w:eastAsia="宋体" w:cs="宋体"/>
          <w:color w:val="auto"/>
          <w:sz w:val="21"/>
          <w:szCs w:val="21"/>
          <w:lang w:eastAsia="zh-CN"/>
        </w:rPr>
      </w:pPr>
      <w:bookmarkStart w:id="93" w:name="_Toc30711"/>
      <w:bookmarkStart w:id="94" w:name="_Toc417045478"/>
      <w:bookmarkStart w:id="95" w:name="_Toc471299106"/>
      <w:r>
        <w:rPr>
          <w:rFonts w:hint="eastAsia" w:ascii="宋体" w:hAnsi="宋体" w:eastAsia="宋体" w:cs="宋体"/>
          <w:color w:val="auto"/>
          <w:sz w:val="21"/>
          <w:szCs w:val="21"/>
        </w:rPr>
        <w:t>附件</w:t>
      </w:r>
      <w:bookmarkEnd w:id="93"/>
      <w:bookmarkEnd w:id="94"/>
      <w:bookmarkEnd w:id="95"/>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96" w:name="_Toc1513_WPSOffice_Level1"/>
      <w:r>
        <w:rPr>
          <w:rFonts w:hint="eastAsia"/>
          <w:b/>
          <w:bCs/>
          <w:color w:val="auto"/>
          <w:sz w:val="28"/>
          <w:szCs w:val="28"/>
          <w:lang w:val="zh-CN"/>
        </w:rPr>
        <w:t>无重大违法记录声明函</w:t>
      </w:r>
      <w:bookmarkEnd w:id="9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b/>
          <w:bCs/>
          <w:color w:val="auto"/>
          <w:sz w:val="28"/>
          <w:szCs w:val="28"/>
          <w:lang w:val="zh-CN"/>
        </w:rPr>
      </w:pPr>
      <w:r>
        <w:rPr>
          <w:rFonts w:hint="eastAsia" w:ascii="宋体" w:hAnsi="宋体"/>
          <w:color w:val="auto"/>
          <w:sz w:val="21"/>
          <w:szCs w:val="21"/>
        </w:rPr>
        <w:t>日期：</w:t>
      </w:r>
      <w:bookmarkStart w:id="97" w:name="_Toc29566_WPSOffice_Level1"/>
    </w:p>
    <w:p>
      <w:pPr>
        <w:jc w:val="center"/>
        <w:rPr>
          <w:rFonts w:hint="eastAsia"/>
          <w:b/>
          <w:bCs/>
          <w:color w:val="auto"/>
          <w:sz w:val="28"/>
          <w:szCs w:val="28"/>
          <w:lang w:val="zh-CN"/>
        </w:rPr>
      </w:pPr>
      <w:r>
        <w:rPr>
          <w:rFonts w:hint="eastAsia"/>
          <w:b/>
          <w:bCs/>
          <w:color w:val="auto"/>
          <w:sz w:val="28"/>
          <w:szCs w:val="28"/>
          <w:lang w:val="zh-CN"/>
        </w:rPr>
        <w:t>无不良信用记录承诺函</w:t>
      </w:r>
      <w:bookmarkEnd w:id="9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98" w:name="_Toc363199274"/>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99" w:name="_Toc3574"/>
      <w:bookmarkStart w:id="100" w:name="_Toc471299107"/>
      <w:r>
        <w:rPr>
          <w:rFonts w:hint="eastAsia" w:ascii="宋体" w:hAnsi="宋体" w:eastAsia="宋体" w:cs="宋体"/>
          <w:color w:val="auto"/>
          <w:sz w:val="21"/>
          <w:szCs w:val="21"/>
        </w:rPr>
        <w:t>附件</w:t>
      </w:r>
      <w:bookmarkEnd w:id="98"/>
      <w:bookmarkEnd w:id="99"/>
      <w:bookmarkEnd w:id="100"/>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101" w:name="_Toc24671_WPSOffice_Level1"/>
      <w:r>
        <w:rPr>
          <w:rFonts w:hint="eastAsia"/>
          <w:b/>
          <w:bCs/>
          <w:color w:val="auto"/>
          <w:sz w:val="28"/>
          <w:szCs w:val="28"/>
          <w:lang w:val="zh-CN"/>
        </w:rPr>
        <w:t>询价响应表</w:t>
      </w:r>
      <w:bookmarkEnd w:id="101"/>
    </w:p>
    <w:tbl>
      <w:tblPr>
        <w:tblStyle w:val="18"/>
        <w:tblW w:w="92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108"/>
        <w:gridCol w:w="1737"/>
        <w:gridCol w:w="701"/>
        <w:gridCol w:w="2333"/>
        <w:gridCol w:w="915"/>
        <w:gridCol w:w="870"/>
        <w:gridCol w:w="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85" w:hRule="atLeast"/>
        </w:trPr>
        <w:tc>
          <w:tcPr>
            <w:tcW w:w="4386" w:type="dxa"/>
            <w:gridSpan w:val="4"/>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宋体" w:hAnsi="宋体"/>
                <w:b/>
                <w:color w:val="auto"/>
                <w:sz w:val="21"/>
                <w:szCs w:val="21"/>
              </w:rPr>
            </w:pPr>
            <w:r>
              <w:rPr>
                <w:rFonts w:hint="eastAsia" w:ascii="宋体" w:hAnsi="宋体"/>
                <w:b/>
                <w:color w:val="auto"/>
                <w:sz w:val="21"/>
                <w:szCs w:val="21"/>
              </w:rPr>
              <w:t>按询价文件规定填写</w:t>
            </w:r>
          </w:p>
        </w:tc>
        <w:tc>
          <w:tcPr>
            <w:tcW w:w="4837" w:type="dxa"/>
            <w:gridSpan w:val="4"/>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3" w:type="dxa"/>
            <w:gridSpan w:val="8"/>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宋体" w:hAnsi="宋体"/>
                <w:b/>
                <w:color w:val="auto"/>
                <w:sz w:val="21"/>
                <w:szCs w:val="21"/>
              </w:rPr>
            </w:pPr>
            <w:r>
              <w:rPr>
                <w:rFonts w:hint="eastAsia" w:ascii="宋体" w:hAnsi="宋体"/>
                <w:b/>
                <w:color w:val="auto"/>
                <w:sz w:val="21"/>
                <w:szCs w:val="21"/>
              </w:rPr>
              <w:t>序号</w:t>
            </w:r>
          </w:p>
        </w:tc>
        <w:tc>
          <w:tcPr>
            <w:tcW w:w="110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宋体" w:hAnsi="宋体"/>
                <w:b/>
                <w:color w:val="auto"/>
                <w:sz w:val="21"/>
                <w:szCs w:val="21"/>
              </w:rPr>
            </w:pPr>
            <w:r>
              <w:rPr>
                <w:rFonts w:hint="eastAsia" w:ascii="宋体" w:hAnsi="宋体"/>
                <w:b/>
                <w:color w:val="auto"/>
                <w:sz w:val="21"/>
                <w:szCs w:val="21"/>
              </w:rPr>
              <w:t>技术规格及配置</w:t>
            </w:r>
          </w:p>
        </w:tc>
        <w:tc>
          <w:tcPr>
            <w:tcW w:w="3034" w:type="dxa"/>
            <w:gridSpan w:val="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eastAsia" w:ascii="宋体" w:hAnsi="宋体"/>
                <w:b/>
                <w:color w:val="auto"/>
                <w:sz w:val="21"/>
                <w:szCs w:val="21"/>
              </w:rPr>
            </w:pPr>
            <w:r>
              <w:rPr>
                <w:rFonts w:hint="eastAsia" w:ascii="宋体" w:hAnsi="宋体"/>
                <w:b/>
                <w:color w:val="auto"/>
                <w:sz w:val="21"/>
                <w:szCs w:val="21"/>
              </w:rPr>
              <w:t>品牌、型号、</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宋体" w:hAnsi="宋体"/>
                <w:b/>
                <w:color w:val="auto"/>
                <w:sz w:val="21"/>
                <w:szCs w:val="21"/>
              </w:rPr>
            </w:pPr>
            <w:r>
              <w:rPr>
                <w:rFonts w:hint="eastAsia" w:ascii="宋体" w:hAnsi="宋体"/>
                <w:b/>
                <w:color w:val="auto"/>
                <w:sz w:val="21"/>
                <w:szCs w:val="21"/>
              </w:rPr>
              <w:t>技术规格及配置、材质</w:t>
            </w:r>
          </w:p>
        </w:tc>
        <w:tc>
          <w:tcPr>
            <w:tcW w:w="9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数量</w:t>
            </w:r>
          </w:p>
        </w:tc>
        <w:tc>
          <w:tcPr>
            <w:tcW w:w="87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单位</w:t>
            </w:r>
          </w:p>
        </w:tc>
        <w:tc>
          <w:tcPr>
            <w:tcW w:w="719"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宋体" w:hAnsi="宋体"/>
                <w:color w:val="auto"/>
                <w:sz w:val="21"/>
                <w:szCs w:val="21"/>
              </w:rPr>
            </w:pPr>
            <w:r>
              <w:rPr>
                <w:rFonts w:hint="eastAsia" w:ascii="宋体" w:hAnsi="宋体"/>
                <w:color w:val="auto"/>
                <w:sz w:val="21"/>
                <w:szCs w:val="21"/>
              </w:rPr>
              <w:t>1</w:t>
            </w:r>
          </w:p>
        </w:tc>
        <w:tc>
          <w:tcPr>
            <w:tcW w:w="1108"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textAlignment w:val="auto"/>
              <w:outlineLvl w:val="9"/>
              <w:rPr>
                <w:rFonts w:hint="default" w:ascii="宋体" w:hAnsi="宋体"/>
                <w:color w:val="auto"/>
                <w:sz w:val="21"/>
                <w:szCs w:val="21"/>
              </w:rPr>
            </w:pPr>
          </w:p>
        </w:tc>
        <w:tc>
          <w:tcPr>
            <w:tcW w:w="1737"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textAlignment w:val="auto"/>
              <w:outlineLvl w:val="9"/>
              <w:rPr>
                <w:rFonts w:hint="default" w:ascii="宋体" w:hAnsi="宋体"/>
                <w:color w:val="auto"/>
                <w:sz w:val="21"/>
                <w:szCs w:val="21"/>
              </w:rPr>
            </w:pPr>
          </w:p>
        </w:tc>
        <w:tc>
          <w:tcPr>
            <w:tcW w:w="3034" w:type="dxa"/>
            <w:gridSpan w:val="2"/>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textAlignment w:val="auto"/>
              <w:outlineLvl w:val="9"/>
              <w:rPr>
                <w:rFonts w:hint="default" w:ascii="宋体" w:hAnsi="宋体"/>
                <w:color w:val="auto"/>
                <w:sz w:val="21"/>
                <w:szCs w:val="21"/>
              </w:rPr>
            </w:pPr>
          </w:p>
        </w:tc>
        <w:tc>
          <w:tcPr>
            <w:tcW w:w="915"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textAlignment w:val="auto"/>
              <w:outlineLvl w:val="9"/>
              <w:rPr>
                <w:rFonts w:hint="default" w:ascii="宋体" w:hAnsi="宋体"/>
                <w:color w:val="auto"/>
                <w:sz w:val="21"/>
                <w:szCs w:val="21"/>
              </w:rPr>
            </w:pPr>
          </w:p>
        </w:tc>
        <w:tc>
          <w:tcPr>
            <w:tcW w:w="870"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trPr>
        <w:tc>
          <w:tcPr>
            <w:tcW w:w="84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宋体" w:hAnsi="宋体"/>
                <w:color w:val="auto"/>
                <w:sz w:val="21"/>
                <w:szCs w:val="21"/>
              </w:rPr>
            </w:pPr>
            <w:r>
              <w:rPr>
                <w:rFonts w:hint="eastAsia" w:ascii="宋体" w:hAnsi="宋体"/>
                <w:color w:val="auto"/>
                <w:sz w:val="21"/>
                <w:szCs w:val="21"/>
              </w:rPr>
              <w:t>2</w:t>
            </w:r>
          </w:p>
        </w:tc>
        <w:tc>
          <w:tcPr>
            <w:tcW w:w="1108"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textAlignment w:val="auto"/>
              <w:outlineLvl w:val="9"/>
              <w:rPr>
                <w:rFonts w:hint="default" w:ascii="宋体" w:hAnsi="宋体"/>
                <w:color w:val="auto"/>
                <w:sz w:val="21"/>
                <w:szCs w:val="21"/>
              </w:rPr>
            </w:pPr>
          </w:p>
        </w:tc>
        <w:tc>
          <w:tcPr>
            <w:tcW w:w="1737"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textAlignment w:val="auto"/>
              <w:outlineLvl w:val="9"/>
              <w:rPr>
                <w:rFonts w:hint="default" w:ascii="宋体" w:hAnsi="宋体"/>
                <w:color w:val="auto"/>
                <w:sz w:val="21"/>
                <w:szCs w:val="21"/>
              </w:rPr>
            </w:pPr>
          </w:p>
        </w:tc>
        <w:tc>
          <w:tcPr>
            <w:tcW w:w="3034" w:type="dxa"/>
            <w:gridSpan w:val="2"/>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textAlignment w:val="auto"/>
              <w:outlineLvl w:val="9"/>
              <w:rPr>
                <w:rFonts w:hint="default" w:ascii="宋体" w:hAnsi="宋体"/>
                <w:color w:val="auto"/>
                <w:sz w:val="21"/>
                <w:szCs w:val="21"/>
              </w:rPr>
            </w:pPr>
          </w:p>
        </w:tc>
        <w:tc>
          <w:tcPr>
            <w:tcW w:w="915"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textAlignment w:val="auto"/>
              <w:outlineLvl w:val="9"/>
              <w:rPr>
                <w:rFonts w:hint="default" w:ascii="宋体" w:hAnsi="宋体"/>
                <w:color w:val="auto"/>
                <w:sz w:val="21"/>
                <w:szCs w:val="21"/>
              </w:rPr>
            </w:pPr>
          </w:p>
        </w:tc>
        <w:tc>
          <w:tcPr>
            <w:tcW w:w="870"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trPr>
        <w:tc>
          <w:tcPr>
            <w:tcW w:w="84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宋体" w:hAnsi="宋体"/>
                <w:color w:val="auto"/>
                <w:sz w:val="21"/>
                <w:szCs w:val="21"/>
              </w:rPr>
            </w:pPr>
            <w:r>
              <w:rPr>
                <w:rFonts w:hint="eastAsia" w:ascii="宋体" w:hAnsi="宋体"/>
                <w:color w:val="auto"/>
                <w:sz w:val="21"/>
                <w:szCs w:val="21"/>
              </w:rPr>
              <w:t>3</w:t>
            </w:r>
          </w:p>
        </w:tc>
        <w:tc>
          <w:tcPr>
            <w:tcW w:w="1108"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textAlignment w:val="auto"/>
              <w:outlineLvl w:val="9"/>
              <w:rPr>
                <w:rFonts w:hint="default" w:ascii="宋体" w:hAnsi="宋体"/>
                <w:color w:val="auto"/>
                <w:sz w:val="21"/>
                <w:szCs w:val="21"/>
              </w:rPr>
            </w:pPr>
          </w:p>
        </w:tc>
        <w:tc>
          <w:tcPr>
            <w:tcW w:w="1737"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textAlignment w:val="auto"/>
              <w:outlineLvl w:val="9"/>
              <w:rPr>
                <w:rFonts w:hint="default" w:ascii="宋体" w:hAnsi="宋体"/>
                <w:color w:val="auto"/>
                <w:sz w:val="21"/>
                <w:szCs w:val="21"/>
              </w:rPr>
            </w:pPr>
          </w:p>
        </w:tc>
        <w:tc>
          <w:tcPr>
            <w:tcW w:w="3034" w:type="dxa"/>
            <w:gridSpan w:val="2"/>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textAlignment w:val="auto"/>
              <w:outlineLvl w:val="9"/>
              <w:rPr>
                <w:rFonts w:hint="default" w:ascii="宋体" w:hAnsi="宋体"/>
                <w:color w:val="auto"/>
                <w:sz w:val="21"/>
                <w:szCs w:val="21"/>
              </w:rPr>
            </w:pPr>
          </w:p>
        </w:tc>
        <w:tc>
          <w:tcPr>
            <w:tcW w:w="915"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textAlignment w:val="auto"/>
              <w:outlineLvl w:val="9"/>
              <w:rPr>
                <w:rFonts w:hint="default" w:ascii="宋体" w:hAnsi="宋体"/>
                <w:color w:val="auto"/>
                <w:sz w:val="21"/>
                <w:szCs w:val="21"/>
              </w:rPr>
            </w:pPr>
          </w:p>
        </w:tc>
        <w:tc>
          <w:tcPr>
            <w:tcW w:w="870"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trPr>
        <w:tc>
          <w:tcPr>
            <w:tcW w:w="84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宋体" w:hAnsi="宋体"/>
                <w:color w:val="auto"/>
                <w:sz w:val="21"/>
                <w:szCs w:val="21"/>
              </w:rPr>
            </w:pPr>
            <w:r>
              <w:rPr>
                <w:rFonts w:hint="eastAsia" w:ascii="宋体" w:hAnsi="宋体"/>
                <w:color w:val="auto"/>
                <w:sz w:val="21"/>
                <w:szCs w:val="21"/>
              </w:rPr>
              <w:t>4</w:t>
            </w:r>
          </w:p>
        </w:tc>
        <w:tc>
          <w:tcPr>
            <w:tcW w:w="1108"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textAlignment w:val="auto"/>
              <w:outlineLvl w:val="9"/>
              <w:rPr>
                <w:rFonts w:hint="default" w:ascii="宋体" w:hAnsi="宋体"/>
                <w:color w:val="auto"/>
                <w:sz w:val="21"/>
                <w:szCs w:val="21"/>
              </w:rPr>
            </w:pPr>
          </w:p>
        </w:tc>
        <w:tc>
          <w:tcPr>
            <w:tcW w:w="1737"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textAlignment w:val="auto"/>
              <w:outlineLvl w:val="9"/>
              <w:rPr>
                <w:rFonts w:hint="default" w:ascii="宋体" w:hAnsi="宋体"/>
                <w:color w:val="auto"/>
                <w:sz w:val="21"/>
                <w:szCs w:val="21"/>
              </w:rPr>
            </w:pPr>
          </w:p>
        </w:tc>
        <w:tc>
          <w:tcPr>
            <w:tcW w:w="3034" w:type="dxa"/>
            <w:gridSpan w:val="2"/>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textAlignment w:val="auto"/>
              <w:outlineLvl w:val="9"/>
              <w:rPr>
                <w:rFonts w:hint="default" w:ascii="宋体" w:hAnsi="宋体"/>
                <w:color w:val="auto"/>
                <w:sz w:val="21"/>
                <w:szCs w:val="21"/>
              </w:rPr>
            </w:pPr>
          </w:p>
        </w:tc>
        <w:tc>
          <w:tcPr>
            <w:tcW w:w="915"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textAlignment w:val="auto"/>
              <w:outlineLvl w:val="9"/>
              <w:rPr>
                <w:rFonts w:hint="default" w:ascii="宋体" w:hAnsi="宋体"/>
                <w:color w:val="auto"/>
                <w:sz w:val="21"/>
                <w:szCs w:val="21"/>
              </w:rPr>
            </w:pPr>
          </w:p>
        </w:tc>
        <w:tc>
          <w:tcPr>
            <w:tcW w:w="870"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eastAsia" w:ascii="宋体" w:hAnsi="宋体"/>
                <w:b/>
                <w:color w:val="auto"/>
                <w:sz w:val="21"/>
                <w:szCs w:val="21"/>
              </w:rPr>
            </w:pPr>
          </w:p>
        </w:tc>
      </w:tr>
    </w:tbl>
    <w:p>
      <w:pPr>
        <w:pStyle w:val="2"/>
        <w:rPr>
          <w:rFonts w:hint="eastAsia"/>
          <w:lang w:val="zh-CN"/>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lang w:val="en-US" w:eastAsia="zh-CN"/>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rPr>
      </w:pPr>
      <w:r>
        <w:rPr>
          <w:rFonts w:hint="eastAsia" w:ascii="宋体" w:hAnsi="宋体"/>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r>
        <w:rPr>
          <w:rFonts w:hint="eastAsia" w:ascii="宋体" w:hAnsi="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102" w:name="_Toc27567"/>
      <w:bookmarkStart w:id="103" w:name="_Toc471299110"/>
    </w:p>
    <w:p>
      <w:pPr>
        <w:pStyle w:val="17"/>
        <w:rPr>
          <w:rFonts w:hint="eastAsia"/>
        </w:rPr>
      </w:pPr>
    </w:p>
    <w:p>
      <w:pPr>
        <w:pStyle w:val="17"/>
        <w:rPr>
          <w:rFonts w:hint="eastAsia"/>
        </w:rPr>
      </w:pPr>
    </w:p>
    <w:p>
      <w:pPr>
        <w:pStyle w:val="17"/>
        <w:rPr>
          <w:rFonts w:hint="eastAsia"/>
        </w:rPr>
      </w:pP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102"/>
      <w:bookmarkEnd w:id="103"/>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6"/>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104"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104"/>
    </w:p>
    <w:tbl>
      <w:tblPr>
        <w:tblStyle w:val="18"/>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40" w:lineRule="exact"/>
              <w:ind w:left="0" w:right="0"/>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40" w:lineRule="exact"/>
              <w:ind w:left="0" w:right="0"/>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40" w:lineRule="exact"/>
              <w:ind w:left="0" w:right="0"/>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40" w:lineRule="exact"/>
              <w:ind w:left="0" w:right="-670"/>
              <w:rPr>
                <w:rFonts w:hint="eastAsia"/>
                <w:szCs w:val="20"/>
              </w:rPr>
            </w:pPr>
            <w:r>
              <w:rPr>
                <w:rFonts w:hint="eastAsia"/>
                <w:szCs w:val="20"/>
              </w:rPr>
              <w:t xml:space="preserve">小写：                          元 </w:t>
            </w:r>
          </w:p>
          <w:p>
            <w:pPr>
              <w:keepNext w:val="0"/>
              <w:keepLines w:val="0"/>
              <w:suppressLineNumbers w:val="0"/>
              <w:spacing w:before="0" w:beforeAutospacing="0" w:after="0" w:afterAutospacing="0" w:line="440" w:lineRule="exact"/>
              <w:ind w:left="0" w:right="-670"/>
              <w:rPr>
                <w:rFonts w:hint="eastAsia"/>
                <w:szCs w:val="20"/>
              </w:rPr>
            </w:pPr>
            <w:r>
              <w:rPr>
                <w:rFonts w:hint="eastAsia"/>
                <w:szCs w:val="20"/>
              </w:rPr>
              <w:t>大写：                          元</w:t>
            </w:r>
          </w:p>
          <w:p>
            <w:pPr>
              <w:pStyle w:val="17"/>
              <w:keepNext w:val="0"/>
              <w:keepLines w:val="0"/>
              <w:suppressLineNumbers w:val="0"/>
              <w:spacing w:before="0" w:beforeAutospacing="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40" w:lineRule="exact"/>
              <w:ind w:left="0" w:right="0"/>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b/>
                <w:color w:val="auto"/>
                <w:szCs w:val="21"/>
              </w:rPr>
            </w:pPr>
          </w:p>
          <w:p>
            <w:pPr>
              <w:keepNext w:val="0"/>
              <w:keepLines w:val="0"/>
              <w:widowControl/>
              <w:suppressLineNumbers w:val="0"/>
              <w:spacing w:before="0" w:beforeAutospacing="0" w:after="0" w:afterAutospacing="0" w:line="440" w:lineRule="exact"/>
              <w:ind w:left="0" w:right="0"/>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40" w:lineRule="exact"/>
              <w:ind w:left="0" w:right="0"/>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40" w:lineRule="exact"/>
              <w:ind w:left="0" w:right="0"/>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b/>
                <w:color w:val="auto"/>
                <w:szCs w:val="21"/>
              </w:rPr>
            </w:pPr>
          </w:p>
        </w:tc>
      </w:tr>
    </w:tbl>
    <w:p>
      <w:pPr>
        <w:spacing w:line="440" w:lineRule="exact"/>
        <w:ind w:firstLine="422" w:firstLineChars="20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050" w:firstLineChars="5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7"/>
        <w:ind w:left="0" w:leftChars="0" w:firstLine="0" w:firstLineChars="0"/>
        <w:rPr>
          <w:rFonts w:hint="eastAsia" w:ascii="宋体" w:hAnsi="宋体" w:cs="宋体"/>
          <w:color w:val="auto"/>
          <w:szCs w:val="21"/>
        </w:rPr>
      </w:pPr>
    </w:p>
    <w:p>
      <w:pPr>
        <w:pStyle w:val="17"/>
        <w:ind w:left="0" w:leftChars="0" w:firstLine="0" w:firstLineChars="0"/>
        <w:rPr>
          <w:rFonts w:hint="eastAsia" w:ascii="宋体" w:hAnsi="宋体" w:cs="宋体"/>
          <w:color w:val="auto"/>
          <w:szCs w:val="21"/>
        </w:rPr>
      </w:pPr>
    </w:p>
    <w:p>
      <w:pPr>
        <w:numPr>
          <w:ilvl w:val="0"/>
          <w:numId w:val="0"/>
        </w:numPr>
        <w:adjustRightInd w:val="0"/>
        <w:snapToGrid w:val="0"/>
        <w:spacing w:line="320" w:lineRule="auto"/>
        <w:ind w:left="2870" w:leftChars="0"/>
        <w:rPr>
          <w:rFonts w:hint="eastAsia"/>
          <w:b/>
          <w:bCs/>
          <w:color w:val="auto"/>
          <w:sz w:val="28"/>
          <w:szCs w:val="28"/>
          <w:lang w:val="en-US"/>
        </w:rPr>
      </w:pPr>
      <w:bookmarkStart w:id="105" w:name="_Toc28824_WPSOffice_Level1"/>
      <w:r>
        <w:rPr>
          <w:rFonts w:hint="eastAsia"/>
          <w:b/>
          <w:bCs/>
          <w:color w:val="auto"/>
          <w:sz w:val="28"/>
          <w:szCs w:val="28"/>
          <w:lang w:val="en-US" w:eastAsia="zh-CN"/>
        </w:rPr>
        <w:t>（二）</w:t>
      </w:r>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105"/>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FF0000"/>
          <w:sz w:val="21"/>
          <w:szCs w:val="21"/>
          <w:lang w:eastAsia="zh-CN"/>
        </w:rPr>
      </w:pPr>
      <w:bookmarkStart w:id="106" w:name="_Toc32017"/>
      <w:r>
        <w:rPr>
          <w:rFonts w:hint="eastAsia" w:ascii="宋体" w:hAnsi="宋体" w:cs="宋体"/>
          <w:color w:val="FF0000"/>
          <w:sz w:val="21"/>
          <w:szCs w:val="21"/>
          <w:lang w:eastAsia="zh-CN"/>
        </w:rPr>
        <w:t>按采购需求逐项报价并汇总。</w:t>
      </w:r>
    </w:p>
    <w:p>
      <w:pPr>
        <w:rPr>
          <w:rFonts w:hint="eastAsia" w:ascii="宋体" w:hAnsi="宋体" w:cs="宋体"/>
          <w:color w:val="FF0000"/>
          <w:sz w:val="21"/>
          <w:szCs w:val="21"/>
          <w:lang w:eastAsia="zh-CN"/>
        </w:rPr>
      </w:pPr>
    </w:p>
    <w:p>
      <w:pPr>
        <w:pStyle w:val="2"/>
        <w:rPr>
          <w:rFonts w:hint="eastAsia" w:ascii="宋体" w:hAnsi="宋体" w:cs="宋体"/>
          <w:color w:val="FF0000"/>
          <w:sz w:val="21"/>
          <w:szCs w:val="21"/>
          <w:lang w:eastAsia="zh-CN"/>
        </w:rPr>
      </w:pPr>
    </w:p>
    <w:p>
      <w:pPr>
        <w:pStyle w:val="5"/>
        <w:rPr>
          <w:rFonts w:hint="eastAsia" w:ascii="宋体" w:hAnsi="宋体" w:cs="宋体"/>
          <w:color w:val="FF0000"/>
          <w:sz w:val="21"/>
          <w:szCs w:val="21"/>
          <w:lang w:eastAsia="zh-CN"/>
        </w:rPr>
      </w:pPr>
    </w:p>
    <w:p>
      <w:pPr>
        <w:pStyle w:val="5"/>
        <w:rPr>
          <w:rFonts w:hint="eastAsia" w:ascii="宋体" w:hAnsi="宋体" w:cs="宋体"/>
          <w:color w:val="FF0000"/>
          <w:sz w:val="21"/>
          <w:szCs w:val="21"/>
          <w:lang w:eastAsia="zh-CN"/>
        </w:rPr>
      </w:pPr>
    </w:p>
    <w:p>
      <w:pPr>
        <w:pStyle w:val="5"/>
        <w:rPr>
          <w:rFonts w:hint="eastAsia" w:ascii="宋体" w:hAnsi="宋体" w:cs="宋体"/>
          <w:color w:val="FF0000"/>
          <w:sz w:val="21"/>
          <w:szCs w:val="21"/>
          <w:lang w:eastAsia="zh-CN"/>
        </w:rPr>
      </w:pPr>
    </w:p>
    <w:p>
      <w:pPr>
        <w:rPr>
          <w:rFonts w:hint="eastAsia"/>
          <w:lang w:eastAsia="zh-CN"/>
        </w:rPr>
      </w:pPr>
    </w:p>
    <w:p>
      <w:pPr>
        <w:pStyle w:val="2"/>
        <w:ind w:left="0" w:leftChars="0" w:firstLine="0" w:firstLineChars="0"/>
        <w:rPr>
          <w:rFonts w:hint="eastAsia"/>
          <w:lang w:eastAsia="zh-CN"/>
        </w:rPr>
      </w:pP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106"/>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107" w:name="_Toc12025_WPSOffice_Level1"/>
      <w:r>
        <w:rPr>
          <w:rFonts w:hint="eastAsia"/>
          <w:b/>
          <w:bCs/>
          <w:color w:val="auto"/>
          <w:sz w:val="28"/>
          <w:szCs w:val="28"/>
          <w:lang w:val="zh-CN"/>
        </w:rPr>
        <w:t>供货、安装、售后服务承诺</w:t>
      </w:r>
      <w:bookmarkEnd w:id="10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108" w:name="_Toc27705"/>
      <w:r>
        <w:rPr>
          <w:rFonts w:hint="eastAsia" w:ascii="宋体" w:hAnsi="宋体" w:eastAsia="宋体" w:cs="宋体"/>
          <w:color w:val="auto"/>
          <w:sz w:val="21"/>
          <w:szCs w:val="21"/>
        </w:rPr>
        <w:t>附件</w:t>
      </w:r>
      <w:bookmarkEnd w:id="108"/>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109" w:name="_Toc1950_WPSOffice_Level1"/>
      <w:r>
        <w:rPr>
          <w:rFonts w:hint="eastAsia"/>
          <w:b/>
          <w:bCs/>
          <w:color w:val="auto"/>
          <w:sz w:val="28"/>
          <w:szCs w:val="28"/>
          <w:lang w:val="zh-CN"/>
        </w:rPr>
        <w:t>询价文件要求和供应商认为需要提供的其它说明和资料</w:t>
      </w:r>
      <w:bookmarkEnd w:id="109"/>
    </w:p>
    <w:p>
      <w:pPr>
        <w:jc w:val="both"/>
        <w:rPr>
          <w:rStyle w:val="39"/>
          <w:rFonts w:hint="eastAsia"/>
          <w:color w:val="auto"/>
          <w:sz w:val="21"/>
          <w:szCs w:val="21"/>
          <w:lang w:val="en-US" w:eastAsia="zh-CN"/>
        </w:rPr>
      </w:pPr>
      <w:bookmarkStart w:id="110" w:name="_Toc3085"/>
      <w:bookmarkStart w:id="111" w:name="_Toc19844_WPSOffice_Level1"/>
    </w:p>
    <w:p>
      <w:pPr>
        <w:jc w:val="both"/>
        <w:rPr>
          <w:rStyle w:val="39"/>
          <w:rFonts w:hint="eastAsia"/>
          <w:color w:val="auto"/>
          <w:sz w:val="21"/>
          <w:szCs w:val="21"/>
          <w:lang w:val="en-US" w:eastAsia="zh-CN"/>
        </w:rPr>
      </w:pPr>
    </w:p>
    <w:p>
      <w:pPr>
        <w:jc w:val="both"/>
        <w:rPr>
          <w:rStyle w:val="39"/>
          <w:rFonts w:hint="eastAsia"/>
          <w:color w:val="auto"/>
          <w:sz w:val="21"/>
          <w:szCs w:val="21"/>
          <w:lang w:val="en-US" w:eastAsia="zh-CN"/>
        </w:rPr>
      </w:pPr>
    </w:p>
    <w:p>
      <w:pPr>
        <w:jc w:val="both"/>
        <w:rPr>
          <w:rFonts w:hint="eastAsia" w:ascii="宋体" w:hAnsi="宋体" w:cs="宋体"/>
          <w:b/>
          <w:bCs/>
          <w:color w:val="auto"/>
          <w:sz w:val="32"/>
          <w:szCs w:val="32"/>
        </w:rPr>
      </w:pPr>
      <w:r>
        <w:rPr>
          <w:rStyle w:val="39"/>
          <w:rFonts w:hint="eastAsia"/>
          <w:color w:val="auto"/>
          <w:sz w:val="21"/>
          <w:szCs w:val="21"/>
          <w:lang w:val="en-US" w:eastAsia="zh-CN"/>
        </w:rPr>
        <w:t>附件九</w:t>
      </w:r>
      <w:r>
        <w:rPr>
          <w:rStyle w:val="39"/>
          <w:rFonts w:hint="eastAsia"/>
          <w:color w:val="auto"/>
          <w:sz w:val="21"/>
          <w:szCs w:val="21"/>
        </w:rPr>
        <w:t xml:space="preserve"> </w:t>
      </w:r>
      <w:bookmarkEnd w:id="110"/>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111"/>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112" w:name="_Toc10947_WPSOffice_Level1"/>
      <w:r>
        <w:rPr>
          <w:rFonts w:hint="eastAsia" w:ascii="宋体" w:hAnsi="宋体" w:cs="宋体"/>
          <w:b/>
          <w:bCs/>
          <w:color w:val="auto"/>
          <w:sz w:val="24"/>
        </w:rPr>
        <w:t>注：</w:t>
      </w:r>
      <w:bookmarkEnd w:id="112"/>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ind w:firstLine="480" w:firstLineChars="200"/>
        <w:rPr>
          <w:rFonts w:hint="eastAsia" w:ascii="宋体" w:hAnsi="宋体" w:cs="宋体"/>
          <w:color w:val="auto"/>
          <w:kern w:val="0"/>
          <w:sz w:val="24"/>
        </w:rPr>
      </w:pP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113" w:name="_Toc27363_WPSOffice_Level1"/>
      <w:r>
        <w:rPr>
          <w:rFonts w:hint="eastAsia" w:ascii="宋体" w:hAnsi="宋体" w:cs="宋体"/>
          <w:b/>
          <w:bCs/>
          <w:color w:val="auto"/>
          <w:sz w:val="24"/>
        </w:rPr>
        <w:t>注：</w:t>
      </w:r>
      <w:bookmarkEnd w:id="113"/>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114" w:name="_Toc13534_WPSOffice_Level1"/>
      <w:r>
        <w:rPr>
          <w:rFonts w:hint="eastAsia" w:ascii="宋体" w:hAnsi="宋体" w:cs="宋体"/>
          <w:b/>
          <w:bCs/>
          <w:color w:val="auto"/>
          <w:sz w:val="24"/>
        </w:rPr>
        <w:t>注：</w:t>
      </w:r>
      <w:bookmarkEnd w:id="114"/>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115" w:name="_Toc16902_WPSOffice_Level1"/>
    </w:p>
    <w:bookmarkEnd w:id="115"/>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年    月    日</w:t>
      </w:r>
    </w:p>
    <w:p>
      <w:pPr>
        <w:rPr>
          <w:color w:val="auto"/>
        </w:rPr>
      </w:pPr>
      <w:r>
        <w:rPr>
          <w:color w:val="auto"/>
        </w:rPr>
        <w:br w:type="page"/>
      </w:r>
    </w:p>
    <w:p>
      <w:pPr>
        <w:pStyle w:val="10"/>
      </w:pPr>
    </w:p>
    <w:p>
      <w:pPr>
        <w:pStyle w:val="11"/>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247" w:right="1451" w:bottom="1247" w:left="1451" w:header="567"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瀹嬩綋">
    <w:altName w:val="Segoe Print"/>
    <w:panose1 w:val="00000000000000000000"/>
    <w:charset w:val="00"/>
    <w:family w:val="auto"/>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方正仿宋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0" w:leftChars="0" w:firstLine="0" w:firstLineChars="0"/>
      <w:jc w:val="both"/>
      <w:rPr>
        <w:rFonts w:hint="default" w:ascii="Times New Roman" w:hAnsi="Times New Roman" w:eastAsia="宋体" w:cs="Times New Roman"/>
        <w:b w:val="0"/>
        <w:kern w:val="2"/>
        <w:sz w:val="16"/>
        <w:szCs w:val="16"/>
        <w:u w:val="single"/>
        <w:lang w:val="en-US" w:eastAsia="zh-CN" w:bidi="ar-SA"/>
      </w:rPr>
    </w:pPr>
    <w:r>
      <w:rPr>
        <w:rFonts w:hint="eastAsia" w:cs="Times New Roman"/>
        <w:b w:val="0"/>
        <w:kern w:val="2"/>
        <w:sz w:val="16"/>
        <w:szCs w:val="16"/>
        <w:u w:val="single"/>
        <w:lang w:val="en-US" w:eastAsia="zh-CN" w:bidi="ar-SA"/>
      </w:rPr>
      <w:t>霍山县衡山镇人民政府智慧社区系统安全等级保护测评项目</w:t>
    </w:r>
    <w:r>
      <w:rPr>
        <w:rFonts w:hint="eastAsia" w:ascii="Times New Roman" w:hAnsi="Times New Roman" w:eastAsia="宋体" w:cs="Times New Roman"/>
        <w:b w:val="0"/>
        <w:kern w:val="2"/>
        <w:sz w:val="16"/>
        <w:szCs w:val="16"/>
        <w:u w:val="single"/>
        <w:lang w:val="en-US" w:eastAsia="zh-CN" w:bidi="ar-SA"/>
      </w:rPr>
      <w:t>询价文件</w:t>
    </w:r>
    <w:r>
      <w:rPr>
        <w:rFonts w:hint="eastAsia" w:ascii="Times New Roman" w:hAnsi="Times New Roman" w:eastAsia="宋体" w:cs="Times New Roman"/>
        <w:b w:val="0"/>
        <w:kern w:val="2"/>
        <w:sz w:val="15"/>
        <w:szCs w:val="15"/>
        <w:u w:val="single"/>
        <w:lang w:val="en-US" w:eastAsia="zh-CN" w:bidi="ar-SA"/>
      </w:rPr>
      <w:t xml:space="preserve">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6"/>
        <w:szCs w:val="16"/>
        <w:u w:val="single"/>
        <w:lang w:val="en-US" w:eastAsia="zh-CN" w:bidi="ar-SA"/>
      </w:rPr>
      <w:t>安徽大别山工程咨询有限公司</w:t>
    </w:r>
    <w:r>
      <w:rPr>
        <w:rFonts w:hint="eastAsia" w:cs="Times New Roman"/>
        <w:b w:val="0"/>
        <w:kern w:val="2"/>
        <w:sz w:val="16"/>
        <w:szCs w:val="16"/>
        <w:u w:val="single"/>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75EAEC"/>
    <w:multiLevelType w:val="multilevel"/>
    <w:tmpl w:val="9775EAEC"/>
    <w:lvl w:ilvl="0" w:tentative="0">
      <w:start w:val="1"/>
      <w:numFmt w:val="decimal"/>
      <w:lvlText w:val="%1)"/>
      <w:lvlJc w:val="left"/>
      <w:pPr>
        <w:ind w:left="425" w:hanging="425"/>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1">
    <w:nsid w:val="A0C3E3AB"/>
    <w:multiLevelType w:val="multilevel"/>
    <w:tmpl w:val="A0C3E3AB"/>
    <w:lvl w:ilvl="0" w:tentative="0">
      <w:start w:val="1"/>
      <w:numFmt w:val="bullet"/>
      <w:lvlText w:val=""/>
      <w:lvlJc w:val="left"/>
      <w:pPr>
        <w:ind w:left="1320" w:hanging="420"/>
      </w:pPr>
      <w:rPr>
        <w:rFonts w:hint="default" w:ascii="Wingdings" w:hAnsi="Wingdings" w:cs="Wingdings"/>
      </w:rPr>
    </w:lvl>
    <w:lvl w:ilvl="1" w:tentative="0">
      <w:start w:val="1"/>
      <w:numFmt w:val="bullet"/>
      <w:lvlText w:val=""/>
      <w:lvlJc w:val="left"/>
      <w:pPr>
        <w:ind w:left="1740" w:hanging="420"/>
      </w:pPr>
      <w:rPr>
        <w:rFonts w:hint="default" w:ascii="Wingdings" w:hAnsi="Wingdings" w:cs="Wingdings"/>
      </w:rPr>
    </w:lvl>
    <w:lvl w:ilvl="2" w:tentative="0">
      <w:start w:val="1"/>
      <w:numFmt w:val="bullet"/>
      <w:lvlText w:val=""/>
      <w:lvlJc w:val="left"/>
      <w:pPr>
        <w:ind w:left="2160" w:hanging="420"/>
      </w:pPr>
      <w:rPr>
        <w:rFonts w:hint="default" w:ascii="Wingdings" w:hAnsi="Wingdings" w:cs="Wingdings"/>
      </w:rPr>
    </w:lvl>
    <w:lvl w:ilvl="3" w:tentative="0">
      <w:start w:val="1"/>
      <w:numFmt w:val="bullet"/>
      <w:lvlText w:val=""/>
      <w:lvlJc w:val="left"/>
      <w:pPr>
        <w:ind w:left="2580" w:hanging="420"/>
      </w:pPr>
      <w:rPr>
        <w:rFonts w:hint="default" w:ascii="Wingdings" w:hAnsi="Wingdings" w:cs="Wingdings"/>
      </w:rPr>
    </w:lvl>
    <w:lvl w:ilvl="4" w:tentative="0">
      <w:start w:val="1"/>
      <w:numFmt w:val="bullet"/>
      <w:lvlText w:val=""/>
      <w:lvlJc w:val="left"/>
      <w:pPr>
        <w:ind w:left="3000" w:hanging="420"/>
      </w:pPr>
      <w:rPr>
        <w:rFonts w:hint="default" w:ascii="Wingdings" w:hAnsi="Wingdings" w:cs="Wingdings"/>
      </w:rPr>
    </w:lvl>
    <w:lvl w:ilvl="5" w:tentative="0">
      <w:start w:val="1"/>
      <w:numFmt w:val="bullet"/>
      <w:lvlText w:val=""/>
      <w:lvlJc w:val="left"/>
      <w:pPr>
        <w:ind w:left="3420" w:hanging="420"/>
      </w:pPr>
      <w:rPr>
        <w:rFonts w:hint="default" w:ascii="Wingdings" w:hAnsi="Wingdings" w:cs="Wingdings"/>
      </w:rPr>
    </w:lvl>
    <w:lvl w:ilvl="6" w:tentative="0">
      <w:start w:val="1"/>
      <w:numFmt w:val="bullet"/>
      <w:lvlText w:val=""/>
      <w:lvlJc w:val="left"/>
      <w:pPr>
        <w:ind w:left="3840" w:hanging="420"/>
      </w:pPr>
      <w:rPr>
        <w:rFonts w:hint="default" w:ascii="Wingdings" w:hAnsi="Wingdings" w:cs="Wingdings"/>
      </w:rPr>
    </w:lvl>
    <w:lvl w:ilvl="7" w:tentative="0">
      <w:start w:val="1"/>
      <w:numFmt w:val="bullet"/>
      <w:lvlText w:val=""/>
      <w:lvlJc w:val="left"/>
      <w:pPr>
        <w:ind w:left="4260" w:hanging="420"/>
      </w:pPr>
      <w:rPr>
        <w:rFonts w:hint="default" w:ascii="Wingdings" w:hAnsi="Wingdings" w:cs="Wingdings"/>
      </w:rPr>
    </w:lvl>
    <w:lvl w:ilvl="8" w:tentative="0">
      <w:start w:val="1"/>
      <w:numFmt w:val="bullet"/>
      <w:lvlText w:val=""/>
      <w:lvlJc w:val="left"/>
      <w:pPr>
        <w:ind w:left="4680" w:hanging="420"/>
      </w:pPr>
      <w:rPr>
        <w:rFonts w:hint="default" w:ascii="Wingdings" w:hAnsi="Wingdings" w:cs="Wingdings"/>
      </w:rPr>
    </w:lvl>
  </w:abstractNum>
  <w:abstractNum w:abstractNumId="2">
    <w:nsid w:val="1687399A"/>
    <w:multiLevelType w:val="singleLevel"/>
    <w:tmpl w:val="1687399A"/>
    <w:lvl w:ilvl="0" w:tentative="0">
      <w:start w:val="4"/>
      <w:numFmt w:val="chineseCounting"/>
      <w:suff w:val="nothing"/>
      <w:lvlText w:val="%1、"/>
      <w:lvlJc w:val="left"/>
      <w:rPr>
        <w:rFonts w:hint="eastAsia"/>
      </w:rPr>
    </w:lvl>
  </w:abstractNum>
  <w:abstractNum w:abstractNumId="3">
    <w:nsid w:val="1ECDBE45"/>
    <w:multiLevelType w:val="multilevel"/>
    <w:tmpl w:val="1ECDBE45"/>
    <w:lvl w:ilvl="0" w:tentative="0">
      <w:start w:val="1"/>
      <w:numFmt w:val="decimal"/>
      <w:lvlText w:val="%1."/>
      <w:lvlJc w:val="left"/>
      <w:pPr>
        <w:ind w:left="1140" w:hanging="720"/>
      </w:pPr>
      <w:rPr>
        <w:rFonts w:hint="default" w:ascii="Times New Roman" w:hAnsi="Times New Roman" w:cs="Times New Roman"/>
      </w:rPr>
    </w:lvl>
    <w:lvl w:ilvl="1" w:tentative="0">
      <w:start w:val="1"/>
      <w:numFmt w:val="lowerLetter"/>
      <w:lvlText w:val="%2)"/>
      <w:lvlJc w:val="left"/>
      <w:pPr>
        <w:ind w:left="1260" w:hanging="420"/>
      </w:pPr>
      <w:rPr>
        <w:rFonts w:hint="default" w:ascii="Times New Roman" w:hAnsi="Times New Roman" w:cs="Times New Roman"/>
      </w:rPr>
    </w:lvl>
    <w:lvl w:ilvl="2" w:tentative="0">
      <w:start w:val="1"/>
      <w:numFmt w:val="lowerRoman"/>
      <w:lvlText w:val="%3."/>
      <w:lvlJc w:val="right"/>
      <w:pPr>
        <w:ind w:left="1680" w:hanging="420"/>
      </w:pPr>
      <w:rPr>
        <w:rFonts w:hint="default" w:ascii="Times New Roman" w:hAnsi="Times New Roman" w:cs="Times New Roman"/>
      </w:rPr>
    </w:lvl>
    <w:lvl w:ilvl="3" w:tentative="0">
      <w:start w:val="1"/>
      <w:numFmt w:val="decimal"/>
      <w:lvlText w:val="%4."/>
      <w:lvlJc w:val="left"/>
      <w:pPr>
        <w:ind w:left="2100" w:hanging="420"/>
      </w:pPr>
      <w:rPr>
        <w:rFonts w:hint="default" w:ascii="Times New Roman" w:hAnsi="Times New Roman" w:cs="Times New Roman"/>
      </w:rPr>
    </w:lvl>
    <w:lvl w:ilvl="4" w:tentative="0">
      <w:start w:val="1"/>
      <w:numFmt w:val="lowerLetter"/>
      <w:lvlText w:val="%5)"/>
      <w:lvlJc w:val="left"/>
      <w:pPr>
        <w:ind w:left="2520" w:hanging="420"/>
      </w:pPr>
      <w:rPr>
        <w:rFonts w:hint="default" w:ascii="Times New Roman" w:hAnsi="Times New Roman" w:cs="Times New Roman"/>
      </w:rPr>
    </w:lvl>
    <w:lvl w:ilvl="5" w:tentative="0">
      <w:start w:val="1"/>
      <w:numFmt w:val="lowerRoman"/>
      <w:lvlText w:val="%6."/>
      <w:lvlJc w:val="right"/>
      <w:pPr>
        <w:ind w:left="2940" w:hanging="420"/>
      </w:pPr>
      <w:rPr>
        <w:rFonts w:hint="default" w:ascii="Times New Roman" w:hAnsi="Times New Roman" w:cs="Times New Roman"/>
      </w:rPr>
    </w:lvl>
    <w:lvl w:ilvl="6" w:tentative="0">
      <w:start w:val="1"/>
      <w:numFmt w:val="decimal"/>
      <w:lvlText w:val="%7."/>
      <w:lvlJc w:val="left"/>
      <w:pPr>
        <w:ind w:left="3360" w:hanging="420"/>
      </w:pPr>
      <w:rPr>
        <w:rFonts w:hint="default" w:ascii="Times New Roman" w:hAnsi="Times New Roman" w:cs="Times New Roman"/>
      </w:rPr>
    </w:lvl>
    <w:lvl w:ilvl="7" w:tentative="0">
      <w:start w:val="1"/>
      <w:numFmt w:val="lowerLetter"/>
      <w:lvlText w:val="%8)"/>
      <w:lvlJc w:val="left"/>
      <w:pPr>
        <w:ind w:left="3780" w:hanging="420"/>
      </w:pPr>
      <w:rPr>
        <w:rFonts w:hint="default" w:ascii="Times New Roman" w:hAnsi="Times New Roman" w:cs="Times New Roman"/>
      </w:rPr>
    </w:lvl>
    <w:lvl w:ilvl="8" w:tentative="0">
      <w:start w:val="1"/>
      <w:numFmt w:val="lowerRoman"/>
      <w:lvlText w:val="%9."/>
      <w:lvlJc w:val="right"/>
      <w:pPr>
        <w:ind w:left="4200" w:hanging="420"/>
      </w:pPr>
      <w:rPr>
        <w:rFonts w:hint="default" w:ascii="Times New Roman" w:hAnsi="Times New Roman" w:cs="Times New Roman"/>
      </w:rPr>
    </w:lvl>
  </w:abstractNum>
  <w:abstractNum w:abstractNumId="4">
    <w:nsid w:val="2BE32419"/>
    <w:multiLevelType w:val="multilevel"/>
    <w:tmpl w:val="2BE32419"/>
    <w:lvl w:ilvl="0" w:tentative="0">
      <w:start w:val="1"/>
      <w:numFmt w:val="decimal"/>
      <w:lvlText w:val="%1)"/>
      <w:lvlJc w:val="left"/>
      <w:pPr>
        <w:ind w:left="425" w:hanging="425"/>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708B"/>
    <w:rsid w:val="00292389"/>
    <w:rsid w:val="00706054"/>
    <w:rsid w:val="00847D88"/>
    <w:rsid w:val="00B17BC8"/>
    <w:rsid w:val="011744DF"/>
    <w:rsid w:val="01D35A0A"/>
    <w:rsid w:val="01D72602"/>
    <w:rsid w:val="022B73BF"/>
    <w:rsid w:val="02923D0A"/>
    <w:rsid w:val="0297760C"/>
    <w:rsid w:val="02AA1EE6"/>
    <w:rsid w:val="02C17B34"/>
    <w:rsid w:val="02F85797"/>
    <w:rsid w:val="03150F8F"/>
    <w:rsid w:val="031838E3"/>
    <w:rsid w:val="04777FAA"/>
    <w:rsid w:val="047A1250"/>
    <w:rsid w:val="04831F83"/>
    <w:rsid w:val="04837086"/>
    <w:rsid w:val="048570FC"/>
    <w:rsid w:val="0558683D"/>
    <w:rsid w:val="056F542D"/>
    <w:rsid w:val="059C0CBD"/>
    <w:rsid w:val="062A252A"/>
    <w:rsid w:val="0644344B"/>
    <w:rsid w:val="065734CB"/>
    <w:rsid w:val="06A80ACF"/>
    <w:rsid w:val="06BE48F4"/>
    <w:rsid w:val="0713690B"/>
    <w:rsid w:val="07500CD8"/>
    <w:rsid w:val="07550BBC"/>
    <w:rsid w:val="0784433C"/>
    <w:rsid w:val="07BE2903"/>
    <w:rsid w:val="07E42C56"/>
    <w:rsid w:val="07F727F0"/>
    <w:rsid w:val="08476116"/>
    <w:rsid w:val="094825C0"/>
    <w:rsid w:val="09B24D52"/>
    <w:rsid w:val="09F429FB"/>
    <w:rsid w:val="0A056E0E"/>
    <w:rsid w:val="0A381ED7"/>
    <w:rsid w:val="0A6B423D"/>
    <w:rsid w:val="0A6F7AD4"/>
    <w:rsid w:val="0A967446"/>
    <w:rsid w:val="0ADA7309"/>
    <w:rsid w:val="0B37771E"/>
    <w:rsid w:val="0B3A232A"/>
    <w:rsid w:val="0B92029E"/>
    <w:rsid w:val="0BBD26DB"/>
    <w:rsid w:val="0C061911"/>
    <w:rsid w:val="0C717286"/>
    <w:rsid w:val="0C8B3F0F"/>
    <w:rsid w:val="0D162B03"/>
    <w:rsid w:val="0D4A538B"/>
    <w:rsid w:val="0D957933"/>
    <w:rsid w:val="0DA41150"/>
    <w:rsid w:val="0E2B3D85"/>
    <w:rsid w:val="0E7B6D74"/>
    <w:rsid w:val="0EAB242F"/>
    <w:rsid w:val="0F8D6C97"/>
    <w:rsid w:val="10493F0A"/>
    <w:rsid w:val="122B65C1"/>
    <w:rsid w:val="1264252E"/>
    <w:rsid w:val="133A7582"/>
    <w:rsid w:val="133C3075"/>
    <w:rsid w:val="13592465"/>
    <w:rsid w:val="13611A2A"/>
    <w:rsid w:val="13C606BA"/>
    <w:rsid w:val="13D83B84"/>
    <w:rsid w:val="1414601F"/>
    <w:rsid w:val="141A392E"/>
    <w:rsid w:val="14581FA2"/>
    <w:rsid w:val="14633700"/>
    <w:rsid w:val="147737A7"/>
    <w:rsid w:val="14827BCA"/>
    <w:rsid w:val="14B87D91"/>
    <w:rsid w:val="14F04C17"/>
    <w:rsid w:val="15081ED3"/>
    <w:rsid w:val="15165EFD"/>
    <w:rsid w:val="1556562C"/>
    <w:rsid w:val="156D56CE"/>
    <w:rsid w:val="159267B6"/>
    <w:rsid w:val="161D1882"/>
    <w:rsid w:val="167F145B"/>
    <w:rsid w:val="16A81ADA"/>
    <w:rsid w:val="16C41FE1"/>
    <w:rsid w:val="16E90795"/>
    <w:rsid w:val="174961DA"/>
    <w:rsid w:val="174F1F7C"/>
    <w:rsid w:val="17597E0D"/>
    <w:rsid w:val="176349E4"/>
    <w:rsid w:val="18392471"/>
    <w:rsid w:val="186E369B"/>
    <w:rsid w:val="18951FC7"/>
    <w:rsid w:val="18B06CB8"/>
    <w:rsid w:val="18BF07B6"/>
    <w:rsid w:val="18E170E3"/>
    <w:rsid w:val="18FB5F6E"/>
    <w:rsid w:val="19080508"/>
    <w:rsid w:val="19750DD6"/>
    <w:rsid w:val="19783115"/>
    <w:rsid w:val="198620A5"/>
    <w:rsid w:val="199320F6"/>
    <w:rsid w:val="19996F05"/>
    <w:rsid w:val="1A1D00D5"/>
    <w:rsid w:val="1A331B52"/>
    <w:rsid w:val="1B255937"/>
    <w:rsid w:val="1B7D11A5"/>
    <w:rsid w:val="1BD82076"/>
    <w:rsid w:val="1BED2EA5"/>
    <w:rsid w:val="1BF87562"/>
    <w:rsid w:val="1C230B2D"/>
    <w:rsid w:val="1C996F6B"/>
    <w:rsid w:val="1CEA6453"/>
    <w:rsid w:val="1D0105DB"/>
    <w:rsid w:val="1D217AE8"/>
    <w:rsid w:val="1D5B719B"/>
    <w:rsid w:val="1D691CF6"/>
    <w:rsid w:val="1DC0444F"/>
    <w:rsid w:val="1E3106CF"/>
    <w:rsid w:val="1E5351BE"/>
    <w:rsid w:val="1ECF49F1"/>
    <w:rsid w:val="1F3454C6"/>
    <w:rsid w:val="1F517E9A"/>
    <w:rsid w:val="1F5D6BC7"/>
    <w:rsid w:val="1F6C4AEE"/>
    <w:rsid w:val="1FF9332C"/>
    <w:rsid w:val="2009288A"/>
    <w:rsid w:val="202E2A41"/>
    <w:rsid w:val="209015F8"/>
    <w:rsid w:val="209F2B37"/>
    <w:rsid w:val="212E3565"/>
    <w:rsid w:val="21336370"/>
    <w:rsid w:val="2134647A"/>
    <w:rsid w:val="213B0D30"/>
    <w:rsid w:val="215167E4"/>
    <w:rsid w:val="21543BEE"/>
    <w:rsid w:val="21957187"/>
    <w:rsid w:val="21D50B53"/>
    <w:rsid w:val="21F577EF"/>
    <w:rsid w:val="22067FA4"/>
    <w:rsid w:val="22175379"/>
    <w:rsid w:val="221B322D"/>
    <w:rsid w:val="230509C2"/>
    <w:rsid w:val="234A74A5"/>
    <w:rsid w:val="236E7DAD"/>
    <w:rsid w:val="23CC70D4"/>
    <w:rsid w:val="24267BFD"/>
    <w:rsid w:val="242D70F2"/>
    <w:rsid w:val="249763A0"/>
    <w:rsid w:val="249C4D10"/>
    <w:rsid w:val="24D300E0"/>
    <w:rsid w:val="24F23F2D"/>
    <w:rsid w:val="25273C28"/>
    <w:rsid w:val="25656A25"/>
    <w:rsid w:val="25991012"/>
    <w:rsid w:val="25ED3305"/>
    <w:rsid w:val="260D2BCC"/>
    <w:rsid w:val="262D1358"/>
    <w:rsid w:val="26437E0E"/>
    <w:rsid w:val="26943C3F"/>
    <w:rsid w:val="26965EC8"/>
    <w:rsid w:val="26A33FC0"/>
    <w:rsid w:val="2756117E"/>
    <w:rsid w:val="27E62833"/>
    <w:rsid w:val="280C55E5"/>
    <w:rsid w:val="288E4477"/>
    <w:rsid w:val="28B95567"/>
    <w:rsid w:val="296C5062"/>
    <w:rsid w:val="2A9873BD"/>
    <w:rsid w:val="2A987BB9"/>
    <w:rsid w:val="2AFD66B5"/>
    <w:rsid w:val="2B1C14C3"/>
    <w:rsid w:val="2BA718B4"/>
    <w:rsid w:val="2BAE2C9D"/>
    <w:rsid w:val="2BD3447D"/>
    <w:rsid w:val="2BD6049A"/>
    <w:rsid w:val="2BF44CEF"/>
    <w:rsid w:val="2C6E3168"/>
    <w:rsid w:val="2D187A52"/>
    <w:rsid w:val="2D254D25"/>
    <w:rsid w:val="2D2B28B3"/>
    <w:rsid w:val="2D743811"/>
    <w:rsid w:val="2D751276"/>
    <w:rsid w:val="2D897B5C"/>
    <w:rsid w:val="2DC91B5A"/>
    <w:rsid w:val="2DD172D8"/>
    <w:rsid w:val="2DD57ECD"/>
    <w:rsid w:val="2E0C6EE9"/>
    <w:rsid w:val="2E1267B9"/>
    <w:rsid w:val="2E502466"/>
    <w:rsid w:val="2E931C29"/>
    <w:rsid w:val="2EA944F0"/>
    <w:rsid w:val="2ED51A6E"/>
    <w:rsid w:val="2F1C57A5"/>
    <w:rsid w:val="2F2A48A2"/>
    <w:rsid w:val="2FA7707A"/>
    <w:rsid w:val="2FEA7FA2"/>
    <w:rsid w:val="30091271"/>
    <w:rsid w:val="3019462B"/>
    <w:rsid w:val="306378EA"/>
    <w:rsid w:val="30795E50"/>
    <w:rsid w:val="30C735A9"/>
    <w:rsid w:val="31F9233C"/>
    <w:rsid w:val="32661595"/>
    <w:rsid w:val="328D671D"/>
    <w:rsid w:val="32C06DE2"/>
    <w:rsid w:val="32DB40DB"/>
    <w:rsid w:val="339B7435"/>
    <w:rsid w:val="33B14AD2"/>
    <w:rsid w:val="33E1101F"/>
    <w:rsid w:val="340E6C58"/>
    <w:rsid w:val="34154052"/>
    <w:rsid w:val="34324321"/>
    <w:rsid w:val="349D31D8"/>
    <w:rsid w:val="34A55A3F"/>
    <w:rsid w:val="34CB67DC"/>
    <w:rsid w:val="34D536C4"/>
    <w:rsid w:val="34E95FF5"/>
    <w:rsid w:val="350F4B5F"/>
    <w:rsid w:val="359112A2"/>
    <w:rsid w:val="35A16482"/>
    <w:rsid w:val="35CE143F"/>
    <w:rsid w:val="361D3C18"/>
    <w:rsid w:val="36503A40"/>
    <w:rsid w:val="368E0EDE"/>
    <w:rsid w:val="36DA37D0"/>
    <w:rsid w:val="36DF7A21"/>
    <w:rsid w:val="36F40FE9"/>
    <w:rsid w:val="371549D7"/>
    <w:rsid w:val="37DE4003"/>
    <w:rsid w:val="37DF419C"/>
    <w:rsid w:val="37F90F6A"/>
    <w:rsid w:val="387144D5"/>
    <w:rsid w:val="38B45EFC"/>
    <w:rsid w:val="38D036A4"/>
    <w:rsid w:val="38D17E87"/>
    <w:rsid w:val="38EA21D0"/>
    <w:rsid w:val="38F723B6"/>
    <w:rsid w:val="39237904"/>
    <w:rsid w:val="39792C93"/>
    <w:rsid w:val="39841BE4"/>
    <w:rsid w:val="3AAE5E82"/>
    <w:rsid w:val="3AE97D6B"/>
    <w:rsid w:val="3B09701F"/>
    <w:rsid w:val="3B340E52"/>
    <w:rsid w:val="3B575F99"/>
    <w:rsid w:val="3B7148FD"/>
    <w:rsid w:val="3B8E3C6C"/>
    <w:rsid w:val="3C1C5FDB"/>
    <w:rsid w:val="3C3D3FCD"/>
    <w:rsid w:val="3C56293E"/>
    <w:rsid w:val="3C6D7B72"/>
    <w:rsid w:val="3C967255"/>
    <w:rsid w:val="3CD61F9A"/>
    <w:rsid w:val="3D457CC8"/>
    <w:rsid w:val="3D5C50E1"/>
    <w:rsid w:val="3E046DF3"/>
    <w:rsid w:val="3E4A7D54"/>
    <w:rsid w:val="3E50419B"/>
    <w:rsid w:val="3E544A2D"/>
    <w:rsid w:val="3E9D780F"/>
    <w:rsid w:val="3F570499"/>
    <w:rsid w:val="3FDD0071"/>
    <w:rsid w:val="40871F18"/>
    <w:rsid w:val="408F2C22"/>
    <w:rsid w:val="40B4201E"/>
    <w:rsid w:val="40B4502A"/>
    <w:rsid w:val="40D00173"/>
    <w:rsid w:val="41132993"/>
    <w:rsid w:val="41C77480"/>
    <w:rsid w:val="41DD49C0"/>
    <w:rsid w:val="4260727A"/>
    <w:rsid w:val="428141CF"/>
    <w:rsid w:val="42D11E1F"/>
    <w:rsid w:val="42ED6ACA"/>
    <w:rsid w:val="431D644D"/>
    <w:rsid w:val="43685E08"/>
    <w:rsid w:val="43DD3193"/>
    <w:rsid w:val="440C105E"/>
    <w:rsid w:val="446308DB"/>
    <w:rsid w:val="44A83992"/>
    <w:rsid w:val="44D74C5B"/>
    <w:rsid w:val="458F0A67"/>
    <w:rsid w:val="459044BE"/>
    <w:rsid w:val="459907ED"/>
    <w:rsid w:val="45FC1F89"/>
    <w:rsid w:val="46447AD0"/>
    <w:rsid w:val="4667667C"/>
    <w:rsid w:val="46CE47FB"/>
    <w:rsid w:val="46FE1966"/>
    <w:rsid w:val="47297854"/>
    <w:rsid w:val="47AD1197"/>
    <w:rsid w:val="47BF356A"/>
    <w:rsid w:val="47ED349E"/>
    <w:rsid w:val="48127EBE"/>
    <w:rsid w:val="48C40DA6"/>
    <w:rsid w:val="48D30C8F"/>
    <w:rsid w:val="48DE1DCA"/>
    <w:rsid w:val="48EE5384"/>
    <w:rsid w:val="48F93679"/>
    <w:rsid w:val="493E0515"/>
    <w:rsid w:val="49665DCB"/>
    <w:rsid w:val="498C5E4B"/>
    <w:rsid w:val="49974E74"/>
    <w:rsid w:val="4A0E2871"/>
    <w:rsid w:val="4A4B552C"/>
    <w:rsid w:val="4A4D2829"/>
    <w:rsid w:val="4A785C33"/>
    <w:rsid w:val="4A7D13BA"/>
    <w:rsid w:val="4AAE72B9"/>
    <w:rsid w:val="4AED40D1"/>
    <w:rsid w:val="4B613D8A"/>
    <w:rsid w:val="4BDA24DF"/>
    <w:rsid w:val="4C1A3E9F"/>
    <w:rsid w:val="4C347DEE"/>
    <w:rsid w:val="4C68185E"/>
    <w:rsid w:val="4C98047F"/>
    <w:rsid w:val="4CA91531"/>
    <w:rsid w:val="4CC170FC"/>
    <w:rsid w:val="4D18297E"/>
    <w:rsid w:val="4D291759"/>
    <w:rsid w:val="4D757618"/>
    <w:rsid w:val="4E825788"/>
    <w:rsid w:val="4E8A6CA3"/>
    <w:rsid w:val="4E9F52AD"/>
    <w:rsid w:val="4EAA6492"/>
    <w:rsid w:val="4F9010E9"/>
    <w:rsid w:val="4FF765D1"/>
    <w:rsid w:val="50106576"/>
    <w:rsid w:val="50345C2D"/>
    <w:rsid w:val="50677BFC"/>
    <w:rsid w:val="50F77B32"/>
    <w:rsid w:val="51373F3D"/>
    <w:rsid w:val="517E7C7E"/>
    <w:rsid w:val="518547B6"/>
    <w:rsid w:val="519F44C2"/>
    <w:rsid w:val="51AD6F1E"/>
    <w:rsid w:val="523E55B6"/>
    <w:rsid w:val="52AD0B16"/>
    <w:rsid w:val="52DF5542"/>
    <w:rsid w:val="52F7398F"/>
    <w:rsid w:val="5492580D"/>
    <w:rsid w:val="54A309A3"/>
    <w:rsid w:val="54B56A54"/>
    <w:rsid w:val="558001AF"/>
    <w:rsid w:val="558D66D2"/>
    <w:rsid w:val="55AE7DE8"/>
    <w:rsid w:val="55AF41F5"/>
    <w:rsid w:val="55DD401C"/>
    <w:rsid w:val="55FB7588"/>
    <w:rsid w:val="56530A5B"/>
    <w:rsid w:val="56DB50A6"/>
    <w:rsid w:val="57562B24"/>
    <w:rsid w:val="57B448C9"/>
    <w:rsid w:val="57D256C3"/>
    <w:rsid w:val="57FF690C"/>
    <w:rsid w:val="581B40F7"/>
    <w:rsid w:val="58565344"/>
    <w:rsid w:val="58667ACD"/>
    <w:rsid w:val="58695F8B"/>
    <w:rsid w:val="589543F5"/>
    <w:rsid w:val="593E4154"/>
    <w:rsid w:val="59401A11"/>
    <w:rsid w:val="59423AF1"/>
    <w:rsid w:val="59C51903"/>
    <w:rsid w:val="59E00D64"/>
    <w:rsid w:val="5A361162"/>
    <w:rsid w:val="5A4E05A7"/>
    <w:rsid w:val="5A6D49B6"/>
    <w:rsid w:val="5A9864B3"/>
    <w:rsid w:val="5B282082"/>
    <w:rsid w:val="5B4422DB"/>
    <w:rsid w:val="5B7075D7"/>
    <w:rsid w:val="5B863BCB"/>
    <w:rsid w:val="5BA07BB6"/>
    <w:rsid w:val="5BA3057C"/>
    <w:rsid w:val="5BBE35F6"/>
    <w:rsid w:val="5C3E5A4E"/>
    <w:rsid w:val="5CFB63ED"/>
    <w:rsid w:val="5D0C73DB"/>
    <w:rsid w:val="5D1E4502"/>
    <w:rsid w:val="5D273630"/>
    <w:rsid w:val="5D603CFB"/>
    <w:rsid w:val="5D707A1D"/>
    <w:rsid w:val="5D7B64A1"/>
    <w:rsid w:val="5DD65B4C"/>
    <w:rsid w:val="5E812F4F"/>
    <w:rsid w:val="5E9D2493"/>
    <w:rsid w:val="5EB3743D"/>
    <w:rsid w:val="5ED30E67"/>
    <w:rsid w:val="5EFB6C0F"/>
    <w:rsid w:val="5F0510AD"/>
    <w:rsid w:val="5F060FB7"/>
    <w:rsid w:val="5F2B66BC"/>
    <w:rsid w:val="5F402988"/>
    <w:rsid w:val="5F5348CD"/>
    <w:rsid w:val="5F607FA6"/>
    <w:rsid w:val="5FC957A3"/>
    <w:rsid w:val="5FDE2627"/>
    <w:rsid w:val="60165A67"/>
    <w:rsid w:val="60435494"/>
    <w:rsid w:val="60AB1BEE"/>
    <w:rsid w:val="60B51A76"/>
    <w:rsid w:val="61456042"/>
    <w:rsid w:val="615E5718"/>
    <w:rsid w:val="61705B21"/>
    <w:rsid w:val="61731D75"/>
    <w:rsid w:val="61845E20"/>
    <w:rsid w:val="618D0E1A"/>
    <w:rsid w:val="619C1CA6"/>
    <w:rsid w:val="61AC4109"/>
    <w:rsid w:val="61F85938"/>
    <w:rsid w:val="61FF653E"/>
    <w:rsid w:val="625F350F"/>
    <w:rsid w:val="629D1B22"/>
    <w:rsid w:val="62FC7518"/>
    <w:rsid w:val="63050313"/>
    <w:rsid w:val="630B138C"/>
    <w:rsid w:val="631D3EFA"/>
    <w:rsid w:val="632B4C04"/>
    <w:rsid w:val="63364B4C"/>
    <w:rsid w:val="63637DD7"/>
    <w:rsid w:val="639C65AB"/>
    <w:rsid w:val="63B321AB"/>
    <w:rsid w:val="63CE30A4"/>
    <w:rsid w:val="63E8055D"/>
    <w:rsid w:val="63F05C52"/>
    <w:rsid w:val="64AD138F"/>
    <w:rsid w:val="64BA0E02"/>
    <w:rsid w:val="64FC4735"/>
    <w:rsid w:val="651C46B8"/>
    <w:rsid w:val="65311886"/>
    <w:rsid w:val="65502555"/>
    <w:rsid w:val="65520F7C"/>
    <w:rsid w:val="65771F5A"/>
    <w:rsid w:val="65901E03"/>
    <w:rsid w:val="667629CA"/>
    <w:rsid w:val="668101EB"/>
    <w:rsid w:val="66B8521A"/>
    <w:rsid w:val="66F918C9"/>
    <w:rsid w:val="676476D8"/>
    <w:rsid w:val="678154B0"/>
    <w:rsid w:val="68211B85"/>
    <w:rsid w:val="68560087"/>
    <w:rsid w:val="687F004A"/>
    <w:rsid w:val="68BA3798"/>
    <w:rsid w:val="68DC7583"/>
    <w:rsid w:val="68F105A4"/>
    <w:rsid w:val="690D0368"/>
    <w:rsid w:val="69EC2952"/>
    <w:rsid w:val="69F4791E"/>
    <w:rsid w:val="6A47529D"/>
    <w:rsid w:val="6A6A50DD"/>
    <w:rsid w:val="6AF61310"/>
    <w:rsid w:val="6AFF1193"/>
    <w:rsid w:val="6B225547"/>
    <w:rsid w:val="6B263DBA"/>
    <w:rsid w:val="6B413A50"/>
    <w:rsid w:val="6B5F1F9E"/>
    <w:rsid w:val="6B6D3148"/>
    <w:rsid w:val="6BDE614C"/>
    <w:rsid w:val="6BE22727"/>
    <w:rsid w:val="6C0040EC"/>
    <w:rsid w:val="6C0A4B24"/>
    <w:rsid w:val="6C147972"/>
    <w:rsid w:val="6C4F64A4"/>
    <w:rsid w:val="6C640C01"/>
    <w:rsid w:val="6C810D4A"/>
    <w:rsid w:val="6CAE0116"/>
    <w:rsid w:val="6CAF086C"/>
    <w:rsid w:val="6CD771B7"/>
    <w:rsid w:val="6D4122F7"/>
    <w:rsid w:val="6D574D6B"/>
    <w:rsid w:val="6D641EB9"/>
    <w:rsid w:val="6D6A3DA9"/>
    <w:rsid w:val="6D9B23AC"/>
    <w:rsid w:val="6DA52666"/>
    <w:rsid w:val="6DB0368A"/>
    <w:rsid w:val="6E442FF4"/>
    <w:rsid w:val="6E6A435F"/>
    <w:rsid w:val="6EF56351"/>
    <w:rsid w:val="6F343FCD"/>
    <w:rsid w:val="6F5632F9"/>
    <w:rsid w:val="6F593876"/>
    <w:rsid w:val="6F643911"/>
    <w:rsid w:val="6F6D24C1"/>
    <w:rsid w:val="6FB45A58"/>
    <w:rsid w:val="6FB71515"/>
    <w:rsid w:val="707E77DD"/>
    <w:rsid w:val="716A72F3"/>
    <w:rsid w:val="71805BCB"/>
    <w:rsid w:val="71A46547"/>
    <w:rsid w:val="72226A91"/>
    <w:rsid w:val="72815C13"/>
    <w:rsid w:val="73654805"/>
    <w:rsid w:val="73BA01A0"/>
    <w:rsid w:val="73D81B5D"/>
    <w:rsid w:val="745A5C35"/>
    <w:rsid w:val="74FA7A83"/>
    <w:rsid w:val="75A769E0"/>
    <w:rsid w:val="75FB1AD5"/>
    <w:rsid w:val="762411EC"/>
    <w:rsid w:val="76911B4D"/>
    <w:rsid w:val="76977A33"/>
    <w:rsid w:val="76BB0CFC"/>
    <w:rsid w:val="76E87B64"/>
    <w:rsid w:val="776D2CC4"/>
    <w:rsid w:val="77AF078E"/>
    <w:rsid w:val="77EC0CA0"/>
    <w:rsid w:val="781077BF"/>
    <w:rsid w:val="782F0227"/>
    <w:rsid w:val="78397A44"/>
    <w:rsid w:val="78887365"/>
    <w:rsid w:val="789C2226"/>
    <w:rsid w:val="78CC4196"/>
    <w:rsid w:val="78DF200C"/>
    <w:rsid w:val="78F92F7D"/>
    <w:rsid w:val="791B59B6"/>
    <w:rsid w:val="7927654F"/>
    <w:rsid w:val="794851E5"/>
    <w:rsid w:val="794F7F35"/>
    <w:rsid w:val="79B832CB"/>
    <w:rsid w:val="79F628A4"/>
    <w:rsid w:val="7A1A522E"/>
    <w:rsid w:val="7A2B2683"/>
    <w:rsid w:val="7A482E43"/>
    <w:rsid w:val="7A686D7F"/>
    <w:rsid w:val="7A9E561B"/>
    <w:rsid w:val="7ABD69E5"/>
    <w:rsid w:val="7BCB12F8"/>
    <w:rsid w:val="7BF62D7B"/>
    <w:rsid w:val="7C0F0429"/>
    <w:rsid w:val="7C7C0782"/>
    <w:rsid w:val="7D066453"/>
    <w:rsid w:val="7D196BB9"/>
    <w:rsid w:val="7D460C55"/>
    <w:rsid w:val="7D4C3F14"/>
    <w:rsid w:val="7D6A6C42"/>
    <w:rsid w:val="7DC86EB2"/>
    <w:rsid w:val="7DFA334B"/>
    <w:rsid w:val="7E015CAC"/>
    <w:rsid w:val="7E1572BA"/>
    <w:rsid w:val="7E456548"/>
    <w:rsid w:val="7EF1633B"/>
    <w:rsid w:val="7F335396"/>
    <w:rsid w:val="7F782E97"/>
    <w:rsid w:val="7F8B766A"/>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6">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7">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8">
    <w:name w:val="heading 3"/>
    <w:basedOn w:val="1"/>
    <w:next w:val="1"/>
    <w:link w:val="39"/>
    <w:qFormat/>
    <w:uiPriority w:val="99"/>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5"/>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5">
    <w:name w:val="List"/>
    <w:qFormat/>
    <w:uiPriority w:val="0"/>
    <w:pPr>
      <w:widowControl w:val="0"/>
      <w:spacing w:line="360" w:lineRule="auto"/>
      <w:ind w:left="420" w:hanging="420"/>
      <w:jc w:val="both"/>
    </w:pPr>
    <w:rPr>
      <w:rFonts w:ascii="Arial" w:hAnsi="Arial" w:eastAsia="楷体_GB2312" w:cstheme="minorBidi"/>
      <w:kern w:val="2"/>
      <w:sz w:val="28"/>
      <w:szCs w:val="22"/>
      <w:lang w:val="en-US" w:eastAsia="zh-CN" w:bidi="ar-SA"/>
    </w:rPr>
  </w:style>
  <w:style w:type="paragraph" w:styleId="9">
    <w:name w:val="Normal Indent"/>
    <w:basedOn w:val="1"/>
    <w:qFormat/>
    <w:uiPriority w:val="0"/>
    <w:pPr>
      <w:autoSpaceDE/>
      <w:autoSpaceDN/>
      <w:adjustRightInd/>
      <w:ind w:firstLine="420"/>
    </w:pPr>
    <w:rPr>
      <w:color w:val="auto"/>
      <w:kern w:val="2"/>
      <w:szCs w:val="20"/>
    </w:rPr>
  </w:style>
  <w:style w:type="paragraph" w:styleId="10">
    <w:name w:val="Body Text"/>
    <w:basedOn w:val="1"/>
    <w:next w:val="11"/>
    <w:qFormat/>
    <w:uiPriority w:val="99"/>
    <w:pPr>
      <w:spacing w:after="120"/>
    </w:pPr>
    <w:rPr>
      <w:szCs w:val="24"/>
    </w:rPr>
  </w:style>
  <w:style w:type="paragraph" w:customStyle="1" w:styleId="11">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12">
    <w:name w:val="Plain Text"/>
    <w:basedOn w:val="1"/>
    <w:qFormat/>
    <w:uiPriority w:val="99"/>
    <w:rPr>
      <w:rFonts w:ascii="宋体" w:hAnsi="Courier New"/>
      <w:szCs w:val="22"/>
    </w:rPr>
  </w:style>
  <w:style w:type="paragraph" w:styleId="13">
    <w:name w:val="Date"/>
    <w:basedOn w:val="1"/>
    <w:next w:val="1"/>
    <w:qFormat/>
    <w:uiPriority w:val="99"/>
    <w:rPr>
      <w:rFonts w:ascii="Arial" w:hAnsi="Arial" w:eastAsia="楷体_GB2312"/>
      <w:sz w:val="2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w:basedOn w:val="10"/>
    <w:qFormat/>
    <w:uiPriority w:val="0"/>
    <w:pPr>
      <w:spacing w:line="400" w:lineRule="atLeast"/>
      <w:ind w:firstLine="426"/>
    </w:pPr>
    <w:rPr>
      <w:rFonts w:ascii="Times New Roman" w:hAnsi="Times New Roman"/>
      <w:sz w:val="24"/>
      <w:szCs w:val="20"/>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basedOn w:val="20"/>
    <w:qFormat/>
    <w:uiPriority w:val="0"/>
  </w:style>
  <w:style w:type="character" w:styleId="23">
    <w:name w:val="FollowedHyperlink"/>
    <w:basedOn w:val="20"/>
    <w:qFormat/>
    <w:uiPriority w:val="0"/>
    <w:rPr>
      <w:color w:val="4C4C4C"/>
      <w:u w:val="none"/>
    </w:rPr>
  </w:style>
  <w:style w:type="character" w:styleId="24">
    <w:name w:val="Emphasis"/>
    <w:basedOn w:val="20"/>
    <w:qFormat/>
    <w:uiPriority w:val="0"/>
  </w:style>
  <w:style w:type="character" w:styleId="25">
    <w:name w:val="HTML Definition"/>
    <w:basedOn w:val="20"/>
    <w:qFormat/>
    <w:uiPriority w:val="0"/>
  </w:style>
  <w:style w:type="character" w:styleId="26">
    <w:name w:val="HTML Variable"/>
    <w:basedOn w:val="20"/>
    <w:qFormat/>
    <w:uiPriority w:val="0"/>
  </w:style>
  <w:style w:type="character" w:styleId="27">
    <w:name w:val="Hyperlink"/>
    <w:qFormat/>
    <w:uiPriority w:val="0"/>
    <w:rPr>
      <w:color w:val="0000FF"/>
      <w:u w:val="single"/>
    </w:rPr>
  </w:style>
  <w:style w:type="character" w:styleId="28">
    <w:name w:val="HTML Code"/>
    <w:basedOn w:val="20"/>
    <w:qFormat/>
    <w:uiPriority w:val="0"/>
    <w:rPr>
      <w:rFonts w:hint="default" w:ascii="serif" w:hAnsi="serif" w:eastAsia="serif" w:cs="serif"/>
      <w:sz w:val="21"/>
      <w:szCs w:val="21"/>
    </w:rPr>
  </w:style>
  <w:style w:type="character" w:styleId="29">
    <w:name w:val="HTML Cite"/>
    <w:basedOn w:val="20"/>
    <w:qFormat/>
    <w:uiPriority w:val="0"/>
  </w:style>
  <w:style w:type="character" w:styleId="30">
    <w:name w:val="HTML Keyboard"/>
    <w:basedOn w:val="20"/>
    <w:qFormat/>
    <w:uiPriority w:val="0"/>
    <w:rPr>
      <w:rFonts w:ascii="serif" w:hAnsi="serif" w:eastAsia="serif" w:cs="serif"/>
      <w:sz w:val="21"/>
      <w:szCs w:val="21"/>
    </w:rPr>
  </w:style>
  <w:style w:type="character" w:styleId="31">
    <w:name w:val="HTML Sample"/>
    <w:basedOn w:val="20"/>
    <w:qFormat/>
    <w:uiPriority w:val="0"/>
    <w:rPr>
      <w:rFonts w:hint="default" w:ascii="serif" w:hAnsi="serif" w:eastAsia="serif" w:cs="serif"/>
      <w:sz w:val="21"/>
      <w:szCs w:val="21"/>
    </w:rPr>
  </w:style>
  <w:style w:type="paragraph" w:customStyle="1" w:styleId="32">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3">
    <w:name w:val="WPSOffice手动目录 1"/>
    <w:qFormat/>
    <w:uiPriority w:val="0"/>
    <w:pPr>
      <w:ind w:leftChars="0"/>
    </w:pPr>
    <w:rPr>
      <w:rFonts w:ascii="Times New Roman" w:hAnsi="Times New Roman" w:eastAsia="宋体" w:cs="Times New Roman"/>
      <w:sz w:val="20"/>
      <w:szCs w:val="20"/>
    </w:rPr>
  </w:style>
  <w:style w:type="paragraph" w:customStyle="1" w:styleId="34">
    <w:name w:val="D&amp;L"/>
    <w:basedOn w:val="15"/>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6">
    <w:name w:val="Char"/>
    <w:basedOn w:val="1"/>
    <w:qFormat/>
    <w:uiPriority w:val="99"/>
    <w:rPr>
      <w:rFonts w:ascii="Tahoma" w:hAnsi="Tahoma"/>
      <w:sz w:val="24"/>
    </w:rPr>
  </w:style>
  <w:style w:type="paragraph" w:customStyle="1" w:styleId="37">
    <w:name w:val="样式 标题 2 + 宋体 五号 行距: 单倍行距"/>
    <w:basedOn w:val="7"/>
    <w:qFormat/>
    <w:uiPriority w:val="99"/>
    <w:pPr>
      <w:spacing w:line="240" w:lineRule="auto"/>
    </w:pPr>
    <w:rPr>
      <w:rFonts w:ascii="宋体" w:hAnsi="宋体" w:eastAsia="宋体"/>
      <w:sz w:val="21"/>
    </w:rPr>
  </w:style>
  <w:style w:type="paragraph" w:customStyle="1" w:styleId="38">
    <w:name w:val="Char Char Char Char Char Char Char1 Char"/>
    <w:basedOn w:val="1"/>
    <w:qFormat/>
    <w:uiPriority w:val="99"/>
    <w:rPr>
      <w:rFonts w:ascii="Tahoma" w:hAnsi="Tahoma"/>
      <w:sz w:val="24"/>
    </w:rPr>
  </w:style>
  <w:style w:type="character" w:customStyle="1" w:styleId="39">
    <w:name w:val="标题 3 Char"/>
    <w:basedOn w:val="20"/>
    <w:link w:val="8"/>
    <w:qFormat/>
    <w:locked/>
    <w:uiPriority w:val="99"/>
    <w:rPr>
      <w:b/>
      <w:bCs/>
      <w:sz w:val="32"/>
      <w:szCs w:val="32"/>
    </w:rPr>
  </w:style>
  <w:style w:type="paragraph" w:customStyle="1" w:styleId="4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List Paragraph"/>
    <w:basedOn w:val="1"/>
    <w:unhideWhenUsed/>
    <w:qFormat/>
    <w:uiPriority w:val="99"/>
    <w:pPr>
      <w:ind w:firstLine="420" w:firstLineChars="200"/>
    </w:pPr>
    <w:rPr>
      <w:rFonts w:ascii="Calibri" w:hAnsi="Calibri"/>
      <w:szCs w:val="22"/>
    </w:rPr>
  </w:style>
  <w:style w:type="paragraph" w:customStyle="1" w:styleId="42">
    <w:name w:val="Table Paragraph"/>
    <w:basedOn w:val="1"/>
    <w:qFormat/>
    <w:uiPriority w:val="1"/>
  </w:style>
  <w:style w:type="paragraph" w:customStyle="1" w:styleId="43">
    <w:name w:val="_Style 1"/>
    <w:basedOn w:val="1"/>
    <w:qFormat/>
    <w:uiPriority w:val="0"/>
    <w:pPr>
      <w:ind w:firstLine="420" w:firstLineChars="200"/>
    </w:pPr>
    <w:rPr>
      <w:rFonts w:ascii="Calibri" w:hAnsi="Calibri"/>
      <w:szCs w:val="22"/>
    </w:rPr>
  </w:style>
  <w:style w:type="character" w:customStyle="1" w:styleId="44">
    <w:name w:val="fontborder"/>
    <w:basedOn w:val="20"/>
    <w:qFormat/>
    <w:uiPriority w:val="0"/>
    <w:rPr>
      <w:bdr w:val="single" w:color="000000" w:sz="6" w:space="0"/>
    </w:rPr>
  </w:style>
  <w:style w:type="character" w:customStyle="1" w:styleId="45">
    <w:name w:val="fontstrikethrough"/>
    <w:basedOn w:val="20"/>
    <w:qFormat/>
    <w:uiPriority w:val="0"/>
    <w:rPr>
      <w:strike/>
    </w:rPr>
  </w:style>
  <w:style w:type="character" w:customStyle="1" w:styleId="46">
    <w:name w:val="font11"/>
    <w:basedOn w:val="20"/>
    <w:qFormat/>
    <w:uiPriority w:val="0"/>
    <w:rPr>
      <w:rFonts w:hint="eastAsia" w:ascii="宋体" w:hAnsi="宋体" w:eastAsia="宋体" w:cs="宋体"/>
      <w:b/>
      <w:color w:val="000000"/>
      <w:sz w:val="18"/>
      <w:szCs w:val="18"/>
      <w:u w:val="none"/>
    </w:rPr>
  </w:style>
  <w:style w:type="character" w:customStyle="1" w:styleId="47">
    <w:name w:val="font61"/>
    <w:basedOn w:val="20"/>
    <w:qFormat/>
    <w:uiPriority w:val="0"/>
    <w:rPr>
      <w:rFonts w:hint="eastAsia" w:ascii="宋体" w:hAnsi="宋体" w:eastAsia="宋体" w:cs="宋体"/>
      <w:color w:val="000000"/>
      <w:sz w:val="18"/>
      <w:szCs w:val="18"/>
      <w:u w:val="none"/>
    </w:rPr>
  </w:style>
  <w:style w:type="character" w:customStyle="1" w:styleId="48">
    <w:name w:val="font01"/>
    <w:basedOn w:val="20"/>
    <w:qFormat/>
    <w:uiPriority w:val="0"/>
    <w:rPr>
      <w:rFonts w:hint="eastAsia" w:ascii="宋体" w:hAnsi="宋体" w:eastAsia="宋体" w:cs="宋体"/>
      <w:b/>
      <w:color w:val="000000"/>
      <w:sz w:val="18"/>
      <w:szCs w:val="18"/>
      <w:u w:val="none"/>
    </w:rPr>
  </w:style>
  <w:style w:type="character" w:customStyle="1" w:styleId="49">
    <w:name w:val="font51"/>
    <w:basedOn w:val="20"/>
    <w:qFormat/>
    <w:uiPriority w:val="0"/>
    <w:rPr>
      <w:rFonts w:hint="eastAsia" w:ascii="宋体" w:hAnsi="宋体" w:eastAsia="宋体" w:cs="宋体"/>
      <w:color w:val="000000"/>
      <w:sz w:val="18"/>
      <w:szCs w:val="18"/>
      <w:u w:val="none"/>
    </w:rPr>
  </w:style>
  <w:style w:type="paragraph" w:customStyle="1" w:styleId="50">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1">
    <w:name w:val="font71"/>
    <w:basedOn w:val="20"/>
    <w:qFormat/>
    <w:uiPriority w:val="0"/>
    <w:rPr>
      <w:rFonts w:hint="default" w:ascii="瀹嬩綋" w:hAnsi="瀹嬩綋" w:eastAsia="瀹嬩綋" w:cs="瀹嬩綋"/>
      <w:color w:val="888888"/>
      <w:sz w:val="21"/>
      <w:szCs w:val="21"/>
      <w:u w:val="none"/>
    </w:rPr>
  </w:style>
  <w:style w:type="character" w:customStyle="1" w:styleId="52">
    <w:name w:val="font91"/>
    <w:basedOn w:val="20"/>
    <w:qFormat/>
    <w:uiPriority w:val="0"/>
    <w:rPr>
      <w:rFonts w:hint="eastAsia" w:ascii="宋体" w:hAnsi="宋体" w:eastAsia="宋体" w:cs="宋体"/>
      <w:color w:val="000000"/>
      <w:sz w:val="20"/>
      <w:szCs w:val="20"/>
      <w:u w:val="none"/>
    </w:rPr>
  </w:style>
  <w:style w:type="character" w:customStyle="1" w:styleId="53">
    <w:name w:val="font31"/>
    <w:basedOn w:val="2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16</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有为</cp:lastModifiedBy>
  <cp:lastPrinted>2021-04-06T04:06:00Z</cp:lastPrinted>
  <dcterms:modified xsi:type="dcterms:W3CDTF">2021-04-23T08:27:25Z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0637A2BF554242B2AA7E1FC3249303DA</vt:lpwstr>
  </property>
</Properties>
</file>