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ind w:left="0" w:leftChars="0" w:firstLine="0" w:firstLineChars="0"/>
        <w:jc w:val="center"/>
        <w:rPr>
          <w:rFonts w:hint="eastAsia" w:ascii="宋体" w:hAnsi="宋体"/>
          <w:b/>
          <w:bCs/>
          <w:color w:val="auto"/>
          <w:sz w:val="52"/>
          <w:szCs w:val="52"/>
          <w:lang w:val="en-US" w:eastAsia="zh-CN"/>
        </w:rPr>
      </w:pPr>
    </w:p>
    <w:p>
      <w:pPr>
        <w:pStyle w:val="17"/>
        <w:ind w:left="0" w:leftChars="0" w:firstLine="0" w:firstLineChars="0"/>
        <w:jc w:val="center"/>
        <w:rPr>
          <w:rFonts w:hint="eastAsia" w:ascii="宋体" w:hAnsi="宋体"/>
          <w:b/>
          <w:bCs/>
          <w:color w:val="auto"/>
          <w:sz w:val="52"/>
          <w:szCs w:val="52"/>
        </w:rPr>
      </w:pPr>
      <w:r>
        <w:rPr>
          <w:rFonts w:hint="eastAsia" w:ascii="宋体" w:hAnsi="宋体"/>
          <w:b/>
          <w:bCs/>
          <w:color w:val="auto"/>
          <w:sz w:val="52"/>
          <w:szCs w:val="52"/>
          <w:lang w:val="en-US" w:eastAsia="zh-CN"/>
        </w:rPr>
        <w:t>政府</w:t>
      </w:r>
      <w:r>
        <w:rPr>
          <w:rFonts w:hint="eastAsia" w:ascii="宋体" w:hAnsi="宋体"/>
          <w:b/>
          <w:bCs/>
          <w:color w:val="auto"/>
          <w:sz w:val="52"/>
          <w:szCs w:val="52"/>
        </w:rPr>
        <w:t>采购</w:t>
      </w:r>
      <w:r>
        <w:rPr>
          <w:rFonts w:hint="eastAsia" w:ascii="宋体" w:hAnsi="宋体"/>
          <w:b/>
          <w:bCs/>
          <w:color w:val="auto"/>
          <w:sz w:val="52"/>
          <w:szCs w:val="52"/>
          <w:lang w:eastAsia="zh-CN"/>
        </w:rPr>
        <w:t>询价</w:t>
      </w:r>
      <w:r>
        <w:rPr>
          <w:rFonts w:hint="eastAsia" w:ascii="宋体" w:hAnsi="宋体"/>
          <w:b/>
          <w:bCs/>
          <w:color w:val="auto"/>
          <w:sz w:val="52"/>
          <w:szCs w:val="52"/>
        </w:rPr>
        <w:t>文件</w:t>
      </w:r>
    </w:p>
    <w:p>
      <w:pPr>
        <w:pStyle w:val="17"/>
        <w:ind w:left="0" w:leftChars="0" w:firstLine="0" w:firstLineChars="0"/>
        <w:jc w:val="center"/>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pStyle w:val="17"/>
        <w:ind w:left="0" w:leftChars="0" w:firstLine="0" w:firstLineChars="0"/>
        <w:jc w:val="center"/>
        <w:rPr>
          <w:rFonts w:hint="eastAsia" w:ascii="宋体" w:hAnsi="宋体"/>
          <w:b/>
          <w:bCs/>
          <w:color w:val="auto"/>
          <w:sz w:val="52"/>
          <w:szCs w:val="52"/>
          <w:lang w:eastAsia="zh-CN"/>
        </w:rPr>
      </w:pPr>
    </w:p>
    <w:p>
      <w:pPr>
        <w:pStyle w:val="17"/>
        <w:ind w:left="0" w:leftChars="0" w:firstLine="0" w:firstLineChars="0"/>
        <w:jc w:val="center"/>
        <w:rPr>
          <w:rFonts w:hint="eastAsia" w:ascii="宋体" w:hAnsi="宋体"/>
          <w:b/>
          <w:bCs/>
          <w:color w:val="auto"/>
          <w:sz w:val="52"/>
          <w:szCs w:val="52"/>
          <w:lang w:eastAsia="zh-CN"/>
        </w:rPr>
      </w:pPr>
    </w:p>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1647825" cy="93345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rcRect b="3922"/>
                    <a:stretch>
                      <a:fillRect/>
                    </a:stretch>
                  </pic:blipFill>
                  <pic:spPr>
                    <a:xfrm>
                      <a:off x="0" y="0"/>
                      <a:ext cx="1647825" cy="933450"/>
                    </a:xfrm>
                    <a:prstGeom prst="rect">
                      <a:avLst/>
                    </a:prstGeom>
                    <a:noFill/>
                    <a:ln w="9525">
                      <a:noFill/>
                    </a:ln>
                  </pic:spPr>
                </pic:pic>
              </a:graphicData>
            </a:graphic>
          </wp:inline>
        </w:drawing>
      </w:r>
    </w:p>
    <w:p>
      <w:pPr>
        <w:pStyle w:val="17"/>
        <w:jc w:val="center"/>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40"/>
          <w:szCs w:val="40"/>
        </w:rPr>
      </w:pPr>
      <w:r>
        <w:rPr>
          <w:rFonts w:hint="eastAsia" w:ascii="宋体" w:hAnsi="等线" w:eastAsia="宋体" w:cs="Times New Roman"/>
          <w:b/>
          <w:bCs/>
          <w:color w:val="auto"/>
          <w:spacing w:val="20"/>
          <w:kern w:val="0"/>
          <w:sz w:val="40"/>
          <w:szCs w:val="40"/>
        </w:rPr>
        <w:fldChar w:fldCharType="begin"/>
      </w:r>
      <w:r>
        <w:rPr>
          <w:rFonts w:hint="eastAsia" w:ascii="宋体" w:hAnsi="等线" w:eastAsia="宋体" w:cs="Times New Roman"/>
          <w:b/>
          <w:bCs/>
          <w:color w:val="auto"/>
          <w:spacing w:val="20"/>
          <w:kern w:val="0"/>
          <w:sz w:val="40"/>
          <w:szCs w:val="40"/>
        </w:rPr>
        <w:instrText xml:space="preserve"> HYPERLINK "http://www.ahdmig.cn/?tdsourcetag=s_pcqq_aiomsg" </w:instrText>
      </w:r>
      <w:r>
        <w:rPr>
          <w:rFonts w:hint="eastAsia" w:ascii="宋体" w:hAnsi="等线" w:eastAsia="宋体" w:cs="Times New Roman"/>
          <w:b/>
          <w:bCs/>
          <w:color w:val="auto"/>
          <w:spacing w:val="20"/>
          <w:kern w:val="0"/>
          <w:sz w:val="40"/>
          <w:szCs w:val="40"/>
        </w:rPr>
        <w:fldChar w:fldCharType="separate"/>
      </w:r>
      <w:r>
        <w:rPr>
          <w:rFonts w:hint="eastAsia" w:ascii="宋体" w:hAnsi="等线" w:eastAsia="宋体" w:cs="Times New Roman"/>
          <w:b/>
          <w:bCs/>
          <w:color w:val="auto"/>
          <w:spacing w:val="20"/>
          <w:kern w:val="0"/>
          <w:sz w:val="40"/>
          <w:szCs w:val="40"/>
        </w:rPr>
        <w:t>http://www.ahdmig.cn</w:t>
      </w:r>
      <w:r>
        <w:rPr>
          <w:rFonts w:hint="eastAsia" w:ascii="宋体" w:hAnsi="等线" w:eastAsia="宋体" w:cs="Times New Roman"/>
          <w:b/>
          <w:bCs/>
          <w:color w:val="auto"/>
          <w:spacing w:val="20"/>
          <w:kern w:val="0"/>
          <w:sz w:val="40"/>
          <w:szCs w:val="40"/>
        </w:rPr>
        <w:fldChar w:fldCharType="end"/>
      </w:r>
    </w:p>
    <w:p>
      <w:pPr>
        <w:pStyle w:val="17"/>
        <w:ind w:left="0" w:leftChars="0" w:firstLine="0" w:firstLineChars="0"/>
        <w:jc w:val="both"/>
        <w:rPr>
          <w:rFonts w:hint="eastAsia" w:ascii="宋体" w:hAnsi="宋体"/>
          <w:b/>
          <w:bCs/>
          <w:color w:val="auto"/>
          <w:sz w:val="52"/>
          <w:szCs w:val="52"/>
          <w:lang w:eastAsia="zh-CN"/>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321"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cs="宋体"/>
          <w:b/>
          <w:color w:val="auto"/>
          <w:spacing w:val="-17"/>
          <w:kern w:val="0"/>
          <w:sz w:val="32"/>
          <w:szCs w:val="32"/>
          <w:lang w:val="en-US" w:eastAsia="zh-CN"/>
        </w:rPr>
        <w:t>霍山县疾病预防控制中心艾滋病防控能力提升项目采购项目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both"/>
        <w:textAlignment w:val="auto"/>
        <w:outlineLvl w:val="9"/>
        <w:rPr>
          <w:rFonts w:hint="default" w:ascii="宋体" w:hAnsi="宋体" w:cs="宋体"/>
          <w:b/>
          <w:color w:val="auto"/>
          <w:spacing w:val="-17"/>
          <w:kern w:val="0"/>
          <w:sz w:val="32"/>
          <w:szCs w:val="32"/>
          <w:lang w:val="en-US" w:eastAsia="zh-CN"/>
        </w:rPr>
      </w:pPr>
      <w:r>
        <w:rPr>
          <w:rFonts w:hint="eastAsia" w:ascii="宋体" w:hAnsi="等线" w:cs="Times New Roman"/>
          <w:b/>
          <w:bCs/>
          <w:color w:val="auto"/>
          <w:spacing w:val="0"/>
          <w:kern w:val="0"/>
          <w:sz w:val="32"/>
          <w:szCs w:val="32"/>
          <w:lang w:val="en-US" w:eastAsia="zh-CN"/>
        </w:rPr>
        <w:t xml:space="preserve">  </w:t>
      </w: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宋体" w:cs="宋体"/>
          <w:b/>
          <w:color w:val="auto"/>
          <w:spacing w:val="-17"/>
          <w:kern w:val="0"/>
          <w:sz w:val="32"/>
          <w:szCs w:val="32"/>
          <w:lang w:val="en-US" w:eastAsia="zh-CN"/>
        </w:rPr>
        <w:t>DBSCG-2021-044</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采购单位：霍山县疾病预防控制中心</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代理机构：安徽大别山工程咨询有限公司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r>
        <w:rPr>
          <w:rFonts w:hint="eastAsia" w:ascii="宋体" w:hAnsi="宋体" w:cs="宋体"/>
          <w:b/>
          <w:color w:val="auto"/>
          <w:spacing w:val="-17"/>
          <w:kern w:val="0"/>
          <w:sz w:val="32"/>
          <w:szCs w:val="32"/>
          <w:lang w:val="en-US" w:eastAsia="zh-CN"/>
        </w:rPr>
        <w:t>采购时间：二0二一年</w:t>
      </w:r>
      <w:bookmarkStart w:id="0" w:name="_Toc11428_WPSOffice_Type1"/>
      <w:bookmarkStart w:id="1" w:name="_Toc363199264"/>
      <w:bookmarkStart w:id="2" w:name="_Toc216158623"/>
      <w:r>
        <w:rPr>
          <w:rFonts w:hint="eastAsia" w:ascii="宋体" w:hAnsi="宋体" w:cs="宋体"/>
          <w:b/>
          <w:color w:val="auto"/>
          <w:spacing w:val="-17"/>
          <w:kern w:val="0"/>
          <w:sz w:val="32"/>
          <w:szCs w:val="32"/>
          <w:lang w:val="en-US" w:eastAsia="zh-CN"/>
        </w:rPr>
        <w:t>三月</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287" w:firstLineChars="100"/>
        <w:jc w:val="both"/>
        <w:textAlignment w:val="auto"/>
        <w:outlineLvl w:val="9"/>
        <w:rPr>
          <w:rFonts w:hint="eastAsia" w:ascii="宋体" w:hAnsi="宋体" w:cs="宋体"/>
          <w:b/>
          <w:color w:val="auto"/>
          <w:spacing w:val="-17"/>
          <w:kern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w:t>
      </w:r>
      <w:r>
        <w:rPr>
          <w:rFonts w:hint="eastAsia" w:ascii="宋体" w:hAnsi="宋体" w:cs="宋体"/>
          <w:color w:val="000000"/>
          <w:szCs w:val="21"/>
          <w:lang w:eastAsia="zh-CN"/>
        </w:rPr>
        <w:t>供应商</w:t>
      </w:r>
      <w:r>
        <w:rPr>
          <w:rFonts w:hint="eastAsia" w:ascii="宋体" w:hAnsi="宋体" w:eastAsia="宋体" w:cs="宋体"/>
          <w:color w:val="000000"/>
          <w:szCs w:val="21"/>
        </w:rPr>
        <w:t>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w:t>
      </w:r>
      <w:r>
        <w:rPr>
          <w:rFonts w:hint="eastAsia" w:ascii="宋体" w:hAnsi="宋体" w:cs="宋体"/>
          <w:color w:val="000000"/>
          <w:szCs w:val="21"/>
          <w:lang w:eastAsia="zh-CN"/>
        </w:rPr>
        <w:t>供应商</w:t>
      </w:r>
      <w:r>
        <w:rPr>
          <w:rFonts w:hint="eastAsia" w:ascii="宋体" w:hAnsi="宋体" w:eastAsia="宋体" w:cs="宋体"/>
          <w:color w:val="000000"/>
          <w:szCs w:val="21"/>
        </w:rPr>
        <w:t>慎重作出投标报价，防止因报价超过控制价（采购预算价）而造成无效标。</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w:t>
      </w:r>
      <w:r>
        <w:rPr>
          <w:rFonts w:hint="eastAsia" w:ascii="宋体" w:hAnsi="宋体" w:cs="宋体"/>
          <w:color w:val="000000"/>
          <w:szCs w:val="21"/>
          <w:lang w:eastAsia="zh-CN"/>
        </w:rPr>
        <w:t>供应商</w:t>
      </w:r>
      <w:r>
        <w:rPr>
          <w:rFonts w:hint="eastAsia" w:ascii="宋体" w:hAnsi="宋体" w:eastAsia="宋体" w:cs="宋体"/>
          <w:color w:val="000000"/>
          <w:szCs w:val="21"/>
        </w:rPr>
        <w:t>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50"/>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50"/>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50"/>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w:t>
      </w:r>
      <w:r>
        <w:rPr>
          <w:rFonts w:hint="eastAsia" w:ascii="宋体" w:hAnsi="宋体" w:cs="宋体"/>
          <w:color w:val="000000"/>
          <w:szCs w:val="21"/>
          <w:lang w:eastAsia="zh-CN"/>
        </w:rPr>
        <w:t>供应商</w:t>
      </w:r>
      <w:r>
        <w:rPr>
          <w:rFonts w:hint="eastAsia" w:ascii="宋体" w:hAnsi="宋体" w:eastAsia="宋体" w:cs="宋体"/>
          <w:color w:val="000000"/>
          <w:szCs w:val="21"/>
        </w:rPr>
        <w:t>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50"/>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w:t>
      </w:r>
      <w:r>
        <w:rPr>
          <w:rFonts w:hint="eastAsia" w:ascii="宋体" w:hAnsi="宋体" w:cs="宋体"/>
          <w:color w:val="000000"/>
          <w:szCs w:val="21"/>
          <w:lang w:eastAsia="zh-CN"/>
        </w:rPr>
        <w:t>供应商</w:t>
      </w:r>
      <w:r>
        <w:rPr>
          <w:rFonts w:hint="eastAsia" w:ascii="宋体" w:hAnsi="宋体" w:eastAsia="宋体" w:cs="宋体"/>
          <w:color w:val="000000"/>
          <w:szCs w:val="21"/>
        </w:rPr>
        <w:t>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50"/>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both"/>
        <w:rPr>
          <w:rFonts w:hint="eastAsia" w:ascii="宋体" w:hAnsi="宋体" w:eastAsia="宋体" w:cs="宋体"/>
          <w:color w:val="auto"/>
          <w:sz w:val="28"/>
          <w:szCs w:val="28"/>
        </w:rPr>
      </w:pPr>
    </w:p>
    <w:p>
      <w:pPr>
        <w:rPr>
          <w:rFonts w:hint="eastAsia" w:ascii="宋体" w:hAnsi="宋体" w:eastAsia="宋体" w:cs="宋体"/>
          <w:color w:val="auto"/>
          <w:sz w:val="28"/>
          <w:szCs w:val="28"/>
        </w:rPr>
      </w:pPr>
    </w:p>
    <w:p>
      <w:pPr>
        <w:pStyle w:val="32"/>
        <w:ind w:left="0" w:leftChars="0" w:firstLine="0" w:firstLineChars="0"/>
        <w:rPr>
          <w:rFonts w:hint="eastAsia"/>
        </w:rPr>
      </w:pPr>
    </w:p>
    <w:p>
      <w:pPr>
        <w:rPr>
          <w:rFonts w:hint="eastAsia"/>
        </w:rPr>
      </w:pPr>
    </w:p>
    <w:p>
      <w:pPr>
        <w:pStyle w:val="32"/>
        <w:ind w:left="0" w:leftChars="0" w:firstLine="0" w:firstLineChars="0"/>
        <w:rPr>
          <w:rFonts w:hint="eastAsia"/>
        </w:rPr>
      </w:pPr>
    </w:p>
    <w:p>
      <w:pPr>
        <w:rPr>
          <w:rFonts w:hint="eastAsia"/>
        </w:rPr>
      </w:pPr>
    </w:p>
    <w:p>
      <w:pPr>
        <w:rPr>
          <w:rFonts w:hint="eastAsia"/>
        </w:rPr>
      </w:pPr>
      <w:r>
        <w:rPr>
          <w:rFonts w:hint="eastAsia"/>
        </w:rPr>
        <w:br w:type="page"/>
      </w:r>
    </w:p>
    <w:p>
      <w:pPr>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b/>
          <w:bCs/>
          <w:color w:val="auto"/>
          <w:sz w:val="30"/>
          <w:szCs w:val="30"/>
        </w:rPr>
      </w:pPr>
      <w:r>
        <w:rPr>
          <w:rFonts w:hint="eastAsia" w:ascii="宋体" w:hAnsi="宋体" w:eastAsia="宋体" w:cs="宋体"/>
          <w:b/>
          <w:bCs/>
          <w:color w:val="auto"/>
          <w:sz w:val="30"/>
          <w:szCs w:val="30"/>
        </w:rPr>
        <w:t>目</w:t>
      </w:r>
      <w:r>
        <w:rPr>
          <w:rFonts w:hint="eastAsia" w:ascii="宋体" w:hAnsi="宋体" w:eastAsia="宋体" w:cs="宋体"/>
          <w:b/>
          <w:bCs/>
          <w:color w:val="auto"/>
          <w:sz w:val="30"/>
          <w:szCs w:val="30"/>
          <w:lang w:val="en-US" w:eastAsia="zh-CN"/>
        </w:rPr>
        <w:t xml:space="preserve">  </w:t>
      </w:r>
      <w:r>
        <w:rPr>
          <w:rFonts w:hint="eastAsia" w:ascii="宋体" w:hAnsi="宋体" w:eastAsia="宋体" w:cs="宋体"/>
          <w:b/>
          <w:bCs/>
          <w:color w:val="auto"/>
          <w:sz w:val="30"/>
          <w:szCs w:val="30"/>
        </w:rPr>
        <w:t>录</w:t>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_Toc14824_WPSOffice_Level1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一、询价公告</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4</w:t>
      </w:r>
      <w:r>
        <w:rPr>
          <w:rFonts w:hint="eastAsia" w:ascii="宋体" w:hAnsi="宋体" w:eastAsia="宋体" w:cs="宋体"/>
          <w:b/>
          <w:bCs/>
          <w:color w:val="auto"/>
          <w:sz w:val="28"/>
          <w:szCs w:val="28"/>
        </w:rPr>
        <w:fldChar w:fldCharType="end"/>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_Toc25245_WPSOffice_Level1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二、报价响应须知</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6</w:t>
      </w:r>
      <w:r>
        <w:rPr>
          <w:rFonts w:hint="eastAsia" w:ascii="宋体" w:hAnsi="宋体" w:eastAsia="宋体" w:cs="宋体"/>
          <w:b/>
          <w:bCs/>
          <w:color w:val="auto"/>
          <w:sz w:val="28"/>
          <w:szCs w:val="28"/>
        </w:rPr>
        <w:fldChar w:fldCharType="end"/>
      </w:r>
    </w:p>
    <w:p>
      <w:pPr>
        <w:pStyle w:val="33"/>
        <w:tabs>
          <w:tab w:val="right" w:leader="dot" w:pos="9040"/>
        </w:tabs>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_Toc8300_WPSOffice_Level1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三、采购合同</w:t>
      </w:r>
      <w:r>
        <w:rPr>
          <w:rFonts w:hint="eastAsia" w:ascii="宋体" w:hAnsi="宋体" w:eastAsia="宋体" w:cs="宋体"/>
          <w:b w:val="0"/>
          <w:bCs w:val="0"/>
          <w:color w:val="auto"/>
          <w:sz w:val="28"/>
          <w:szCs w:val="28"/>
        </w:rPr>
        <w:tab/>
      </w:r>
      <w:r>
        <w:rPr>
          <w:rFonts w:hint="eastAsia" w:ascii="宋体" w:hAnsi="宋体" w:cs="宋体"/>
          <w:b/>
          <w:bCs/>
          <w:color w:val="auto"/>
          <w:sz w:val="28"/>
          <w:szCs w:val="28"/>
          <w:lang w:val="en-US" w:eastAsia="zh-CN"/>
        </w:rPr>
        <w:t>1</w:t>
      </w:r>
      <w:r>
        <w:rPr>
          <w:rFonts w:hint="eastAsia" w:ascii="宋体" w:hAnsi="宋体" w:eastAsia="宋体" w:cs="宋体"/>
          <w:b/>
          <w:bCs/>
          <w:color w:val="auto"/>
          <w:sz w:val="28"/>
          <w:szCs w:val="28"/>
        </w:rPr>
        <w:fldChar w:fldCharType="end"/>
      </w:r>
      <w:r>
        <w:rPr>
          <w:rFonts w:hint="eastAsia" w:ascii="宋体" w:hAnsi="宋体" w:cs="宋体"/>
          <w:b/>
          <w:bCs/>
          <w:color w:val="auto"/>
          <w:sz w:val="28"/>
          <w:szCs w:val="28"/>
          <w:lang w:val="en-US" w:eastAsia="zh-CN"/>
        </w:rPr>
        <w:t>1</w:t>
      </w:r>
    </w:p>
    <w:p>
      <w:pPr>
        <w:pStyle w:val="33"/>
        <w:tabs>
          <w:tab w:val="right" w:leader="dot" w:pos="9040"/>
        </w:tabs>
        <w:rPr>
          <w:rFonts w:hint="eastAsia" w:ascii="宋体" w:hAnsi="宋体" w:eastAsia="宋体" w:cs="宋体"/>
          <w:b/>
          <w:bCs/>
          <w:color w:val="auto"/>
          <w:sz w:val="28"/>
          <w:szCs w:val="28"/>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_Toc16484_WPSOffice_Level1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四、采购需求</w:t>
      </w:r>
      <w:r>
        <w:rPr>
          <w:rFonts w:hint="eastAsia" w:ascii="宋体" w:hAnsi="宋体" w:eastAsia="宋体" w:cs="宋体"/>
          <w:b w:val="0"/>
          <w:bCs w:val="0"/>
          <w:color w:val="auto"/>
          <w:sz w:val="28"/>
          <w:szCs w:val="28"/>
        </w:rPr>
        <w:tab/>
      </w:r>
      <w:bookmarkStart w:id="3" w:name="_Toc16484_WPSOffice_Level1Page"/>
      <w:r>
        <w:rPr>
          <w:rFonts w:hint="eastAsia" w:ascii="宋体" w:hAnsi="宋体" w:eastAsia="宋体" w:cs="宋体"/>
          <w:b/>
          <w:bCs/>
          <w:color w:val="auto"/>
          <w:sz w:val="28"/>
          <w:szCs w:val="28"/>
        </w:rPr>
        <w:t>1</w:t>
      </w:r>
      <w:bookmarkEnd w:id="3"/>
      <w:r>
        <w:rPr>
          <w:rFonts w:hint="eastAsia" w:ascii="宋体" w:hAnsi="宋体" w:cs="宋体"/>
          <w:b/>
          <w:bCs/>
          <w:color w:val="auto"/>
          <w:sz w:val="28"/>
          <w:szCs w:val="28"/>
          <w:lang w:val="en-US" w:eastAsia="zh-CN"/>
        </w:rPr>
        <w:t>2</w:t>
      </w:r>
      <w:r>
        <w:rPr>
          <w:rFonts w:hint="eastAsia" w:ascii="宋体" w:hAnsi="宋体" w:eastAsia="宋体" w:cs="宋体"/>
          <w:b/>
          <w:bCs/>
          <w:color w:val="auto"/>
          <w:sz w:val="28"/>
          <w:szCs w:val="28"/>
        </w:rPr>
        <w:fldChar w:fldCharType="end"/>
      </w:r>
    </w:p>
    <w:p>
      <w:pPr>
        <w:pStyle w:val="33"/>
        <w:tabs>
          <w:tab w:val="right" w:leader="dot" w:pos="9040"/>
        </w:tabs>
        <w:rPr>
          <w:b/>
          <w:bCs/>
          <w:color w:val="auto"/>
        </w:rPr>
      </w:pPr>
      <w:r>
        <w:rPr>
          <w:rFonts w:hint="eastAsia" w:ascii="宋体" w:hAnsi="宋体" w:eastAsia="宋体" w:cs="宋体"/>
          <w:b/>
          <w:bCs/>
          <w:color w:val="auto"/>
          <w:sz w:val="28"/>
          <w:szCs w:val="28"/>
        </w:rPr>
        <w:fldChar w:fldCharType="begin"/>
      </w:r>
      <w:r>
        <w:rPr>
          <w:rFonts w:hint="eastAsia" w:ascii="宋体" w:hAnsi="宋体" w:eastAsia="宋体" w:cs="宋体"/>
          <w:b/>
          <w:bCs/>
          <w:color w:val="auto"/>
          <w:sz w:val="28"/>
          <w:szCs w:val="28"/>
        </w:rPr>
        <w:instrText xml:space="preserve"> HYPERLINK \l _Toc4288_WPSOffice_Level1 </w:instrText>
      </w:r>
      <w:r>
        <w:rPr>
          <w:rFonts w:hint="eastAsia" w:ascii="宋体" w:hAnsi="宋体" w:eastAsia="宋体" w:cs="宋体"/>
          <w:b/>
          <w:bCs/>
          <w:color w:val="auto"/>
          <w:sz w:val="28"/>
          <w:szCs w:val="28"/>
        </w:rPr>
        <w:fldChar w:fldCharType="separate"/>
      </w:r>
      <w:r>
        <w:rPr>
          <w:rFonts w:hint="eastAsia" w:ascii="宋体" w:hAnsi="宋体" w:eastAsia="宋体" w:cs="宋体"/>
          <w:b/>
          <w:bCs/>
          <w:color w:val="auto"/>
          <w:sz w:val="28"/>
          <w:szCs w:val="28"/>
        </w:rPr>
        <w:t>五、响应文件格式</w:t>
      </w:r>
      <w:r>
        <w:rPr>
          <w:rFonts w:hint="eastAsia" w:ascii="宋体" w:hAnsi="宋体" w:eastAsia="宋体" w:cs="宋体"/>
          <w:b w:val="0"/>
          <w:bCs w:val="0"/>
          <w:color w:val="auto"/>
          <w:sz w:val="28"/>
          <w:szCs w:val="28"/>
        </w:rPr>
        <w:tab/>
      </w:r>
      <w:bookmarkStart w:id="4" w:name="_Toc4288_WPSOffice_Level1Page"/>
      <w:r>
        <w:rPr>
          <w:rFonts w:hint="eastAsia" w:ascii="宋体" w:hAnsi="宋体" w:eastAsia="宋体" w:cs="宋体"/>
          <w:b/>
          <w:bCs/>
          <w:color w:val="auto"/>
          <w:sz w:val="28"/>
          <w:szCs w:val="28"/>
        </w:rPr>
        <w:t>1</w:t>
      </w:r>
      <w:bookmarkEnd w:id="4"/>
      <w:r>
        <w:rPr>
          <w:rFonts w:hint="eastAsia" w:ascii="宋体" w:hAnsi="宋体" w:cs="宋体"/>
          <w:b/>
          <w:bCs/>
          <w:color w:val="auto"/>
          <w:sz w:val="28"/>
          <w:szCs w:val="28"/>
          <w:lang w:val="en-US" w:eastAsia="zh-CN"/>
        </w:rPr>
        <w:t>8</w:t>
      </w:r>
      <w:r>
        <w:rPr>
          <w:rFonts w:hint="eastAsia" w:ascii="宋体" w:hAnsi="宋体" w:eastAsia="宋体" w:cs="宋体"/>
          <w:b/>
          <w:bCs/>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5" w:name="_Toc14824_WPSOffice_Level1"/>
      <w:r>
        <w:rPr>
          <w:rFonts w:hint="eastAsia" w:ascii="宋体" w:hAnsi="宋体" w:cs="宋体"/>
          <w:b/>
          <w:bCs/>
          <w:color w:val="auto"/>
          <w:kern w:val="0"/>
          <w:sz w:val="30"/>
          <w:szCs w:val="30"/>
          <w:lang w:val="en-US" w:eastAsia="zh-CN" w:bidi="ar-SA"/>
        </w:rPr>
        <w:t>DBSCG-2021-044霍山县疾病预防控制中心艾滋病防控能力提升项目采购项目</w:t>
      </w:r>
      <w:r>
        <w:rPr>
          <w:rFonts w:hint="eastAsia" w:ascii="宋体" w:hAnsi="宋体" w:eastAsia="宋体" w:cs="宋体"/>
          <w:b/>
          <w:bCs/>
          <w:color w:val="auto"/>
          <w:kern w:val="0"/>
          <w:sz w:val="30"/>
          <w:szCs w:val="30"/>
          <w:lang w:val="en-US" w:eastAsia="zh-CN" w:bidi="ar-SA"/>
        </w:rPr>
        <w:t>询价公告</w:t>
      </w:r>
      <w:bookmarkEnd w:id="5"/>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b w:val="0"/>
          <w:bCs w:val="0"/>
          <w:i w:val="0"/>
          <w:caps w:val="0"/>
          <w:color w:val="auto"/>
          <w:spacing w:val="0"/>
          <w:sz w:val="21"/>
          <w:szCs w:val="21"/>
          <w:shd w:val="clear" w:color="auto" w:fill="FFFFFF"/>
        </w:rPr>
      </w:pPr>
      <w:r>
        <w:rPr>
          <w:rFonts w:hint="eastAsia" w:ascii="宋体" w:hAnsi="宋体" w:cs="宋体"/>
          <w:b w:val="0"/>
          <w:bCs w:val="0"/>
          <w:i w:val="0"/>
          <w:caps w:val="0"/>
          <w:color w:val="auto"/>
          <w:spacing w:val="0"/>
          <w:sz w:val="21"/>
          <w:szCs w:val="21"/>
          <w:shd w:val="clear" w:color="auto" w:fill="FFFFFF"/>
          <w:lang w:eastAsia="zh-CN"/>
        </w:rPr>
        <w:t>安徽大别山工程咨询有限公司</w:t>
      </w:r>
      <w:r>
        <w:rPr>
          <w:rFonts w:hint="eastAsia" w:ascii="宋体" w:hAnsi="宋体" w:eastAsia="宋体" w:cs="宋体"/>
          <w:b w:val="0"/>
          <w:bCs w:val="0"/>
          <w:i w:val="0"/>
          <w:caps w:val="0"/>
          <w:color w:val="auto"/>
          <w:spacing w:val="0"/>
          <w:sz w:val="21"/>
          <w:szCs w:val="21"/>
          <w:shd w:val="clear" w:color="auto" w:fill="FFFFFF"/>
        </w:rPr>
        <w:t>受</w:t>
      </w:r>
      <w:r>
        <w:rPr>
          <w:rFonts w:hint="eastAsia" w:ascii="宋体" w:hAnsi="宋体" w:cs="宋体"/>
          <w:b w:val="0"/>
          <w:bCs w:val="0"/>
          <w:i w:val="0"/>
          <w:caps w:val="0"/>
          <w:color w:val="auto"/>
          <w:spacing w:val="0"/>
          <w:sz w:val="21"/>
          <w:szCs w:val="21"/>
          <w:u w:val="single"/>
          <w:shd w:val="clear" w:color="auto" w:fill="FFFFFF"/>
          <w:lang w:eastAsia="zh-CN"/>
        </w:rPr>
        <w:t>霍山县疾病预防控制中心</w:t>
      </w:r>
      <w:r>
        <w:rPr>
          <w:rFonts w:hint="eastAsia" w:ascii="宋体" w:hAnsi="宋体" w:eastAsia="宋体" w:cs="宋体"/>
          <w:b w:val="0"/>
          <w:bCs w:val="0"/>
          <w:i w:val="0"/>
          <w:caps w:val="0"/>
          <w:color w:val="auto"/>
          <w:spacing w:val="0"/>
          <w:sz w:val="21"/>
          <w:szCs w:val="21"/>
          <w:shd w:val="clear" w:color="auto" w:fill="FFFFFF"/>
        </w:rPr>
        <w:t>的委托，</w:t>
      </w:r>
      <w:r>
        <w:rPr>
          <w:rFonts w:hint="eastAsia" w:ascii="宋体" w:hAnsi="宋体" w:cs="宋体"/>
          <w:b w:val="0"/>
          <w:bCs w:val="0"/>
          <w:i w:val="0"/>
          <w:caps w:val="0"/>
          <w:color w:val="auto"/>
          <w:spacing w:val="0"/>
          <w:sz w:val="21"/>
          <w:szCs w:val="21"/>
          <w:shd w:val="clear" w:color="auto" w:fill="FFFFFF"/>
          <w:lang w:eastAsia="zh-CN"/>
        </w:rPr>
        <w:t>根据安徽省</w:t>
      </w:r>
      <w:r>
        <w:rPr>
          <w:rFonts w:hint="eastAsia" w:ascii="宋体" w:hAnsi="宋体" w:cs="宋体"/>
          <w:b w:val="0"/>
          <w:bCs w:val="0"/>
          <w:i w:val="0"/>
          <w:caps w:val="0"/>
          <w:color w:val="auto"/>
          <w:spacing w:val="0"/>
          <w:sz w:val="21"/>
          <w:szCs w:val="21"/>
          <w:shd w:val="clear" w:color="auto" w:fill="FFFFFF"/>
          <w:lang w:val="en-US" w:eastAsia="zh-CN"/>
        </w:rPr>
        <w:t>2020年-2021年政府集中采购目录及标准的通知及霍山县财政局文件（霍采购（2020）18号）；</w:t>
      </w:r>
      <w:r>
        <w:rPr>
          <w:rFonts w:hint="eastAsia" w:ascii="宋体" w:hAnsi="宋体" w:eastAsia="宋体" w:cs="宋体"/>
          <w:b w:val="0"/>
          <w:bCs w:val="0"/>
          <w:i w:val="0"/>
          <w:caps w:val="0"/>
          <w:color w:val="auto"/>
          <w:spacing w:val="0"/>
          <w:sz w:val="21"/>
          <w:szCs w:val="21"/>
          <w:shd w:val="clear" w:color="auto" w:fill="FFFFFF"/>
        </w:rPr>
        <w:t>现对</w:t>
      </w:r>
      <w:r>
        <w:rPr>
          <w:rFonts w:hint="eastAsia" w:ascii="宋体" w:hAnsi="宋体" w:cs="宋体"/>
          <w:b w:val="0"/>
          <w:bCs w:val="0"/>
          <w:color w:val="auto"/>
          <w:kern w:val="2"/>
          <w:sz w:val="21"/>
          <w:szCs w:val="21"/>
          <w:u w:val="single"/>
          <w:lang w:val="en-US" w:eastAsia="zh-CN" w:bidi="ar-SA"/>
        </w:rPr>
        <w:t>霍山县疾病预防控制中心艾滋病防控能力提升项目采购项目</w:t>
      </w:r>
      <w:r>
        <w:rPr>
          <w:rFonts w:hint="eastAsia" w:ascii="宋体" w:hAnsi="宋体" w:eastAsia="宋体" w:cs="宋体"/>
          <w:b w:val="0"/>
          <w:bCs w:val="0"/>
          <w:i w:val="0"/>
          <w:caps w:val="0"/>
          <w:color w:val="auto"/>
          <w:spacing w:val="0"/>
          <w:sz w:val="21"/>
          <w:szCs w:val="21"/>
          <w:shd w:val="clear" w:color="auto" w:fill="FFFFFF"/>
        </w:rPr>
        <w:t>进行询价采购，欢迎具备条件的国内供应商参加询价。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val="en-US" w:eastAsia="zh-CN"/>
        </w:rPr>
        <w:t>霍山县疾病预防控制中心艾滋病防控能力提升项目采购项目</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lang w:val="en-US"/>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DBSCG-2021-044</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霍山县疾病预防控制中心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财政资金</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80000.00元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highlight w:val="none"/>
          <w:shd w:val="clear" w:color="auto" w:fill="FFFFFF"/>
          <w:lang w:val="en-US" w:eastAsia="zh-CN"/>
        </w:rPr>
        <w:t>7、最高限价：80000.00元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9、合同履行期限：合同签订后15日内完成供货。</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10、项目概况：霍山县疾病预防控制中心艾滋病防控能力提升项目采购项目，内容为超低温冰箱、生物安全柜、医用冷藏箱、单通道可调移液器，详见清单</w:t>
      </w:r>
      <w:r>
        <w:rPr>
          <w:rFonts w:hint="eastAsia" w:ascii="宋体" w:hAnsi="宋体" w:cs="宋体"/>
          <w:i w:val="0"/>
          <w:caps w:val="0"/>
          <w:color w:val="auto"/>
          <w:spacing w:val="0"/>
          <w:sz w:val="21"/>
          <w:szCs w:val="21"/>
          <w:highlight w:val="none"/>
          <w:shd w:val="clear" w:color="auto" w:fill="FFFFFF"/>
          <w:lang w:val="en-US"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w:t>
      </w:r>
      <w:r>
        <w:rPr>
          <w:rFonts w:hint="eastAsia" w:ascii="宋体" w:hAnsi="宋体" w:eastAsia="宋体" w:cs="宋体"/>
          <w:i w:val="0"/>
          <w:caps w:val="0"/>
          <w:color w:val="000000"/>
          <w:spacing w:val="0"/>
          <w:sz w:val="21"/>
          <w:szCs w:val="21"/>
          <w:shd w:val="clear" w:fill="FFFFFF"/>
          <w:lang w:val="en-US" w:eastAsia="zh-CN"/>
        </w:rPr>
        <w:t>参照</w:t>
      </w:r>
      <w:r>
        <w:rPr>
          <w:rFonts w:hint="eastAsia" w:ascii="宋体" w:hAnsi="宋体" w:eastAsia="宋体" w:cs="宋体"/>
          <w:i w:val="0"/>
          <w:caps w:val="0"/>
          <w:color w:val="000000"/>
          <w:spacing w:val="0"/>
          <w:sz w:val="21"/>
          <w:szCs w:val="21"/>
          <w:shd w:val="clear" w:fill="FFFFFF"/>
        </w:rPr>
        <w:t>《政府采购法》第二十二条要求；</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Calibri" w:hAnsi="Calibri" w:eastAsia="宋体" w:cs="Calibri"/>
          <w:i w:val="0"/>
          <w:caps w:val="0"/>
          <w:color w:val="333333"/>
          <w:spacing w:val="0"/>
          <w:sz w:val="24"/>
          <w:szCs w:val="24"/>
          <w:lang w:eastAsia="zh-CN"/>
        </w:rPr>
      </w:pPr>
      <w:r>
        <w:rPr>
          <w:rFonts w:hint="eastAsia" w:ascii="宋体" w:hAnsi="宋体" w:cs="宋体"/>
          <w:i w:val="0"/>
          <w:caps w:val="0"/>
          <w:color w:val="000000"/>
          <w:spacing w:val="0"/>
          <w:sz w:val="21"/>
          <w:szCs w:val="21"/>
          <w:shd w:val="clear" w:fill="FFFFFF"/>
          <w:lang w:val="en-US" w:eastAsia="zh-CN"/>
        </w:rPr>
        <w:t>2</w:t>
      </w:r>
      <w:r>
        <w:rPr>
          <w:rFonts w:hint="eastAsia" w:ascii="宋体" w:hAnsi="宋体" w:eastAsia="宋体" w:cs="宋体"/>
          <w:i w:val="0"/>
          <w:caps w:val="0"/>
          <w:color w:val="000000"/>
          <w:spacing w:val="0"/>
          <w:sz w:val="21"/>
          <w:szCs w:val="21"/>
          <w:shd w:val="clear" w:fill="FFFFFF"/>
        </w:rPr>
        <w:t>、具有本次采购货物的供货及售后服务能力</w:t>
      </w:r>
      <w:r>
        <w:rPr>
          <w:rFonts w:hint="eastAsia" w:ascii="宋体" w:hAnsi="宋体" w:cs="宋体"/>
          <w:i w:val="0"/>
          <w:caps w:val="0"/>
          <w:color w:val="000000"/>
          <w:spacing w:val="0"/>
          <w:sz w:val="21"/>
          <w:szCs w:val="21"/>
          <w:shd w:val="clear" w:fill="FFFFFF"/>
          <w:lang w:eastAsia="zh-CN"/>
        </w:rPr>
        <w:t>；</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3</w:t>
      </w:r>
      <w:r>
        <w:rPr>
          <w:rFonts w:hint="eastAsia" w:ascii="宋体" w:hAnsi="宋体" w:eastAsia="宋体" w:cs="宋体"/>
          <w:i w:val="0"/>
          <w:caps w:val="0"/>
          <w:color w:val="000000"/>
          <w:spacing w:val="0"/>
          <w:sz w:val="21"/>
          <w:szCs w:val="21"/>
          <w:shd w:val="clear" w:fill="FFFFFF"/>
        </w:rPr>
        <w:t>、本项目不接受联合体参与投标；</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cs="宋体"/>
          <w:i w:val="0"/>
          <w:caps w:val="0"/>
          <w:color w:val="000000"/>
          <w:spacing w:val="0"/>
          <w:sz w:val="21"/>
          <w:szCs w:val="21"/>
          <w:shd w:val="clear" w:fill="FFFFFF"/>
          <w:lang w:val="en-US" w:eastAsia="zh-CN"/>
        </w:rPr>
        <w:t>4</w:t>
      </w:r>
      <w:r>
        <w:rPr>
          <w:rFonts w:hint="eastAsia" w:ascii="宋体" w:hAnsi="宋体" w:eastAsia="宋体" w:cs="宋体"/>
          <w:i w:val="0"/>
          <w:caps w:val="0"/>
          <w:color w:val="000000"/>
          <w:spacing w:val="0"/>
          <w:sz w:val="21"/>
          <w:szCs w:val="21"/>
          <w:shd w:val="clear" w:fill="FFFFFF"/>
        </w:rPr>
        <w:t>、供应商存在以下不良信用记录情形之一的，不得推荐为中标候选供应商，不得确定为中标供应商（仅以下述渠道查询结果为准，其他网站无效）：</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(1）供应商被人民法院列入失信被执行人的，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(2）供应商被工商行政管理部门列入企业经营异常名录的，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(3）供应商被税务部门列入重大税收违法案件当事人名单的，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信用中国官网（www.creditchina.gov.cn）；</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default" w:ascii="Calibri" w:hAnsi="Calibri" w:cs="Calibri"/>
          <w:i w:val="0"/>
          <w:caps w:val="0"/>
          <w:color w:val="333333"/>
          <w:spacing w:val="0"/>
          <w:sz w:val="24"/>
          <w:szCs w:val="24"/>
        </w:rPr>
      </w:pPr>
      <w:r>
        <w:rPr>
          <w:rFonts w:hint="eastAsia" w:ascii="宋体" w:hAnsi="宋体" w:eastAsia="宋体" w:cs="宋体"/>
          <w:i w:val="0"/>
          <w:caps w:val="0"/>
          <w:color w:val="000000"/>
          <w:spacing w:val="0"/>
          <w:sz w:val="21"/>
          <w:szCs w:val="21"/>
          <w:shd w:val="clear" w:fill="FFFFFF"/>
        </w:rPr>
        <w:t>(4）供应商被政府采购监管部门列入政府采购严重违法失信行为记录名单的，</w:t>
      </w:r>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420"/>
        <w:jc w:val="both"/>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i w:val="0"/>
          <w:caps w:val="0"/>
          <w:color w:val="000000"/>
          <w:spacing w:val="0"/>
          <w:sz w:val="21"/>
          <w:szCs w:val="21"/>
          <w:shd w:val="clear" w:fill="FFFFFF"/>
        </w:rPr>
        <w:t>中国政府采购官网（www.ccgp.gov.cn）。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03月24日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03月29日15时00分。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本项目无需报名，</w:t>
      </w: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auto"/>
          <w:kern w:val="0"/>
          <w:sz w:val="24"/>
          <w:shd w:val="clear" w:color="auto" w:fill="FFFFFF"/>
          <w:lang w:bidi="ar"/>
        </w:rPr>
        <w:fldChar w:fldCharType="begin"/>
      </w:r>
      <w:r>
        <w:rPr>
          <w:rFonts w:hint="eastAsia" w:ascii="宋体" w:hAnsi="宋体" w:cs="宋体"/>
          <w:color w:val="auto"/>
          <w:kern w:val="0"/>
          <w:sz w:val="24"/>
          <w:shd w:val="clear" w:color="auto" w:fill="FFFFFF"/>
          <w:lang w:bidi="ar"/>
        </w:rPr>
        <w:instrText xml:space="preserve"> HYPERLINK "http://www.ahdmig.cn。" </w:instrText>
      </w:r>
      <w:r>
        <w:rPr>
          <w:rFonts w:hint="eastAsia" w:ascii="宋体" w:hAnsi="宋体" w:cs="宋体"/>
          <w:color w:val="auto"/>
          <w:kern w:val="0"/>
          <w:sz w:val="24"/>
          <w:shd w:val="clear" w:color="auto" w:fill="FFFFFF"/>
          <w:lang w:bidi="ar"/>
        </w:rPr>
        <w:fldChar w:fldCharType="separate"/>
      </w:r>
      <w:r>
        <w:rPr>
          <w:rStyle w:val="27"/>
          <w:rFonts w:hint="eastAsia" w:ascii="宋体" w:hAnsi="宋体" w:cs="宋体"/>
          <w:color w:val="auto"/>
          <w:kern w:val="0"/>
          <w:sz w:val="24"/>
          <w:shd w:val="clear" w:color="auto" w:fill="FFFFFF"/>
          <w:lang w:bidi="ar"/>
        </w:rPr>
        <w:t>www.ahdmig.cn</w:t>
      </w:r>
      <w:r>
        <w:rPr>
          <w:rFonts w:hint="eastAsia" w:ascii="宋体" w:hAnsi="宋体" w:cs="宋体"/>
          <w:color w:val="auto"/>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w:t>
      </w:r>
      <w:r>
        <w:rPr>
          <w:rFonts w:hint="eastAsia" w:ascii="宋体" w:hAnsi="宋体" w:cs="宋体"/>
          <w:i w:val="0"/>
          <w:caps w:val="0"/>
          <w:color w:val="auto"/>
          <w:spacing w:val="0"/>
          <w:sz w:val="21"/>
          <w:szCs w:val="21"/>
          <w:shd w:val="clear" w:color="auto" w:fill="FFFFFF"/>
          <w:lang w:val="en-US" w:eastAsia="zh-CN"/>
        </w:rPr>
        <w:t>招标采购专栏</w:t>
      </w:r>
      <w:r>
        <w:rPr>
          <w:rFonts w:hint="eastAsia" w:ascii="宋体" w:hAnsi="宋体" w:eastAsia="宋体" w:cs="宋体"/>
          <w:i w:val="0"/>
          <w:caps w:val="0"/>
          <w:color w:val="auto"/>
          <w:spacing w:val="0"/>
          <w:sz w:val="21"/>
          <w:szCs w:val="21"/>
          <w:shd w:val="clear" w:color="auto" w:fill="FFFFFF"/>
        </w:rPr>
        <w:t>自行下载本项目</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r>
        <w:rPr>
          <w:rFonts w:hint="eastAsia" w:ascii="宋体" w:hAnsi="宋体" w:cs="宋体"/>
          <w:i w:val="0"/>
          <w:caps w:val="0"/>
          <w:color w:val="auto"/>
          <w:spacing w:val="0"/>
          <w:sz w:val="21"/>
          <w:szCs w:val="21"/>
          <w:shd w:val="clear" w:color="auto" w:fill="FFFFFF"/>
          <w:lang w:eastAsia="zh-CN"/>
        </w:rPr>
        <w:t>及</w:t>
      </w:r>
      <w:r>
        <w:rPr>
          <w:rFonts w:hint="eastAsia" w:ascii="宋体" w:hAnsi="宋体" w:eastAsia="宋体" w:cs="宋体"/>
          <w:i w:val="0"/>
          <w:caps w:val="0"/>
          <w:color w:val="auto"/>
          <w:spacing w:val="0"/>
          <w:sz w:val="21"/>
          <w:szCs w:val="21"/>
          <w:shd w:val="clear" w:color="auto" w:fill="FFFFFF"/>
        </w:rPr>
        <w:t>采购需求</w:t>
      </w:r>
      <w:r>
        <w:rPr>
          <w:rFonts w:hint="eastAsia" w:ascii="宋体" w:hAnsi="宋体" w:cs="宋体"/>
          <w:i w:val="0"/>
          <w:caps w:val="0"/>
          <w:color w:val="auto"/>
          <w:spacing w:val="0"/>
          <w:sz w:val="21"/>
          <w:szCs w:val="21"/>
          <w:shd w:val="clear" w:color="auto" w:fill="FFFFFF"/>
          <w:lang w:eastAsia="zh-CN"/>
        </w:rPr>
        <w:t>文件</w:t>
      </w:r>
      <w:r>
        <w:rPr>
          <w:rFonts w:hint="eastAsia" w:ascii="宋体" w:hAnsi="宋体" w:eastAsia="宋体" w:cs="宋体"/>
          <w:i w:val="0"/>
          <w:caps w:val="0"/>
          <w:color w:val="auto"/>
          <w:spacing w:val="0"/>
          <w:sz w:val="21"/>
          <w:szCs w:val="21"/>
          <w:shd w:val="clear" w:color="auto" w:fill="FFFFFF"/>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eastAsia="宋体" w:cs="宋体"/>
          <w:i w:val="0"/>
          <w:caps w:val="0"/>
          <w:color w:val="auto"/>
          <w:spacing w:val="0"/>
          <w:sz w:val="21"/>
          <w:szCs w:val="21"/>
          <w:u w:val="single"/>
          <w:shd w:val="clear" w:color="auto" w:fill="FFFFFF"/>
        </w:rPr>
        <w:t>20</w:t>
      </w:r>
      <w:r>
        <w:rPr>
          <w:rFonts w:hint="eastAsia" w:ascii="宋体" w:hAnsi="宋体" w:cs="宋体"/>
          <w:i w:val="0"/>
          <w:caps w:val="0"/>
          <w:color w:val="auto"/>
          <w:spacing w:val="0"/>
          <w:sz w:val="21"/>
          <w:szCs w:val="21"/>
          <w:u w:val="single"/>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u w:val="single"/>
          <w:shd w:val="clear" w:color="auto" w:fill="FFFFFF"/>
          <w:lang w:val="en-US" w:eastAsia="zh-CN"/>
        </w:rPr>
        <w:t>03</w:t>
      </w:r>
      <w:r>
        <w:rPr>
          <w:rFonts w:hint="eastAsia" w:ascii="宋体" w:hAnsi="宋体" w:cs="宋体"/>
          <w:i w:val="0"/>
          <w:caps w:val="0"/>
          <w:color w:val="auto"/>
          <w:spacing w:val="0"/>
          <w:sz w:val="21"/>
          <w:szCs w:val="21"/>
          <w:u w:val="none"/>
          <w:shd w:val="clear" w:color="auto" w:fill="FFFFFF"/>
          <w:lang w:val="en-US" w:eastAsia="zh-CN"/>
        </w:rPr>
        <w:t>月</w:t>
      </w:r>
      <w:r>
        <w:rPr>
          <w:rFonts w:hint="eastAsia" w:ascii="宋体" w:hAnsi="宋体" w:cs="宋体"/>
          <w:i w:val="0"/>
          <w:caps w:val="0"/>
          <w:color w:val="auto"/>
          <w:spacing w:val="0"/>
          <w:sz w:val="21"/>
          <w:szCs w:val="21"/>
          <w:u w:val="single"/>
          <w:shd w:val="clear" w:color="auto" w:fill="FFFFFF"/>
          <w:lang w:val="en-US" w:eastAsia="zh-CN"/>
        </w:rPr>
        <w:t>29</w:t>
      </w:r>
      <w:r>
        <w:rPr>
          <w:rFonts w:hint="eastAsia" w:ascii="宋体" w:hAnsi="宋体" w:cs="宋体"/>
          <w:i w:val="0"/>
          <w:caps w:val="0"/>
          <w:color w:val="auto"/>
          <w:spacing w:val="0"/>
          <w:sz w:val="21"/>
          <w:szCs w:val="21"/>
          <w:u w:val="none"/>
          <w:shd w:val="clear" w:color="auto" w:fill="FFFFFF"/>
          <w:lang w:val="en-US" w:eastAsia="zh-CN"/>
        </w:rPr>
        <w:t>日</w:t>
      </w:r>
      <w:r>
        <w:rPr>
          <w:rFonts w:hint="eastAsia" w:ascii="宋体" w:hAnsi="宋体" w:cs="宋体"/>
          <w:i w:val="0"/>
          <w:caps w:val="0"/>
          <w:color w:val="auto"/>
          <w:spacing w:val="0"/>
          <w:sz w:val="21"/>
          <w:szCs w:val="21"/>
          <w:u w:val="single"/>
          <w:shd w:val="clear" w:color="auto" w:fill="FFFFFF"/>
          <w:lang w:val="en-US" w:eastAsia="zh-CN"/>
        </w:rPr>
        <w:t>15</w:t>
      </w:r>
      <w:r>
        <w:rPr>
          <w:rFonts w:hint="eastAsia" w:ascii="宋体" w:hAnsi="宋体" w:cs="宋体"/>
          <w:i w:val="0"/>
          <w:caps w:val="0"/>
          <w:color w:val="auto"/>
          <w:spacing w:val="0"/>
          <w:sz w:val="21"/>
          <w:szCs w:val="21"/>
          <w:u w:val="none"/>
          <w:shd w:val="clear" w:color="auto" w:fill="FFFFFF"/>
          <w:lang w:val="en-US" w:eastAsia="zh-CN"/>
        </w:rPr>
        <w:t>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cs="宋体"/>
          <w:b/>
          <w:i w:val="0"/>
          <w:caps w:val="0"/>
          <w:color w:val="auto"/>
          <w:spacing w:val="0"/>
          <w:sz w:val="21"/>
          <w:szCs w:val="21"/>
          <w:u w:val="single"/>
          <w:shd w:val="clear" w:color="auto" w:fill="FFFFFF"/>
          <w:lang w:val="en-US" w:eastAsia="zh-CN"/>
        </w:rPr>
        <w:t xml:space="preserve"> </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cs="宋体"/>
          <w:b/>
          <w:i w:val="0"/>
          <w:caps w:val="0"/>
          <w:color w:val="auto"/>
          <w:spacing w:val="0"/>
          <w:sz w:val="21"/>
          <w:szCs w:val="21"/>
          <w:shd w:val="clear" w:color="auto" w:fill="FFFFFF"/>
          <w:lang w:eastAsia="zh-CN"/>
        </w:rPr>
        <w:t>六</w:t>
      </w:r>
      <w:r>
        <w:rPr>
          <w:rFonts w:hint="eastAsia" w:ascii="宋体" w:hAnsi="宋体" w:eastAsia="宋体" w:cs="宋体"/>
          <w:b/>
          <w:i w:val="0"/>
          <w:caps w:val="0"/>
          <w:color w:val="auto"/>
          <w:spacing w:val="0"/>
          <w:sz w:val="21"/>
          <w:szCs w:val="21"/>
          <w:shd w:val="clear" w:color="auto" w:fill="FFFFFF"/>
        </w:rPr>
        <w:t>、联系方式</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霍山县疾病预防控制中心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val="en-US" w:eastAsia="zh-CN"/>
        </w:rPr>
        <w:t>霍山县政务区</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eastAsia="zh-CN"/>
        </w:rPr>
        <w:t>赵</w:t>
      </w:r>
      <w:r>
        <w:rPr>
          <w:rFonts w:hint="eastAsia" w:ascii="宋体" w:hAnsi="宋体" w:cs="宋体"/>
          <w:i w:val="0"/>
          <w:caps w:val="0"/>
          <w:color w:val="auto"/>
          <w:spacing w:val="0"/>
          <w:sz w:val="21"/>
          <w:szCs w:val="21"/>
          <w:shd w:val="clear" w:color="auto" w:fill="FFFFFF"/>
          <w:lang w:val="en-US" w:eastAsia="zh-CN"/>
        </w:rPr>
        <w:t>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18919735773</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（二）采购代理机构：</w:t>
      </w: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储  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话：0564-50</w:t>
      </w:r>
      <w:r>
        <w:rPr>
          <w:rFonts w:hint="eastAsia" w:ascii="宋体" w:hAnsi="宋体" w:cs="宋体"/>
          <w:i w:val="0"/>
          <w:caps w:val="0"/>
          <w:color w:val="auto"/>
          <w:spacing w:val="0"/>
          <w:sz w:val="21"/>
          <w:szCs w:val="21"/>
          <w:shd w:val="clear" w:color="auto" w:fill="FFFFFF"/>
          <w:lang w:val="en-US" w:eastAsia="zh-CN"/>
        </w:rPr>
        <w:t>20033，13865788561</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cs="宋体"/>
          <w:b/>
          <w:i w:val="0"/>
          <w:caps w:val="0"/>
          <w:color w:val="auto"/>
          <w:spacing w:val="0"/>
          <w:sz w:val="21"/>
          <w:szCs w:val="21"/>
          <w:shd w:val="clear" w:color="auto" w:fill="FFFFFF"/>
          <w:lang w:val="en-US" w:eastAsia="zh-CN"/>
        </w:rPr>
        <w:t>七</w:t>
      </w:r>
      <w:r>
        <w:rPr>
          <w:rFonts w:hint="eastAsia" w:ascii="宋体" w:hAnsi="宋体" w:eastAsia="宋体" w:cs="宋体"/>
          <w:b/>
          <w:i w:val="0"/>
          <w:caps w:val="0"/>
          <w:color w:val="auto"/>
          <w:spacing w:val="0"/>
          <w:sz w:val="21"/>
          <w:szCs w:val="21"/>
          <w:shd w:val="clear" w:color="auto" w:fill="FFFFFF"/>
          <w:lang w:val="en-US" w:eastAsia="zh-CN"/>
        </w:rPr>
        <w:t>、</w:t>
      </w:r>
      <w:r>
        <w:rPr>
          <w:rFonts w:hint="eastAsia" w:ascii="宋体" w:hAnsi="宋体" w:eastAsia="宋体" w:cs="宋体"/>
          <w:b/>
          <w:i w:val="0"/>
          <w:caps w:val="0"/>
          <w:color w:val="auto"/>
          <w:spacing w:val="0"/>
          <w:sz w:val="21"/>
          <w:szCs w:val="21"/>
          <w:shd w:val="clear" w:color="auto" w:fill="FFFFFF"/>
          <w:lang w:eastAsia="zh-CN"/>
        </w:rPr>
        <w:t>保证金缴纳账户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 xml:space="preserve">1、保证金允许方式：银行转账 </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zh-CN" w:eastAsia="zh-CN"/>
        </w:rPr>
        <w:t>2、保证金金额为人民币：壹仟伍佰元</w:t>
      </w:r>
      <w:r>
        <w:rPr>
          <w:rFonts w:hint="eastAsia" w:asciiTheme="majorEastAsia" w:hAnsiTheme="majorEastAsia" w:eastAsiaTheme="majorEastAsia" w:cstheme="majorEastAsia"/>
          <w:i w:val="0"/>
          <w:caps w:val="0"/>
          <w:color w:val="auto"/>
          <w:spacing w:val="0"/>
          <w:sz w:val="21"/>
          <w:szCs w:val="21"/>
          <w:shd w:val="clear" w:color="auto" w:fill="FFFFFF"/>
          <w:lang w:val="en-US" w:eastAsia="zh-CN"/>
        </w:rPr>
        <w:t>整(¥150</w:t>
      </w:r>
      <w:r>
        <w:rPr>
          <w:rFonts w:hint="eastAsia" w:ascii="宋体" w:hAnsi="宋体" w:cs="宋体"/>
          <w:i w:val="0"/>
          <w:caps w:val="0"/>
          <w:color w:val="auto"/>
          <w:spacing w:val="0"/>
          <w:sz w:val="21"/>
          <w:szCs w:val="21"/>
          <w:shd w:val="clear" w:color="auto" w:fill="FFFFFF"/>
          <w:lang w:val="en-US" w:eastAsia="zh-CN"/>
        </w:rPr>
        <w:t>0.00元)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汇入银行：安徽霍山农村商业银行股份有限公司文盛支行</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汇入银行帐号：</w:t>
      </w:r>
      <w:r>
        <w:rPr>
          <w:rFonts w:hint="eastAsia" w:ascii="宋体" w:hAnsi="宋体" w:cs="宋体"/>
          <w:i w:val="0"/>
          <w:caps w:val="0"/>
          <w:color w:val="auto"/>
          <w:spacing w:val="0"/>
          <w:sz w:val="21"/>
          <w:szCs w:val="21"/>
          <w:shd w:val="clear" w:color="auto" w:fill="FFFFFF"/>
          <w:lang w:val="en-US" w:eastAsia="zh-CN"/>
        </w:rPr>
        <w:t>20010048352066600000021</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default" w:ascii="宋体" w:hAnsi="宋体" w:cs="宋体"/>
          <w:b/>
          <w:bCs/>
          <w:i w:val="0"/>
          <w:caps w:val="0"/>
          <w:color w:val="auto"/>
          <w:spacing w:val="0"/>
          <w:sz w:val="21"/>
          <w:szCs w:val="21"/>
          <w:shd w:val="clear" w:color="auto" w:fill="FFFFFF"/>
          <w:lang w:val="en-US" w:eastAsia="zh-CN"/>
        </w:rPr>
      </w:pPr>
      <w:r>
        <w:rPr>
          <w:rFonts w:hint="eastAsia" w:ascii="宋体" w:hAnsi="宋体" w:cs="宋体"/>
          <w:b/>
          <w:bCs/>
          <w:i w:val="0"/>
          <w:caps w:val="0"/>
          <w:color w:val="auto"/>
          <w:spacing w:val="0"/>
          <w:sz w:val="21"/>
          <w:szCs w:val="21"/>
          <w:shd w:val="clear" w:color="auto" w:fill="FFFFFF"/>
          <w:lang w:val="zh-CN" w:eastAsia="zh-CN"/>
        </w:rPr>
        <w:t>4、汇出账户要求：供应商缴纳账户应与供应商名称一致</w:t>
      </w:r>
      <w:r>
        <w:rPr>
          <w:rFonts w:hint="eastAsia" w:ascii="宋体" w:hAnsi="宋体" w:cs="宋体"/>
          <w:b/>
          <w:bCs/>
          <w:i w:val="0"/>
          <w:caps w:val="0"/>
          <w:color w:val="auto"/>
          <w:spacing w:val="0"/>
          <w:sz w:val="21"/>
          <w:szCs w:val="21"/>
          <w:shd w:val="clear" w:color="auto" w:fill="FFFFFF"/>
          <w:lang w:val="en-US" w:eastAsia="zh-CN"/>
        </w:rPr>
        <w:t>，到账时间为响应截止时间前。</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霍山县疾病预防控制中心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20</w:t>
      </w:r>
      <w:r>
        <w:rPr>
          <w:rFonts w:hint="eastAsia" w:ascii="宋体" w:hAnsi="宋体" w:cs="宋体"/>
          <w:i w:val="0"/>
          <w:caps w:val="0"/>
          <w:color w:val="auto"/>
          <w:spacing w:val="0"/>
          <w:sz w:val="21"/>
          <w:szCs w:val="21"/>
          <w:shd w:val="clear" w:color="auto" w:fill="FFFFFF"/>
          <w:lang w:val="en-US" w:eastAsia="zh-CN"/>
        </w:rPr>
        <w:t>21</w:t>
      </w:r>
      <w:r>
        <w:rPr>
          <w:rFonts w:hint="eastAsia" w:ascii="宋体" w:hAnsi="宋体" w:eastAsia="宋体" w:cs="宋体"/>
          <w:i w:val="0"/>
          <w:caps w:val="0"/>
          <w:color w:val="auto"/>
          <w:spacing w:val="0"/>
          <w:sz w:val="21"/>
          <w:szCs w:val="21"/>
          <w:shd w:val="clear" w:color="auto" w:fill="FFFFFF"/>
        </w:rPr>
        <w:t>年</w:t>
      </w:r>
      <w:r>
        <w:rPr>
          <w:rFonts w:hint="eastAsia" w:ascii="宋体" w:hAnsi="宋体" w:cs="宋体"/>
          <w:i w:val="0"/>
          <w:caps w:val="0"/>
          <w:color w:val="auto"/>
          <w:spacing w:val="0"/>
          <w:sz w:val="21"/>
          <w:szCs w:val="21"/>
          <w:shd w:val="clear" w:color="auto" w:fill="FFFFFF"/>
          <w:lang w:val="en-US" w:eastAsia="zh-CN"/>
        </w:rPr>
        <w:t>03月24日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6"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6"/>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7" w:name="_Toc28280"/>
      <w:r>
        <w:rPr>
          <w:rFonts w:hint="eastAsia" w:ascii="宋体" w:hAnsi="宋体" w:eastAsia="宋体" w:cs="宋体"/>
          <w:bCs/>
          <w:color w:val="auto"/>
          <w:sz w:val="28"/>
          <w:szCs w:val="28"/>
        </w:rPr>
        <w:t>（一）须知前附表</w:t>
      </w:r>
      <w:bookmarkEnd w:id="7"/>
    </w:p>
    <w:tbl>
      <w:tblPr>
        <w:tblStyle w:val="18"/>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pacing w:val="0"/>
                <w:szCs w:val="21"/>
                <w:highlight w:val="none"/>
              </w:rPr>
            </w:pPr>
            <w:r>
              <w:rPr>
                <w:rFonts w:hint="eastAsia" w:ascii="宋体" w:hAnsi="宋体" w:eastAsia="宋体" w:cs="宋体"/>
                <w:b/>
                <w:color w:val="auto"/>
                <w:spacing w:val="0"/>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kern w:val="2"/>
                <w:sz w:val="21"/>
                <w:szCs w:val="21"/>
                <w:highlight w:val="none"/>
              </w:rPr>
              <w:t>1</w:t>
            </w:r>
          </w:p>
        </w:tc>
        <w:tc>
          <w:tcPr>
            <w:tcW w:w="1825" w:type="dxa"/>
            <w:vAlign w:val="center"/>
          </w:tcPr>
          <w:p>
            <w:pPr>
              <w:pStyle w:val="34"/>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spacing w:val="0"/>
                <w:kern w:val="2"/>
                <w:sz w:val="21"/>
                <w:szCs w:val="21"/>
                <w:highlight w:val="none"/>
              </w:rPr>
            </w:pPr>
            <w:r>
              <w:rPr>
                <w:rFonts w:hint="eastAsia" w:ascii="宋体" w:hAnsi="宋体" w:eastAsia="宋体" w:cs="宋体"/>
                <w:bCs/>
                <w:color w:val="auto"/>
                <w:spacing w:val="0"/>
                <w:sz w:val="21"/>
                <w:szCs w:val="21"/>
                <w:highlight w:val="none"/>
              </w:rPr>
              <w:t>采购人</w:t>
            </w:r>
          </w:p>
        </w:tc>
        <w:tc>
          <w:tcPr>
            <w:tcW w:w="7568" w:type="dxa"/>
            <w:vAlign w:val="center"/>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霍山县疾病预防控制中心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val="en-US" w:eastAsia="zh-CN"/>
              </w:rPr>
              <w:t>霍山县政务区</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赵先生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default" w:ascii="宋体" w:hAnsi="宋体" w:eastAsia="宋体" w:cs="宋体"/>
                <w:bCs/>
                <w:color w:val="auto"/>
                <w:spacing w:val="0"/>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highlight w:val="none"/>
                <w:shd w:val="clear" w:color="auto" w:fill="FFFFFF"/>
                <w:lang w:val="en-US" w:eastAsia="zh-CN"/>
              </w:rPr>
              <w:t>18919735773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pacing w:val="0"/>
                <w:szCs w:val="21"/>
                <w:highlight w:val="none"/>
                <w:lang w:eastAsia="zh-CN"/>
              </w:rPr>
            </w:pPr>
            <w:r>
              <w:rPr>
                <w:rFonts w:hint="eastAsia" w:ascii="宋体" w:hAnsi="宋体" w:cs="宋体"/>
                <w:color w:val="auto"/>
                <w:spacing w:val="0"/>
                <w:szCs w:val="21"/>
                <w:highlight w:val="none"/>
                <w:lang w:eastAsia="zh-CN"/>
              </w:rPr>
              <w:t>采购代理机构</w:t>
            </w:r>
          </w:p>
        </w:tc>
        <w:tc>
          <w:tcPr>
            <w:tcW w:w="7568" w:type="dxa"/>
            <w:vAlign w:val="center"/>
          </w:tcPr>
          <w:p>
            <w:pPr>
              <w:adjustRightInd w:val="0"/>
              <w:snapToGrid w:val="0"/>
              <w:spacing w:line="320" w:lineRule="exact"/>
              <w:rPr>
                <w:rFonts w:hint="eastAsia" w:ascii="宋体" w:hAnsi="宋体" w:eastAsia="宋体" w:cs="宋体"/>
                <w:color w:val="auto"/>
                <w:spacing w:val="0"/>
                <w:szCs w:val="21"/>
                <w:highlight w:val="none"/>
                <w:u w:val="none"/>
                <w:lang w:eastAsia="zh-CN"/>
              </w:rPr>
            </w:pPr>
            <w:r>
              <w:rPr>
                <w:rFonts w:hint="eastAsia" w:ascii="宋体" w:hAnsi="宋体" w:eastAsia="宋体" w:cs="宋体"/>
                <w:color w:val="auto"/>
                <w:spacing w:val="0"/>
                <w:szCs w:val="21"/>
                <w:highlight w:val="none"/>
                <w:u w:val="none"/>
              </w:rPr>
              <w:t>名  称：</w:t>
            </w:r>
            <w:r>
              <w:rPr>
                <w:rFonts w:hint="eastAsia" w:ascii="宋体" w:hAnsi="宋体" w:cs="宋体"/>
                <w:bCs/>
                <w:color w:val="auto"/>
                <w:spacing w:val="0"/>
                <w:szCs w:val="21"/>
                <w:highlight w:val="none"/>
                <w:u w:val="none"/>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储  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pacing w:val="0"/>
                <w:sz w:val="21"/>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电话：0564-50</w:t>
            </w:r>
            <w:r>
              <w:rPr>
                <w:rFonts w:hint="eastAsia" w:ascii="宋体" w:hAnsi="宋体" w:cs="宋体"/>
                <w:i w:val="0"/>
                <w:caps w:val="0"/>
                <w:color w:val="auto"/>
                <w:spacing w:val="0"/>
                <w:sz w:val="21"/>
                <w:szCs w:val="21"/>
                <w:highlight w:val="none"/>
                <w:shd w:val="clear" w:color="auto" w:fill="FFFFFF"/>
                <w:lang w:val="en-US" w:eastAsia="zh-CN"/>
              </w:rPr>
              <w:t>20033  13865788561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val="en-US" w:eastAsia="zh-CN"/>
              </w:rPr>
            </w:pPr>
            <w:r>
              <w:rPr>
                <w:rFonts w:hint="eastAsia" w:ascii="宋体" w:hAnsi="宋体" w:eastAsia="宋体" w:cs="宋体"/>
                <w:bCs/>
                <w:color w:val="auto"/>
                <w:spacing w:val="0"/>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项目名称</w:t>
            </w:r>
          </w:p>
        </w:tc>
        <w:tc>
          <w:tcPr>
            <w:tcW w:w="7568" w:type="dxa"/>
            <w:vAlign w:val="center"/>
          </w:tcPr>
          <w:p>
            <w:pPr>
              <w:pStyle w:val="3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i w:val="0"/>
                <w:caps w:val="0"/>
                <w:color w:val="auto"/>
                <w:spacing w:val="0"/>
                <w:kern w:val="0"/>
                <w:sz w:val="21"/>
                <w:szCs w:val="21"/>
                <w:highlight w:val="none"/>
                <w:shd w:val="clear" w:color="auto" w:fill="FFFFFF"/>
                <w:lang w:val="en-US" w:eastAsia="zh-CN" w:bidi="ar"/>
              </w:rPr>
              <w:t>霍山县疾病预防控制中心艾滋病防控能力提升项目采购项目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770" w:type="dxa"/>
            <w:vAlign w:val="center"/>
          </w:tcPr>
          <w:p>
            <w:pPr>
              <w:pStyle w:val="3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spacing w:val="0"/>
                <w:kern w:val="2"/>
                <w:sz w:val="21"/>
                <w:szCs w:val="21"/>
                <w:highlight w:val="none"/>
                <w:lang w:eastAsia="zh-CN"/>
              </w:rPr>
            </w:pPr>
            <w:r>
              <w:rPr>
                <w:rFonts w:hint="eastAsia" w:ascii="宋体" w:hAnsi="宋体" w:cs="宋体"/>
                <w:bCs/>
                <w:color w:val="auto"/>
                <w:spacing w:val="0"/>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项目编号</w:t>
            </w:r>
          </w:p>
        </w:tc>
        <w:tc>
          <w:tcPr>
            <w:tcW w:w="7568" w:type="dxa"/>
            <w:vAlign w:val="center"/>
          </w:tcPr>
          <w:p>
            <w:pPr>
              <w:pStyle w:val="3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auto"/>
                <w:spacing w:val="0"/>
                <w:kern w:val="2"/>
                <w:sz w:val="21"/>
                <w:szCs w:val="21"/>
                <w:highlight w:val="none"/>
                <w:lang w:val="en-US" w:eastAsia="zh-CN" w:bidi="ar-SA"/>
              </w:rPr>
              <w:t>DBSCG-2021-044，</w:t>
            </w:r>
            <w:bookmarkStart w:id="106" w:name="_GoBack"/>
            <w:r>
              <w:rPr>
                <w:rFonts w:hint="eastAsia" w:cs="宋体"/>
                <w:b w:val="0"/>
                <w:bCs w:val="0"/>
                <w:color w:val="FF0000"/>
                <w:spacing w:val="0"/>
                <w:kern w:val="2"/>
                <w:sz w:val="21"/>
                <w:szCs w:val="21"/>
                <w:highlight w:val="none"/>
                <w:lang w:val="en-US" w:eastAsia="zh-CN" w:bidi="ar-SA"/>
              </w:rPr>
              <w:t>保证金缴纳时请注明项目编号或项目名称</w:t>
            </w:r>
            <w:bookmarkEnd w:id="10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最高限价</w:t>
            </w:r>
          </w:p>
        </w:tc>
        <w:tc>
          <w:tcPr>
            <w:tcW w:w="7568" w:type="dxa"/>
            <w:vAlign w:val="center"/>
          </w:tcPr>
          <w:p>
            <w:pPr>
              <w:pStyle w:val="3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pacing w:val="0"/>
                <w:kern w:val="2"/>
                <w:sz w:val="21"/>
                <w:szCs w:val="21"/>
                <w:highlight w:val="none"/>
                <w:lang w:val="en-US" w:eastAsia="zh-CN" w:bidi="ar-SA"/>
              </w:rPr>
            </w:pPr>
            <w:r>
              <w:rPr>
                <w:rFonts w:hint="eastAsia" w:cs="宋体"/>
                <w:b w:val="0"/>
                <w:bCs w:val="0"/>
                <w:color w:val="FF0000"/>
                <w:spacing w:val="0"/>
                <w:kern w:val="2"/>
                <w:sz w:val="21"/>
                <w:szCs w:val="21"/>
                <w:highlight w:val="none"/>
                <w:lang w:val="en-US" w:eastAsia="zh-CN" w:bidi="ar-SA"/>
              </w:rPr>
              <w:t>捌万元整</w:t>
            </w:r>
            <w:r>
              <w:rPr>
                <w:rFonts w:hint="eastAsia" w:ascii="宋体" w:hAnsi="宋体" w:eastAsia="宋体" w:cs="宋体"/>
                <w:b w:val="0"/>
                <w:bCs w:val="0"/>
                <w:color w:val="FF0000"/>
                <w:spacing w:val="0"/>
                <w:kern w:val="2"/>
                <w:sz w:val="21"/>
                <w:szCs w:val="21"/>
                <w:highlight w:val="none"/>
                <w:lang w:val="en-US" w:eastAsia="zh-CN" w:bidi="ar-SA"/>
              </w:rPr>
              <w:t>（￥</w:t>
            </w:r>
            <w:r>
              <w:rPr>
                <w:rFonts w:hint="eastAsia" w:cs="宋体"/>
                <w:b w:val="0"/>
                <w:bCs w:val="0"/>
                <w:color w:val="FF0000"/>
                <w:spacing w:val="0"/>
                <w:kern w:val="2"/>
                <w:sz w:val="21"/>
                <w:szCs w:val="21"/>
                <w:highlight w:val="none"/>
                <w:lang w:val="en-US" w:eastAsia="zh-CN" w:bidi="ar-SA"/>
              </w:rPr>
              <w:t>80000</w:t>
            </w:r>
            <w:r>
              <w:rPr>
                <w:rFonts w:hint="eastAsia" w:ascii="宋体" w:hAnsi="宋体" w:eastAsia="宋体" w:cs="宋体"/>
                <w:b w:val="0"/>
                <w:bCs w:val="0"/>
                <w:color w:val="FF0000"/>
                <w:spacing w:val="0"/>
                <w:kern w:val="2"/>
                <w:sz w:val="21"/>
                <w:szCs w:val="21"/>
                <w:highlight w:val="none"/>
                <w:lang w:val="en-US" w:eastAsia="zh-CN" w:bidi="ar-SA"/>
              </w:rPr>
              <w:t>.00元），超过此限价的报价为无效响应。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kern w:val="0"/>
                <w:szCs w:val="21"/>
                <w:highlight w:val="none"/>
                <w:shd w:val="clear" w:color="auto" w:fill="FFFFFF"/>
              </w:rPr>
            </w:pPr>
            <w:r>
              <w:rPr>
                <w:rFonts w:hint="eastAsia" w:ascii="宋体" w:hAnsi="宋体" w:eastAsia="宋体" w:cs="宋体"/>
                <w:color w:val="auto"/>
                <w:spacing w:val="0"/>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60</w:t>
            </w:r>
            <w:r>
              <w:rPr>
                <w:rFonts w:hint="eastAsia" w:ascii="宋体" w:hAnsi="宋体" w:eastAsia="宋体" w:cs="宋体"/>
                <w:b w:val="0"/>
                <w:bCs w:val="0"/>
                <w:color w:val="auto"/>
                <w:spacing w:val="0"/>
                <w:kern w:val="2"/>
                <w:sz w:val="21"/>
                <w:szCs w:val="21"/>
                <w:highlight w:val="none"/>
                <w:lang w:val="en-US" w:eastAsia="zh-CN" w:bidi="ar-SA"/>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付款方式</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FF0000"/>
                <w:spacing w:val="0"/>
                <w:szCs w:val="21"/>
                <w:highlight w:val="none"/>
                <w:lang w:val="en-US" w:eastAsia="zh-CN"/>
              </w:rPr>
              <w:t>货到验收合格后支付合同价款的95%，余下5%作为质保金。1年内无售后问题，采购单位将一次性付清5%质保金。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采购人</w:t>
            </w:r>
            <w:r>
              <w:rPr>
                <w:rFonts w:hint="eastAsia" w:ascii="宋体" w:hAnsi="宋体" w:eastAsia="宋体" w:cs="宋体"/>
                <w:b w:val="0"/>
                <w:bCs w:val="0"/>
                <w:color w:val="auto"/>
                <w:spacing w:val="0"/>
                <w:kern w:val="2"/>
                <w:sz w:val="21"/>
                <w:szCs w:val="21"/>
                <w:highlight w:val="none"/>
                <w:lang w:val="en-US" w:eastAsia="zh-CN" w:bidi="ar-SA"/>
              </w:rPr>
              <w:t>指定地点</w:t>
            </w: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szCs w:val="21"/>
                <w:highlight w:val="none"/>
                <w:lang w:val="en-US" w:eastAsia="zh-CN"/>
              </w:rPr>
              <w:t>签订合同后十五天完成设备安装及调试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eastAsia="zh-CN"/>
              </w:rPr>
            </w:pPr>
            <w:r>
              <w:rPr>
                <w:rFonts w:hint="eastAsia" w:ascii="宋体" w:hAnsi="宋体" w:cs="宋体"/>
                <w:color w:val="auto"/>
                <w:spacing w:val="0"/>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b w:val="0"/>
                <w:bCs w:val="0"/>
                <w:color w:val="auto"/>
                <w:spacing w:val="0"/>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b w:val="0"/>
                <w:bCs w:val="0"/>
                <w:color w:val="auto"/>
                <w:spacing w:val="0"/>
                <w:kern w:val="2"/>
                <w:sz w:val="21"/>
                <w:szCs w:val="21"/>
                <w:highlight w:val="none"/>
                <w:lang w:val="en-US" w:eastAsia="zh-CN" w:bidi="ar-SA"/>
              </w:rPr>
            </w:pPr>
            <w:r>
              <w:rPr>
                <w:rFonts w:hint="eastAsia" w:ascii="宋体" w:hAnsi="宋体" w:cs="宋体"/>
                <w:b w:val="0"/>
                <w:bCs w:val="0"/>
                <w:color w:val="auto"/>
                <w:spacing w:val="0"/>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lang w:val="zh-CN"/>
              </w:rPr>
            </w:pPr>
            <w:r>
              <w:rPr>
                <w:rFonts w:hint="eastAsia" w:ascii="宋体" w:hAnsi="宋体" w:eastAsia="宋体" w:cs="宋体"/>
                <w:b w:val="0"/>
                <w:bCs w:val="0"/>
                <w:color w:val="auto"/>
                <w:spacing w:val="0"/>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询价方式：现场询价</w:t>
            </w:r>
          </w:p>
          <w:p>
            <w:pPr>
              <w:adjustRightInd w:val="0"/>
              <w:snapToGrid w:val="0"/>
              <w:spacing w:line="320" w:lineRule="exact"/>
              <w:rPr>
                <w:rFonts w:hint="eastAsia" w:ascii="宋体" w:hAnsi="宋体" w:eastAsia="宋体" w:cs="宋体"/>
                <w:b w:val="0"/>
                <w:bCs w:val="0"/>
                <w:color w:val="auto"/>
                <w:spacing w:val="0"/>
                <w:kern w:val="2"/>
                <w:sz w:val="21"/>
                <w:szCs w:val="21"/>
                <w:highlight w:val="none"/>
                <w:lang w:val="zh-CN" w:eastAsia="zh-CN" w:bidi="ar-SA"/>
              </w:rPr>
            </w:pPr>
            <w:r>
              <w:rPr>
                <w:rFonts w:hint="eastAsia" w:ascii="宋体" w:hAnsi="宋体" w:eastAsia="宋体" w:cs="宋体"/>
                <w:b w:val="0"/>
                <w:bCs w:val="0"/>
                <w:color w:val="auto"/>
                <w:spacing w:val="0"/>
                <w:kern w:val="2"/>
                <w:sz w:val="21"/>
                <w:szCs w:val="21"/>
                <w:highlight w:val="none"/>
                <w:lang w:val="en-US" w:eastAsia="zh-CN" w:bidi="ar-SA"/>
              </w:rPr>
              <w:t>响应文件递交截止时间及询价时间：</w:t>
            </w:r>
            <w:r>
              <w:rPr>
                <w:rFonts w:hint="eastAsia" w:ascii="宋体" w:hAnsi="宋体" w:cs="宋体"/>
                <w:b w:val="0"/>
                <w:bCs w:val="0"/>
                <w:color w:val="auto"/>
                <w:spacing w:val="0"/>
                <w:kern w:val="2"/>
                <w:sz w:val="21"/>
                <w:szCs w:val="21"/>
                <w:highlight w:val="none"/>
                <w:lang w:val="en-US" w:eastAsia="zh-CN" w:bidi="ar-SA"/>
              </w:rPr>
              <w:t>同询价截止时间</w:t>
            </w:r>
            <w:r>
              <w:rPr>
                <w:rFonts w:hint="eastAsia" w:ascii="宋体" w:hAnsi="宋体" w:eastAsia="宋体" w:cs="宋体"/>
                <w:b w:val="0"/>
                <w:bCs w:val="0"/>
                <w:color w:val="auto"/>
                <w:spacing w:val="0"/>
                <w:kern w:val="2"/>
                <w:sz w:val="21"/>
                <w:szCs w:val="21"/>
                <w:highlight w:val="none"/>
                <w:lang w:val="en-US" w:eastAsia="zh-CN" w:bidi="ar-SA"/>
              </w:rPr>
              <w:t>，逾期递交，概不接受。同时在</w:t>
            </w:r>
            <w:r>
              <w:rPr>
                <w:rFonts w:hint="eastAsia" w:ascii="宋体"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截止时间前,供应商到安徽大别山工程咨询有限公司一楼开标厅参加投标。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pacing w:val="0"/>
                <w:szCs w:val="21"/>
                <w:highlight w:val="none"/>
              </w:rPr>
            </w:pPr>
            <w:r>
              <w:rPr>
                <w:rFonts w:hint="eastAsia" w:ascii="宋体" w:hAnsi="宋体" w:eastAsia="宋体" w:cs="宋体"/>
                <w:color w:val="auto"/>
                <w:spacing w:val="0"/>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标书要求：纸质响应文件，应在投标截止时间内递交到安徽大别山工程咨询有限公司一楼开标厅。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3</w:t>
            </w:r>
          </w:p>
        </w:tc>
        <w:tc>
          <w:tcPr>
            <w:tcW w:w="1825" w:type="dxa"/>
            <w:vAlign w:val="center"/>
          </w:tcPr>
          <w:p>
            <w:pPr>
              <w:pStyle w:val="13"/>
              <w:adjustRightInd w:val="0"/>
              <w:snapToGrid w:val="0"/>
              <w:spacing w:line="300" w:lineRule="exact"/>
              <w:jc w:val="center"/>
              <w:rPr>
                <w:rFonts w:hint="eastAsia" w:ascii="宋体" w:hAnsi="宋体" w:eastAsia="宋体" w:cs="宋体"/>
                <w:color w:val="auto"/>
                <w:spacing w:val="0"/>
                <w:sz w:val="21"/>
                <w:szCs w:val="21"/>
                <w:highlight w:val="none"/>
              </w:rPr>
            </w:pPr>
            <w:r>
              <w:rPr>
                <w:rFonts w:hint="eastAsia" w:ascii="宋体" w:hAnsi="宋体" w:eastAsia="宋体" w:cs="宋体"/>
                <w:bCs/>
                <w:color w:val="auto"/>
                <w:spacing w:val="0"/>
                <w:sz w:val="21"/>
                <w:szCs w:val="21"/>
                <w:highlight w:val="none"/>
              </w:rPr>
              <w:t>递交投标文件注意事项</w:t>
            </w:r>
          </w:p>
        </w:tc>
        <w:tc>
          <w:tcPr>
            <w:tcW w:w="7568" w:type="dxa"/>
            <w:vAlign w:val="center"/>
          </w:tcPr>
          <w:p>
            <w:pPr>
              <w:pStyle w:val="12"/>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b w:val="0"/>
                <w:bCs w:val="0"/>
                <w:color w:val="auto"/>
                <w:spacing w:val="0"/>
                <w:kern w:val="2"/>
                <w:sz w:val="21"/>
                <w:szCs w:val="21"/>
                <w:highlight w:val="none"/>
                <w:lang w:val="en-US" w:eastAsia="zh-CN" w:bidi="ar-SA"/>
              </w:rPr>
            </w:pPr>
            <w:r>
              <w:rPr>
                <w:rFonts w:hint="eastAsia" w:ascii="宋体" w:hAnsi="宋体" w:eastAsia="宋体" w:cs="宋体"/>
                <w:b w:val="0"/>
                <w:bCs w:val="0"/>
                <w:color w:val="auto"/>
                <w:spacing w:val="0"/>
                <w:kern w:val="2"/>
                <w:sz w:val="21"/>
                <w:szCs w:val="21"/>
                <w:highlight w:val="none"/>
                <w:lang w:val="en-US" w:eastAsia="zh-CN" w:bidi="ar-SA"/>
              </w:rPr>
              <w:t>纸质响应文件必须在</w:t>
            </w:r>
            <w:r>
              <w:rPr>
                <w:rFonts w:hint="eastAsia" w:hAnsi="宋体" w:cs="宋体"/>
                <w:b w:val="0"/>
                <w:bCs w:val="0"/>
                <w:color w:val="auto"/>
                <w:spacing w:val="0"/>
                <w:kern w:val="2"/>
                <w:sz w:val="21"/>
                <w:szCs w:val="21"/>
                <w:highlight w:val="none"/>
                <w:lang w:val="en-US" w:eastAsia="zh-CN" w:bidi="ar-SA"/>
              </w:rPr>
              <w:t>询价</w:t>
            </w:r>
            <w:r>
              <w:rPr>
                <w:rFonts w:hint="eastAsia" w:ascii="宋体" w:hAnsi="宋体" w:eastAsia="宋体" w:cs="宋体"/>
                <w:b w:val="0"/>
                <w:bCs w:val="0"/>
                <w:color w:val="auto"/>
                <w:spacing w:val="0"/>
                <w:kern w:val="2"/>
                <w:sz w:val="21"/>
                <w:szCs w:val="21"/>
                <w:highlight w:val="none"/>
                <w:lang w:val="en-US" w:eastAsia="zh-CN" w:bidi="ar-SA"/>
              </w:rPr>
              <w:t>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pacing w:val="0"/>
                <w:sz w:val="21"/>
                <w:szCs w:val="21"/>
                <w:highlight w:val="none"/>
              </w:rPr>
            </w:pPr>
            <w:r>
              <w:rPr>
                <w:rFonts w:hint="eastAsia" w:ascii="宋体" w:hAnsi="宋体"/>
                <w:color w:val="auto"/>
                <w:spacing w:val="0"/>
                <w:szCs w:val="21"/>
                <w:highlight w:val="none"/>
                <w:lang w:val="en-US" w:eastAsia="zh-CN"/>
              </w:rPr>
              <w:t>本项目为询价采购，</w:t>
            </w:r>
            <w:r>
              <w:rPr>
                <w:rFonts w:hint="eastAsia" w:ascii="宋体" w:hAnsi="宋体"/>
                <w:color w:val="auto"/>
                <w:spacing w:val="0"/>
                <w:szCs w:val="21"/>
                <w:highlight w:val="none"/>
                <w:lang w:eastAsia="zh-CN"/>
              </w:rPr>
              <w:t>请供应商</w:t>
            </w:r>
            <w:r>
              <w:rPr>
                <w:rFonts w:hint="eastAsia" w:ascii="宋体" w:hAnsi="宋体"/>
                <w:color w:val="auto"/>
                <w:spacing w:val="0"/>
                <w:szCs w:val="21"/>
                <w:highlight w:val="none"/>
              </w:rPr>
              <w:t>在投标截止时间前将</w:t>
            </w:r>
            <w:r>
              <w:rPr>
                <w:rFonts w:hint="eastAsia" w:ascii="宋体" w:hAnsi="宋体"/>
                <w:color w:val="auto"/>
                <w:spacing w:val="0"/>
                <w:szCs w:val="21"/>
                <w:highlight w:val="none"/>
                <w:lang w:eastAsia="zh-CN"/>
              </w:rPr>
              <w:t>响应</w:t>
            </w:r>
            <w:r>
              <w:rPr>
                <w:rFonts w:hint="eastAsia" w:ascii="宋体" w:hAnsi="宋体"/>
                <w:color w:val="auto"/>
                <w:spacing w:val="0"/>
                <w:szCs w:val="21"/>
                <w:highlight w:val="none"/>
              </w:rPr>
              <w:t>文件以及资格审查资料递交至</w:t>
            </w:r>
            <w:r>
              <w:rPr>
                <w:rFonts w:hint="eastAsia" w:ascii="宋体" w:hAnsi="宋体"/>
                <w:color w:val="auto"/>
                <w:spacing w:val="0"/>
                <w:szCs w:val="21"/>
                <w:highlight w:val="none"/>
                <w:lang w:eastAsia="zh-CN"/>
              </w:rPr>
              <w:t>询价</w:t>
            </w:r>
            <w:r>
              <w:rPr>
                <w:rFonts w:hint="eastAsia" w:ascii="宋体" w:hAnsi="宋体"/>
                <w:color w:val="auto"/>
                <w:spacing w:val="0"/>
                <w:szCs w:val="21"/>
                <w:highlight w:val="none"/>
              </w:rPr>
              <w:t>文件指定地点</w:t>
            </w:r>
            <w:r>
              <w:rPr>
                <w:rFonts w:hint="eastAsia" w:ascii="宋体" w:hAnsi="宋体"/>
                <w:color w:val="auto"/>
                <w:spacing w:val="0"/>
                <w:szCs w:val="21"/>
                <w:highlight w:val="none"/>
                <w:lang w:val="en-US" w:eastAsia="zh-CN"/>
              </w:rPr>
              <w:t>参与询价</w:t>
            </w:r>
            <w:r>
              <w:rPr>
                <w:rFonts w:hint="eastAsia" w:ascii="宋体" w:hAnsi="宋体"/>
                <w:color w:val="auto"/>
                <w:spacing w:val="0"/>
                <w:szCs w:val="21"/>
                <w:highlight w:val="none"/>
              </w:rPr>
              <w:t>。供应商可登录</w:t>
            </w:r>
            <w:r>
              <w:rPr>
                <w:rFonts w:hint="eastAsia" w:ascii="宋体" w:hAnsi="宋体" w:cs="宋体"/>
                <w:i w:val="0"/>
                <w:caps w:val="0"/>
                <w:color w:val="auto"/>
                <w:spacing w:val="0"/>
                <w:sz w:val="21"/>
                <w:szCs w:val="21"/>
                <w:highlight w:val="none"/>
                <w:shd w:val="clear" w:color="auto" w:fill="FFFFFF"/>
                <w:lang w:eastAsia="zh-CN"/>
              </w:rPr>
              <w:t>安徽大别山国投集团</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color w:val="auto"/>
                <w:spacing w:val="0"/>
                <w:kern w:val="0"/>
                <w:sz w:val="24"/>
                <w:highlight w:val="none"/>
                <w:shd w:val="clear" w:color="auto" w:fill="FFFFFF"/>
                <w:lang w:bidi="ar"/>
              </w:rPr>
              <w:fldChar w:fldCharType="begin"/>
            </w:r>
            <w:r>
              <w:rPr>
                <w:rFonts w:hint="eastAsia" w:ascii="宋体" w:hAnsi="宋体" w:cs="宋体"/>
                <w:color w:val="auto"/>
                <w:spacing w:val="0"/>
                <w:kern w:val="0"/>
                <w:sz w:val="24"/>
                <w:highlight w:val="none"/>
                <w:shd w:val="clear" w:color="auto" w:fill="FFFFFF"/>
                <w:lang w:bidi="ar"/>
              </w:rPr>
              <w:instrText xml:space="preserve"> HYPERLINK "http://www.ahdmig.cn。" </w:instrText>
            </w:r>
            <w:r>
              <w:rPr>
                <w:rFonts w:hint="eastAsia" w:ascii="宋体" w:hAnsi="宋体" w:cs="宋体"/>
                <w:color w:val="auto"/>
                <w:spacing w:val="0"/>
                <w:kern w:val="0"/>
                <w:sz w:val="24"/>
                <w:highlight w:val="none"/>
                <w:shd w:val="clear" w:color="auto" w:fill="FFFFFF"/>
                <w:lang w:bidi="ar"/>
              </w:rPr>
              <w:fldChar w:fldCharType="separate"/>
            </w:r>
            <w:r>
              <w:rPr>
                <w:rStyle w:val="27"/>
                <w:rFonts w:hint="eastAsia" w:ascii="宋体" w:hAnsi="宋体" w:cs="宋体"/>
                <w:color w:val="auto"/>
                <w:spacing w:val="0"/>
                <w:kern w:val="0"/>
                <w:sz w:val="24"/>
                <w:highlight w:val="none"/>
                <w:shd w:val="clear" w:color="auto" w:fill="FFFFFF"/>
                <w:lang w:bidi="ar"/>
              </w:rPr>
              <w:t>www.ahdmig.cn</w:t>
            </w:r>
            <w:r>
              <w:rPr>
                <w:rFonts w:hint="eastAsia" w:ascii="宋体" w:hAnsi="宋体" w:cs="宋体"/>
                <w:color w:val="auto"/>
                <w:spacing w:val="0"/>
                <w:kern w:val="0"/>
                <w:sz w:val="24"/>
                <w:highlight w:val="none"/>
                <w:shd w:val="clear" w:color="auto" w:fill="FFFFFF"/>
                <w:lang w:bidi="ar"/>
              </w:rPr>
              <w:fldChar w:fldCharType="end"/>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olor w:val="auto"/>
                <w:spacing w:val="0"/>
                <w:szCs w:val="21"/>
                <w:highlight w:val="none"/>
              </w:rPr>
              <w:t>中</w:t>
            </w:r>
            <w:r>
              <w:rPr>
                <w:rFonts w:hint="eastAsia" w:ascii="宋体" w:hAnsi="宋体"/>
                <w:color w:val="auto"/>
                <w:spacing w:val="0"/>
                <w:szCs w:val="21"/>
                <w:highlight w:val="none"/>
                <w:lang w:val="en-US" w:eastAsia="zh-CN"/>
              </w:rPr>
              <w:t>招标采购专栏</w:t>
            </w:r>
            <w:r>
              <w:rPr>
                <w:rFonts w:hint="eastAsia" w:ascii="宋体" w:hAnsi="宋体"/>
                <w:color w:val="auto"/>
                <w:spacing w:val="0"/>
                <w:szCs w:val="21"/>
                <w:highlight w:val="none"/>
              </w:rPr>
              <w:t>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pacing w:val="0"/>
                <w:szCs w:val="21"/>
                <w:highlight w:val="none"/>
              </w:rPr>
            </w:pPr>
            <w:r>
              <w:rPr>
                <w:rFonts w:hint="eastAsia" w:ascii="宋体" w:hAnsi="宋体" w:cs="宋体"/>
                <w:color w:val="auto"/>
                <w:spacing w:val="0"/>
                <w:highlight w:val="none"/>
                <w:lang w:eastAsia="zh-CN"/>
              </w:rPr>
              <w:t>供应商</w:t>
            </w:r>
            <w:r>
              <w:rPr>
                <w:rFonts w:hint="eastAsia" w:ascii="宋体" w:hAnsi="宋体" w:cs="宋体"/>
                <w:color w:val="auto"/>
                <w:spacing w:val="0"/>
                <w:highlight w:val="none"/>
              </w:rPr>
              <w:t>对</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pacing w:val="0"/>
                <w:szCs w:val="21"/>
                <w:highlight w:val="none"/>
                <w:lang w:val="en-US" w:eastAsia="zh-CN"/>
              </w:rPr>
            </w:pPr>
            <w:r>
              <w:rPr>
                <w:rFonts w:hint="eastAsia" w:ascii="宋体" w:hAnsi="宋体" w:cs="宋体"/>
                <w:color w:val="auto"/>
                <w:spacing w:val="0"/>
                <w:highlight w:val="none"/>
              </w:rPr>
              <w:t>递交</w:t>
            </w:r>
            <w:r>
              <w:rPr>
                <w:rFonts w:hint="eastAsia" w:ascii="宋体" w:hAnsi="宋体" w:cs="宋体"/>
                <w:color w:val="auto"/>
                <w:spacing w:val="0"/>
                <w:highlight w:val="none"/>
                <w:lang w:eastAsia="zh-CN"/>
              </w:rPr>
              <w:t>询价</w:t>
            </w:r>
            <w:r>
              <w:rPr>
                <w:rFonts w:hint="eastAsia" w:ascii="宋体" w:hAnsi="宋体" w:cs="宋体"/>
                <w:color w:val="auto"/>
                <w:spacing w:val="0"/>
                <w:highlight w:val="none"/>
              </w:rPr>
              <w:t>文件截止时间前</w:t>
            </w:r>
            <w:r>
              <w:rPr>
                <w:rFonts w:ascii="宋体" w:hAnsi="宋体" w:cs="宋体"/>
                <w:color w:val="auto"/>
                <w:spacing w:val="0"/>
                <w:highlight w:val="none"/>
              </w:rPr>
              <w:t>2</w:t>
            </w:r>
            <w:r>
              <w:rPr>
                <w:rFonts w:hint="eastAsia" w:ascii="宋体" w:hAnsi="宋体" w:cs="宋体"/>
                <w:color w:val="auto"/>
                <w:spacing w:val="0"/>
                <w:highlight w:val="none"/>
              </w:rPr>
              <w:t>天</w:t>
            </w:r>
            <w:r>
              <w:rPr>
                <w:rFonts w:hint="eastAsia" w:ascii="宋体" w:hAnsi="宋体" w:cs="宋体"/>
                <w:color w:val="auto"/>
                <w:spacing w:val="0"/>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保证金</w:t>
            </w:r>
          </w:p>
        </w:tc>
        <w:tc>
          <w:tcPr>
            <w:tcW w:w="7568" w:type="dxa"/>
            <w:vAlign w:val="center"/>
          </w:tcPr>
          <w:p>
            <w:pPr>
              <w:adjustRightInd w:val="0"/>
              <w:snapToGrid w:val="0"/>
              <w:spacing w:line="320" w:lineRule="exact"/>
              <w:rPr>
                <w:rFonts w:hint="default" w:ascii="宋体" w:hAnsi="宋体" w:eastAsia="宋体" w:cs="宋体"/>
                <w:bCs/>
                <w:color w:val="auto"/>
                <w:spacing w:val="0"/>
                <w:szCs w:val="21"/>
                <w:highlight w:val="none"/>
                <w:lang w:val="en-US" w:eastAsia="zh-CN"/>
              </w:rPr>
            </w:pPr>
            <w:r>
              <w:rPr>
                <w:rFonts w:hint="eastAsia" w:ascii="宋体" w:hAnsi="宋体" w:cs="宋体"/>
                <w:bCs/>
                <w:color w:val="auto"/>
                <w:spacing w:val="0"/>
                <w:szCs w:val="21"/>
                <w:highlight w:val="none"/>
                <w:lang w:val="en-US" w:eastAsia="zh-CN"/>
              </w:rPr>
              <w:t>详见询价公告。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1</w:t>
            </w:r>
            <w:r>
              <w:rPr>
                <w:rFonts w:hint="eastAsia" w:ascii="宋体" w:hAnsi="宋体" w:cs="宋体"/>
                <w:color w:val="auto"/>
                <w:spacing w:val="0"/>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pacing w:val="0"/>
                <w:sz w:val="21"/>
                <w:szCs w:val="21"/>
                <w:highlight w:val="none"/>
                <w:lang w:eastAsia="zh-CN"/>
              </w:rPr>
            </w:pPr>
            <w:r>
              <w:rPr>
                <w:rFonts w:hint="eastAsia" w:ascii="宋体" w:hAnsi="宋体" w:cs="宋体"/>
                <w:color w:val="auto"/>
                <w:spacing w:val="0"/>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rPr>
            </w:pPr>
            <w:r>
              <w:rPr>
                <w:rFonts w:hint="eastAsia" w:ascii="宋体" w:hAnsi="宋体" w:cs="宋体"/>
                <w:color w:val="auto"/>
                <w:spacing w:val="0"/>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lang w:eastAsia="zh-CN"/>
              </w:rPr>
            </w:pPr>
            <w:r>
              <w:rPr>
                <w:rFonts w:hint="eastAsia" w:ascii="宋体" w:hAnsi="宋体" w:eastAsia="宋体" w:cs="宋体"/>
                <w:color w:val="auto"/>
                <w:spacing w:val="0"/>
                <w:szCs w:val="21"/>
                <w:highlight w:val="none"/>
              </w:rPr>
              <w:t>备注一</w:t>
            </w:r>
          </w:p>
        </w:tc>
        <w:tc>
          <w:tcPr>
            <w:tcW w:w="7568" w:type="dxa"/>
            <w:vAlign w:val="center"/>
          </w:tcPr>
          <w:p>
            <w:pPr>
              <w:pStyle w:val="36"/>
              <w:adjustRightInd w:val="0"/>
              <w:snapToGrid w:val="0"/>
              <w:spacing w:line="320" w:lineRule="exact"/>
              <w:rPr>
                <w:rFonts w:hint="eastAsia" w:ascii="宋体" w:hAnsi="宋体" w:eastAsia="宋体" w:cs="宋体"/>
                <w:color w:val="auto"/>
                <w:spacing w:val="0"/>
                <w:sz w:val="21"/>
                <w:szCs w:val="21"/>
                <w:highlight w:val="none"/>
              </w:rPr>
            </w:pPr>
            <w:r>
              <w:rPr>
                <w:rFonts w:hint="eastAsia" w:ascii="宋体" w:hAnsi="宋体" w:cs="宋体"/>
                <w:color w:val="auto"/>
                <w:spacing w:val="0"/>
                <w:sz w:val="21"/>
                <w:szCs w:val="21"/>
                <w:highlight w:val="none"/>
                <w:lang w:val="en-US" w:eastAsia="zh-CN"/>
              </w:rPr>
              <w:t>1</w:t>
            </w:r>
            <w:r>
              <w:rPr>
                <w:rFonts w:hint="eastAsia" w:ascii="宋体" w:hAnsi="宋体" w:eastAsia="宋体" w:cs="宋体"/>
                <w:color w:val="auto"/>
                <w:spacing w:val="0"/>
                <w:sz w:val="21"/>
                <w:szCs w:val="21"/>
                <w:highlight w:val="none"/>
              </w:rPr>
              <w:t>、联合体供应商，联合体任何一方存在上述不良信用记录的，视同联合体存在不良信用记录。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jc w:val="left"/>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cs="宋体"/>
                <w:color w:val="auto"/>
                <w:spacing w:val="0"/>
                <w:sz w:val="21"/>
                <w:szCs w:val="21"/>
                <w:highlight w:val="none"/>
                <w:lang w:val="en-US" w:eastAsia="zh-CN"/>
              </w:rPr>
              <w:t>2</w:t>
            </w:r>
            <w:r>
              <w:rPr>
                <w:rFonts w:hint="eastAsia" w:ascii="宋体" w:hAnsi="宋体" w:eastAsia="宋体" w:cs="宋体"/>
                <w:color w:val="auto"/>
                <w:spacing w:val="0"/>
                <w:sz w:val="21"/>
                <w:szCs w:val="21"/>
                <w:highlight w:val="none"/>
              </w:rPr>
              <w:t>、</w:t>
            </w:r>
            <w:r>
              <w:rPr>
                <w:rFonts w:hint="eastAsia" w:ascii="宋体" w:hAnsi="宋体"/>
                <w:color w:val="auto"/>
                <w:spacing w:val="0"/>
                <w:sz w:val="21"/>
                <w:szCs w:val="21"/>
                <w:highlight w:val="none"/>
                <w:lang w:val="en-US" w:eastAsia="zh-CN"/>
              </w:rPr>
              <w:t>供应商存在以下不良信用记录情</w:t>
            </w:r>
            <w:r>
              <w:rPr>
                <w:rFonts w:hint="eastAsia" w:ascii="宋体" w:hAnsi="宋体" w:eastAsia="宋体" w:cs="宋体"/>
                <w:i w:val="0"/>
                <w:caps w:val="0"/>
                <w:color w:val="auto"/>
                <w:spacing w:val="0"/>
                <w:sz w:val="21"/>
                <w:szCs w:val="21"/>
                <w:highlight w:val="none"/>
                <w:shd w:val="clear" w:color="auto" w:fill="FFFFFF"/>
                <w:lang w:val="en-US" w:eastAsia="zh-CN"/>
              </w:rPr>
              <w:t>形之一的，不得推荐为中标候选供应商，不得确定为中标供应商（仅以下述渠道查询结果为准，其他网站无效）：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(1）供应商被人民法院列入失信被执行人的，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w:t>
            </w:r>
            <w:r>
              <w:rPr>
                <w:rFonts w:hint="eastAsia" w:ascii="宋体" w:hAnsi="宋体" w:cs="宋体"/>
                <w:i w:val="0"/>
                <w:caps w:val="0"/>
                <w:color w:val="auto"/>
                <w:spacing w:val="0"/>
                <w:sz w:val="21"/>
                <w:szCs w:val="21"/>
                <w:highlight w:val="none"/>
                <w:shd w:val="clear" w:color="auto" w:fill="FFFFFF"/>
                <w:lang w:val="en-US" w:eastAsia="zh-CN"/>
              </w:rPr>
              <w:t>网</w:t>
            </w:r>
            <w:r>
              <w:rPr>
                <w:rFonts w:hint="eastAsia" w:ascii="宋体" w:hAnsi="宋体" w:eastAsia="宋体" w:cs="宋体"/>
                <w:i w:val="0"/>
                <w:caps w:val="0"/>
                <w:color w:val="auto"/>
                <w:spacing w:val="0"/>
                <w:sz w:val="21"/>
                <w:szCs w:val="21"/>
                <w:highlight w:val="none"/>
                <w:shd w:val="clear" w:color="auto" w:fill="FFFFFF"/>
                <w:lang w:val="en-US" w:eastAsia="zh-CN"/>
              </w:rPr>
              <w:t>（www.creditchina.gov.cn）；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(2）供应商被工商行政管理部门列入企业经营异常名录的，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国家企业信用信息公示系统网站（www.gsxt.gov.cn）；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(3）供应商被税务部门列入重大税收违法案件当事人名单的，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(4）供应商被政府采购监管部门列入政府采购严重违法失信行为记录名单的，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lang w:val="en-US" w:eastAsia="zh-CN"/>
              </w:rPr>
              <w:t>中国政府采购官网（www.ccgp.gov.cn）。</w:t>
            </w:r>
          </w:p>
          <w:p>
            <w:pPr>
              <w:pStyle w:val="36"/>
              <w:adjustRightInd w:val="0"/>
              <w:snapToGrid w:val="0"/>
              <w:spacing w:line="320" w:lineRule="exact"/>
              <w:rPr>
                <w:rFonts w:hint="eastAsia" w:ascii="宋体" w:hAnsi="宋体" w:eastAsia="宋体" w:cs="宋体"/>
                <w:b/>
                <w:bCs/>
                <w:color w:val="auto"/>
                <w:spacing w:val="0"/>
                <w:kern w:val="0"/>
                <w:szCs w:val="21"/>
                <w:highlight w:val="none"/>
                <w:shd w:val="clear" w:color="auto" w:fill="FFFFFF"/>
              </w:rPr>
            </w:pPr>
            <w:r>
              <w:rPr>
                <w:rFonts w:hint="eastAsia" w:ascii="宋体" w:hAnsi="宋体" w:cs="宋体"/>
                <w:color w:val="auto"/>
                <w:spacing w:val="0"/>
                <w:sz w:val="21"/>
                <w:szCs w:val="21"/>
                <w:highlight w:val="none"/>
                <w:lang w:val="en-US" w:eastAsia="zh-CN"/>
              </w:rPr>
              <w:t>3</w:t>
            </w:r>
            <w:r>
              <w:rPr>
                <w:rFonts w:hint="eastAsia" w:ascii="宋体" w:hAnsi="宋体" w:eastAsia="宋体" w:cs="宋体"/>
                <w:color w:val="auto"/>
                <w:spacing w:val="0"/>
                <w:sz w:val="21"/>
                <w:szCs w:val="21"/>
                <w:highlight w:val="none"/>
              </w:rPr>
              <w:t>、询价时，供应商应当查询上述记录后，如实提供无不良信用记录承诺并加盖供应商</w:t>
            </w:r>
            <w:r>
              <w:rPr>
                <w:rFonts w:hint="eastAsia" w:ascii="宋体" w:hAnsi="宋体" w:cs="宋体"/>
                <w:color w:val="auto"/>
                <w:spacing w:val="0"/>
                <w:sz w:val="21"/>
                <w:szCs w:val="21"/>
                <w:highlight w:val="none"/>
                <w:lang w:eastAsia="zh-CN"/>
              </w:rPr>
              <w:t>公</w:t>
            </w:r>
            <w:r>
              <w:rPr>
                <w:rFonts w:hint="eastAsia" w:ascii="宋体" w:hAnsi="宋体" w:eastAsia="宋体" w:cs="宋体"/>
                <w:color w:val="auto"/>
                <w:spacing w:val="0"/>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pacing w:val="0"/>
                <w:szCs w:val="21"/>
                <w:highlight w:val="none"/>
              </w:rPr>
            </w:pPr>
            <w:r>
              <w:rPr>
                <w:rFonts w:hint="eastAsia" w:ascii="宋体" w:hAnsi="宋体" w:eastAsia="宋体" w:cs="宋体"/>
                <w:color w:val="auto"/>
                <w:spacing w:val="0"/>
                <w:szCs w:val="21"/>
                <w:highlight w:val="none"/>
              </w:rPr>
              <w:t>备注</w:t>
            </w:r>
            <w:r>
              <w:rPr>
                <w:rFonts w:hint="eastAsia" w:ascii="宋体" w:hAnsi="宋体" w:cs="宋体"/>
                <w:color w:val="auto"/>
                <w:spacing w:val="0"/>
                <w:szCs w:val="21"/>
                <w:highlight w:val="none"/>
                <w:lang w:val="en-US" w:eastAsia="zh-CN"/>
              </w:rPr>
              <w:t>二</w:t>
            </w:r>
          </w:p>
        </w:tc>
        <w:tc>
          <w:tcPr>
            <w:tcW w:w="7568" w:type="dxa"/>
            <w:vAlign w:val="center"/>
          </w:tcPr>
          <w:p>
            <w:pPr>
              <w:pStyle w:val="36"/>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eastAsia="宋体" w:cs="宋体"/>
                <w:b/>
                <w:color w:val="auto"/>
                <w:spacing w:val="0"/>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pacing w:val="0"/>
                <w:szCs w:val="21"/>
                <w:highlight w:val="none"/>
                <w:lang w:val="en-US" w:eastAsia="zh-CN"/>
              </w:rPr>
            </w:pPr>
          </w:p>
        </w:tc>
        <w:tc>
          <w:tcPr>
            <w:tcW w:w="1825" w:type="dxa"/>
            <w:vAlign w:val="center"/>
          </w:tcPr>
          <w:p>
            <w:pPr>
              <w:adjustRightInd w:val="0"/>
              <w:snapToGrid w:val="0"/>
              <w:spacing w:line="320" w:lineRule="exact"/>
              <w:jc w:val="center"/>
              <w:rPr>
                <w:rFonts w:hint="default" w:ascii="宋体" w:hAnsi="宋体" w:eastAsia="宋体" w:cs="宋体"/>
                <w:color w:val="auto"/>
                <w:spacing w:val="0"/>
                <w:szCs w:val="21"/>
                <w:highlight w:val="none"/>
                <w:lang w:val="en-US" w:eastAsia="zh-CN"/>
              </w:rPr>
            </w:pPr>
            <w:r>
              <w:rPr>
                <w:rFonts w:hint="eastAsia" w:ascii="宋体" w:hAnsi="宋体" w:cs="宋体"/>
                <w:color w:val="auto"/>
                <w:spacing w:val="0"/>
                <w:szCs w:val="21"/>
                <w:highlight w:val="none"/>
                <w:lang w:val="en-US" w:eastAsia="zh-CN"/>
              </w:rPr>
              <w:t>备注三</w:t>
            </w:r>
          </w:p>
        </w:tc>
        <w:tc>
          <w:tcPr>
            <w:tcW w:w="7568" w:type="dxa"/>
            <w:vAlign w:val="center"/>
          </w:tcPr>
          <w:p>
            <w:pPr>
              <w:pStyle w:val="36"/>
              <w:adjustRightInd w:val="0"/>
              <w:snapToGrid w:val="0"/>
              <w:spacing w:line="320" w:lineRule="exact"/>
              <w:rPr>
                <w:rFonts w:hint="eastAsia" w:ascii="宋体" w:hAnsi="宋体" w:eastAsia="宋体" w:cs="宋体"/>
                <w:b/>
                <w:color w:val="auto"/>
                <w:spacing w:val="0"/>
                <w:sz w:val="21"/>
                <w:szCs w:val="21"/>
                <w:highlight w:val="none"/>
              </w:rPr>
            </w:pPr>
            <w:r>
              <w:rPr>
                <w:rFonts w:hint="eastAsia" w:ascii="宋体" w:hAnsi="宋体" w:cs="宋体"/>
                <w:color w:val="auto"/>
                <w:spacing w:val="0"/>
                <w:highlight w:val="none"/>
              </w:rPr>
              <w:t>参加开标会时应携带以下资料</w:t>
            </w:r>
            <w:r>
              <w:rPr>
                <w:rFonts w:hint="eastAsia" w:ascii="宋体" w:hAnsi="宋体" w:eastAsia="宋体" w:cs="宋体"/>
                <w:b/>
                <w:color w:val="auto"/>
                <w:spacing w:val="0"/>
                <w:sz w:val="21"/>
                <w:szCs w:val="21"/>
                <w:highlight w:val="none"/>
              </w:rPr>
              <w:t>原件现场查验：</w:t>
            </w:r>
            <w:r>
              <w:rPr>
                <w:rFonts w:hint="eastAsia" w:ascii="宋体" w:hAnsi="宋体" w:eastAsia="宋体" w:cs="宋体"/>
                <w:b/>
                <w:color w:val="auto"/>
                <w:spacing w:val="0"/>
                <w:sz w:val="21"/>
                <w:szCs w:val="21"/>
                <w:highlight w:val="none"/>
                <w:lang w:val="en-US" w:eastAsia="zh-CN"/>
              </w:rPr>
              <w:t>法人身份证明和法人身份证原件或</w:t>
            </w:r>
            <w:r>
              <w:rPr>
                <w:rFonts w:hint="eastAsia" w:ascii="宋体" w:hAnsi="宋体" w:eastAsia="宋体" w:cs="宋体"/>
                <w:b/>
                <w:color w:val="auto"/>
                <w:spacing w:val="0"/>
                <w:sz w:val="21"/>
                <w:szCs w:val="21"/>
                <w:highlight w:val="none"/>
              </w:rPr>
              <w:t>授权委托代理人身份证和授权委托书原件、</w:t>
            </w:r>
            <w:r>
              <w:rPr>
                <w:rFonts w:hint="eastAsia" w:ascii="宋体" w:hAnsi="宋体" w:eastAsia="宋体" w:cs="宋体"/>
                <w:b/>
                <w:color w:val="auto"/>
                <w:spacing w:val="0"/>
                <w:sz w:val="21"/>
                <w:szCs w:val="21"/>
                <w:highlight w:val="none"/>
                <w:lang w:val="en-US" w:eastAsia="zh-CN"/>
              </w:rPr>
              <w:t>保证金进账单</w:t>
            </w:r>
            <w:r>
              <w:rPr>
                <w:rFonts w:hint="eastAsia" w:ascii="宋体" w:hAnsi="宋体" w:eastAsia="宋体" w:cs="宋体"/>
                <w:b/>
                <w:color w:val="auto"/>
                <w:spacing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default" w:ascii="宋体" w:hAnsi="宋体" w:eastAsia="宋体" w:cs="宋体"/>
                <w:b/>
                <w:bCs/>
                <w:color w:val="auto"/>
                <w:spacing w:val="0"/>
                <w:szCs w:val="22"/>
                <w:highlight w:val="none"/>
                <w:lang w:val="en-US" w:eastAsia="zh-CN"/>
              </w:rPr>
            </w:pPr>
            <w:r>
              <w:rPr>
                <w:rFonts w:hint="eastAsia" w:ascii="宋体" w:hAnsi="宋体" w:eastAsia="宋体" w:cs="宋体"/>
                <w:b/>
                <w:bCs/>
                <w:color w:val="auto"/>
                <w:spacing w:val="0"/>
                <w:highlight w:val="none"/>
              </w:rPr>
              <w:t>备注</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rPr>
              <w:t>1</w:t>
            </w:r>
            <w:r>
              <w:rPr>
                <w:rFonts w:hint="eastAsia" w:ascii="宋体" w:hAnsi="宋体" w:eastAsia="宋体" w:cs="宋体"/>
                <w:b/>
                <w:bCs/>
                <w:color w:val="auto"/>
                <w:spacing w:val="0"/>
                <w:highlight w:val="none"/>
                <w:lang w:eastAsia="zh-CN"/>
              </w:rPr>
              <w:t>、</w:t>
            </w:r>
            <w:r>
              <w:rPr>
                <w:rFonts w:hint="eastAsia" w:ascii="宋体" w:hAnsi="宋体" w:eastAsia="宋体" w:cs="宋体"/>
                <w:b/>
                <w:bCs/>
                <w:color w:val="auto"/>
                <w:spacing w:val="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eastAsia="宋体" w:cs="宋体"/>
                <w:b/>
                <w:bCs/>
                <w:color w:val="auto"/>
                <w:spacing w:val="0"/>
                <w:szCs w:val="22"/>
                <w:highlight w:val="none"/>
                <w:lang w:val="en-US" w:eastAsia="zh-CN"/>
              </w:rPr>
              <w:t>本项目采购代理服务费由</w:t>
            </w:r>
            <w:r>
              <w:rPr>
                <w:rFonts w:hint="eastAsia" w:ascii="宋体" w:hAnsi="宋体" w:cs="宋体"/>
                <w:b/>
                <w:bCs/>
                <w:color w:val="auto"/>
                <w:spacing w:val="0"/>
                <w:szCs w:val="22"/>
                <w:highlight w:val="none"/>
                <w:lang w:val="en-US" w:eastAsia="zh-CN"/>
              </w:rPr>
              <w:t>成交</w:t>
            </w:r>
            <w:r>
              <w:rPr>
                <w:rFonts w:hint="eastAsia" w:ascii="宋体" w:hAnsi="宋体" w:eastAsia="宋体" w:cs="宋体"/>
                <w:b/>
                <w:bCs/>
                <w:color w:val="auto"/>
                <w:spacing w:val="0"/>
                <w:szCs w:val="22"/>
                <w:highlight w:val="none"/>
                <w:lang w:val="en-US" w:eastAsia="zh-CN"/>
              </w:rPr>
              <w:t>人支付</w:t>
            </w:r>
            <w:r>
              <w:rPr>
                <w:rFonts w:hint="eastAsia" w:ascii="宋体" w:hAnsi="宋体" w:cs="宋体"/>
                <w:b/>
                <w:bCs/>
                <w:color w:val="auto"/>
                <w:spacing w:val="0"/>
                <w:szCs w:val="22"/>
                <w:highlight w:val="none"/>
                <w:lang w:val="en-US" w:eastAsia="zh-CN"/>
              </w:rPr>
              <w:t>，</w:t>
            </w:r>
            <w:r>
              <w:rPr>
                <w:rFonts w:hint="eastAsia" w:ascii="宋体" w:hAnsi="宋体" w:eastAsia="宋体" w:cs="宋体"/>
                <w:b/>
                <w:bCs/>
                <w:color w:val="auto"/>
                <w:spacing w:val="0"/>
                <w:szCs w:val="22"/>
                <w:highlight w:val="none"/>
                <w:lang w:val="en-US" w:eastAsia="zh-CN"/>
              </w:rPr>
              <w:t>成交通知书发放前，按规定向代理机构交纳采购代理服务费</w:t>
            </w:r>
            <w:r>
              <w:rPr>
                <w:rFonts w:hint="eastAsia" w:ascii="宋体" w:hAnsi="宋体" w:cs="宋体"/>
                <w:b/>
                <w:bCs/>
                <w:color w:val="auto"/>
                <w:spacing w:val="0"/>
                <w:szCs w:val="22"/>
                <w:highlight w:val="none"/>
                <w:lang w:val="en-US" w:eastAsia="zh-CN"/>
              </w:rPr>
              <w:t>，本次采购代理费为2000元，一次性收取。</w:t>
            </w:r>
          </w:p>
          <w:p>
            <w:pPr>
              <w:adjustRightInd w:val="0"/>
              <w:snapToGrid w:val="0"/>
              <w:spacing w:line="360" w:lineRule="exact"/>
              <w:jc w:val="left"/>
              <w:rPr>
                <w:rFonts w:hint="eastAsia" w:ascii="宋体" w:hAnsi="宋体" w:eastAsia="宋体" w:cs="宋体"/>
                <w:b/>
                <w:color w:val="auto"/>
                <w:spacing w:val="0"/>
                <w:sz w:val="21"/>
                <w:szCs w:val="21"/>
                <w:highlight w:val="none"/>
              </w:rPr>
            </w:pPr>
            <w:r>
              <w:rPr>
                <w:rFonts w:hint="eastAsia" w:ascii="宋体" w:hAnsi="宋体" w:eastAsia="宋体" w:cs="宋体"/>
                <w:b/>
                <w:bCs/>
                <w:color w:val="auto"/>
                <w:spacing w:val="0"/>
                <w:highlight w:val="none"/>
                <w:lang w:val="en-US" w:eastAsia="zh-CN"/>
              </w:rPr>
              <w:t>2、</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在投标截止时间内收到的投标文件不足三家的，或评审过程中造成流标现象的，其投标文件也不予退还给</w:t>
            </w:r>
            <w:r>
              <w:rPr>
                <w:rFonts w:hint="eastAsia" w:ascii="宋体" w:hAnsi="宋体" w:cs="宋体"/>
                <w:b/>
                <w:bCs/>
                <w:color w:val="auto"/>
                <w:spacing w:val="0"/>
                <w:highlight w:val="none"/>
                <w:lang w:eastAsia="zh-CN"/>
              </w:rPr>
              <w:t>供应商</w:t>
            </w:r>
            <w:r>
              <w:rPr>
                <w:rFonts w:hint="eastAsia" w:ascii="宋体" w:hAnsi="宋体" w:eastAsia="宋体" w:cs="宋体"/>
                <w:b/>
                <w:bCs/>
                <w:color w:val="auto"/>
                <w:spacing w:val="0"/>
                <w:highlight w:val="none"/>
              </w:rPr>
              <w:t>。</w:t>
            </w:r>
          </w:p>
        </w:tc>
      </w:tr>
    </w:tbl>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8" w:name="_Toc16823"/>
      <w:bookmarkStart w:id="9" w:name="_Toc438107743"/>
      <w:bookmarkStart w:id="10" w:name="_Toc216158627"/>
      <w:bookmarkStart w:id="11" w:name="_Toc363199267"/>
      <w:r>
        <w:rPr>
          <w:rFonts w:hint="eastAsia" w:ascii="宋体" w:hAnsi="宋体" w:eastAsia="宋体" w:cs="宋体"/>
          <w:bCs/>
          <w:color w:val="auto"/>
          <w:sz w:val="28"/>
          <w:szCs w:val="28"/>
        </w:rPr>
        <w:t>（二）供应商资格</w:t>
      </w:r>
      <w:bookmarkEnd w:id="8"/>
    </w:p>
    <w:bookmarkEnd w:id="9"/>
    <w:p>
      <w:pPr>
        <w:pStyle w:val="3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2" w:name="_Toc216158625"/>
      <w:bookmarkStart w:id="13" w:name="_Toc12806"/>
      <w:bookmarkStart w:id="14" w:name="_Toc363199266"/>
      <w:bookmarkStart w:id="15" w:name="_Toc438648662"/>
      <w:r>
        <w:rPr>
          <w:rFonts w:hint="eastAsia"/>
          <w:color w:val="auto"/>
          <w:sz w:val="24"/>
          <w:szCs w:val="24"/>
          <w:lang w:eastAsia="zh-CN"/>
        </w:rPr>
        <w:t>详见询价公告</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2"/>
      <w:bookmarkEnd w:id="13"/>
      <w:bookmarkEnd w:id="14"/>
      <w:bookmarkEnd w:id="15"/>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6" w:name="_Toc3875"/>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（四）有关定义</w:t>
      </w:r>
      <w:bookmarkEnd w:id="1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w:t>
      </w:r>
      <w:r>
        <w:rPr>
          <w:rFonts w:hint="eastAsia" w:ascii="宋体" w:hAnsi="宋体" w:cs="宋体"/>
          <w:color w:val="auto"/>
          <w:szCs w:val="21"/>
          <w:lang w:eastAsia="zh-CN"/>
        </w:rPr>
        <w:t>霍山县财政局</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.2依据财政部 工业和信息化部《关于印发〈政府采购促进中小企业发展管理办法〉的通知》（财库〔2020〕46号）、《安徽省财政厅 安徽省经济和信息化厅关于印发〈政府采购促进中小企业发展管理办法〉的通知》（皖财购〔2020〕1668号）有关规定，在政府采购活动按下列情形之一给予价格扣除：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7"/>
        <w:rPr>
          <w:rFonts w:hint="eastAsia"/>
          <w:color w:val="auto"/>
        </w:rPr>
      </w:pPr>
    </w:p>
    <w:bookmarkEnd w:id="10"/>
    <w:bookmarkEnd w:id="11"/>
    <w:p>
      <w:pPr>
        <w:pStyle w:val="7"/>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26915"/>
      <w:bookmarkStart w:id="18" w:name="_Toc216158630"/>
      <w:r>
        <w:rPr>
          <w:rFonts w:hint="eastAsia" w:ascii="宋体" w:hAnsi="宋体" w:eastAsia="宋体" w:cs="宋体"/>
          <w:bCs/>
          <w:color w:val="auto"/>
          <w:sz w:val="28"/>
          <w:szCs w:val="28"/>
        </w:rPr>
        <w:t>（五）</w:t>
      </w:r>
      <w:bookmarkStart w:id="19" w:name="_Toc471299092"/>
      <w:r>
        <w:rPr>
          <w:rFonts w:hint="eastAsia" w:ascii="宋体" w:hAnsi="宋体" w:eastAsia="宋体" w:cs="宋体"/>
          <w:bCs/>
          <w:color w:val="auto"/>
          <w:sz w:val="28"/>
          <w:szCs w:val="28"/>
          <w:lang w:eastAsia="zh-CN"/>
        </w:rPr>
        <w:t>响应</w:t>
      </w:r>
      <w:r>
        <w:rPr>
          <w:rFonts w:hint="eastAsia" w:ascii="宋体" w:hAnsi="宋体" w:eastAsia="宋体" w:cs="宋体"/>
          <w:bCs/>
          <w:color w:val="auto"/>
          <w:sz w:val="28"/>
          <w:szCs w:val="28"/>
        </w:rPr>
        <w:t>文件的提交</w:t>
      </w:r>
      <w:bookmarkEnd w:id="17"/>
    </w:p>
    <w:p>
      <w:pPr>
        <w:adjustRightInd w:val="0"/>
        <w:snapToGrid w:val="0"/>
        <w:spacing w:line="360" w:lineRule="exact"/>
        <w:ind w:firstLine="409" w:firstLineChars="195"/>
        <w:rPr>
          <w:rFonts w:hint="eastAsia" w:ascii="宋体" w:hAnsi="宋体" w:cs="宋体"/>
          <w:color w:val="auto"/>
        </w:rPr>
      </w:pPr>
      <w:bookmarkStart w:id="20"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lang w:eastAsia="zh-CN"/>
        </w:rPr>
        <w:t>供应商</w:t>
      </w:r>
      <w:r>
        <w:rPr>
          <w:rFonts w:hint="eastAsia" w:ascii="宋体" w:hAnsi="宋体" w:cs="宋体"/>
          <w:color w:val="auto"/>
        </w:rPr>
        <w:t>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w:t>
      </w:r>
      <w:r>
        <w:rPr>
          <w:rFonts w:hint="eastAsia" w:ascii="宋体" w:hAnsi="宋体" w:cs="宋体"/>
          <w:color w:val="auto"/>
          <w:lang w:eastAsia="zh-CN"/>
        </w:rPr>
        <w:t>供应商</w:t>
      </w:r>
      <w:r>
        <w:rPr>
          <w:rFonts w:hint="eastAsia" w:ascii="宋体" w:hAnsi="宋体" w:cs="宋体"/>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19"/>
      <w:bookmarkEnd w:id="2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不足三家，采购人将依法重新开展询价或申请转变采购方式；只有两家投标单位的，现场转为竞争性谈判；仅有一家投标单位的，直接转为单一来源；若无投标单位的，在不调整预算的情况下可由业主单位直接发包或自行采购</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1" w:name="_Toc471299093"/>
      <w:bookmarkStart w:id="22" w:name="_Toc31686"/>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（七）报价响应及答疑</w:t>
      </w:r>
      <w:bookmarkEnd w:id="21"/>
      <w:bookmarkEnd w:id="22"/>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rPr>
        <w:t>根据《政府采购法》的相关规定均应是本国货物，优先采购节能、环保产品。如涉及政府强制采购节能产品，必须在财政部公布的强制采购产品清单范围内选择适用产品。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3" w:name="_Toc471299094"/>
      <w:bookmarkStart w:id="24" w:name="_Toc1065"/>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（八）确定成交供应商与签订合同</w:t>
      </w:r>
      <w:bookmarkEnd w:id="23"/>
      <w:bookmarkEnd w:id="2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5" w:name="_Toc382"/>
      <w:bookmarkStart w:id="26" w:name="_Toc471299095"/>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（九）澄清及变更</w:t>
      </w:r>
      <w:bookmarkEnd w:id="25"/>
      <w:bookmarkEnd w:id="2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7" w:name="_Toc471299096"/>
      <w:bookmarkStart w:id="28" w:name="_Toc23222"/>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（十）验收</w:t>
      </w:r>
      <w:bookmarkEnd w:id="27"/>
      <w:bookmarkEnd w:id="28"/>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9" w:name="_Toc471299097"/>
      <w:bookmarkStart w:id="30" w:name="_Toc23894"/>
    </w:p>
    <w:p>
      <w:pPr>
        <w:pStyle w:val="7"/>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（十一）质疑</w:t>
      </w:r>
      <w:bookmarkEnd w:id="29"/>
      <w:bookmarkEnd w:id="30"/>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default" w:ascii="宋体" w:hAnsi="宋体"/>
          <w:bCs/>
          <w:color w:val="auto"/>
          <w:sz w:val="21"/>
          <w:szCs w:val="21"/>
          <w:lang w:val="en-US"/>
        </w:rPr>
      </w:pPr>
      <w:r>
        <w:rPr>
          <w:rFonts w:hint="eastAsia" w:ascii="宋体" w:hAnsi="宋体"/>
          <w:bCs/>
          <w:color w:val="auto"/>
          <w:sz w:val="21"/>
          <w:szCs w:val="21"/>
        </w:rPr>
        <w:t>2、质疑应在规定时限内提出：</w:t>
      </w:r>
      <w:r>
        <w:rPr>
          <w:rFonts w:hint="eastAsia" w:ascii="宋体" w:hAnsi="宋体"/>
          <w:bCs/>
          <w:color w:val="auto"/>
          <w:sz w:val="21"/>
          <w:szCs w:val="21"/>
          <w:lang w:eastAsia="zh-CN"/>
        </w:rPr>
        <w:t>质疑询价文件需在询价截止时间前</w:t>
      </w:r>
      <w:r>
        <w:rPr>
          <w:rFonts w:hint="eastAsia" w:ascii="宋体" w:hAnsi="宋体"/>
          <w:bCs/>
          <w:color w:val="auto"/>
          <w:sz w:val="21"/>
          <w:szCs w:val="21"/>
          <w:lang w:val="en-US" w:eastAsia="zh-CN"/>
        </w:rPr>
        <w:t>2天将质疑电子版及纸质版（需加盖供应商公章）提交至514453063@qq.com，质疑纸质版需送至安徽大别山工程咨询有限公司111办公室。</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采购人</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采购人</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37"/>
        <w:keepNext/>
        <w:keepLines/>
        <w:pageBreakBefore w:val="0"/>
        <w:widowControl w:val="0"/>
        <w:tabs>
          <w:tab w:val="left" w:pos="1978"/>
          <w:tab w:val="center" w:pos="4482"/>
        </w:tabs>
        <w:kinsoku/>
        <w:wordWrap/>
        <w:overflowPunct/>
        <w:topLinePunct w:val="0"/>
        <w:autoSpaceDE/>
        <w:autoSpaceDN/>
        <w:bidi w:val="0"/>
        <w:adjustRightInd w:val="0"/>
        <w:snapToGrid/>
        <w:spacing w:after="0" w:afterAutospacing="0"/>
        <w:jc w:val="center"/>
        <w:textAlignment w:val="baseline"/>
        <w:outlineLvl w:val="0"/>
        <w:rPr>
          <w:rFonts w:hint="eastAsia"/>
          <w:color w:val="auto"/>
          <w:sz w:val="28"/>
          <w:szCs w:val="28"/>
        </w:rPr>
      </w:pPr>
      <w:bookmarkStart w:id="31" w:name="_Toc25805"/>
      <w:bookmarkStart w:id="32" w:name="_Toc8300_WPSOffice_Level1"/>
      <w:r>
        <w:rPr>
          <w:rFonts w:hint="eastAsia" w:ascii="宋体" w:hAnsi="宋体" w:eastAsia="宋体" w:cs="宋体"/>
          <w:b/>
          <w:color w:val="auto"/>
          <w:kern w:val="0"/>
          <w:sz w:val="30"/>
          <w:szCs w:val="30"/>
          <w:lang w:val="en-US" w:eastAsia="zh-CN" w:bidi="ar-SA"/>
        </w:rPr>
        <w:t>三、</w:t>
      </w:r>
      <w:bookmarkEnd w:id="18"/>
      <w:bookmarkEnd w:id="31"/>
      <w:bookmarkEnd w:id="32"/>
      <w:bookmarkStart w:id="33" w:name="_Toc12757"/>
      <w:bookmarkStart w:id="34" w:name="_Toc16484_WPSOffice_Level1"/>
      <w:bookmarkStart w:id="35" w:name="_Toc363199273"/>
      <w:r>
        <w:rPr>
          <w:rFonts w:hint="eastAsia"/>
          <w:color w:val="auto"/>
          <w:sz w:val="28"/>
          <w:szCs w:val="28"/>
        </w:rPr>
        <w:t>采购合同（甲乙双方可自行拟定）</w:t>
      </w:r>
    </w:p>
    <w:p>
      <w:pPr>
        <w:pStyle w:val="17"/>
        <w:spacing w:beforeAutospacing="0" w:after="5700" w:afterAutospacing="0"/>
        <w:ind w:left="0" w:leftChars="0" w:firstLine="0" w:firstLineChars="0"/>
        <w:jc w:val="both"/>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3"/>
    <w:bookmarkEnd w:id="34"/>
    <w:p>
      <w:pPr>
        <w:numPr>
          <w:ilvl w:val="0"/>
          <w:numId w:val="1"/>
        </w:numPr>
        <w:jc w:val="center"/>
        <w:outlineLvl w:val="0"/>
        <w:rPr>
          <w:rFonts w:hint="eastAsia" w:ascii="宋体" w:hAnsi="宋体" w:eastAsia="宋体" w:cs="宋体"/>
          <w:b/>
          <w:bCs w:val="0"/>
          <w:sz w:val="28"/>
          <w:szCs w:val="28"/>
          <w:lang w:eastAsia="zh-CN"/>
        </w:rPr>
      </w:pPr>
      <w:r>
        <w:rPr>
          <w:rFonts w:hint="eastAsia" w:ascii="宋体" w:hAnsi="宋体" w:eastAsia="宋体" w:cs="宋体"/>
          <w:b/>
          <w:bCs w:val="0"/>
          <w:sz w:val="28"/>
          <w:szCs w:val="28"/>
          <w:lang w:eastAsia="zh-CN"/>
        </w:rPr>
        <w:t>采购需求</w:t>
      </w: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jc w:val="center"/>
        <w:rPr>
          <w:rFonts w:hint="default" w:ascii="Calibri" w:hAnsi="Calibri" w:eastAsia="宋体" w:cs="Times New Roman"/>
          <w:b/>
          <w:sz w:val="28"/>
          <w:szCs w:val="22"/>
          <w:lang w:val="en-US" w:eastAsia="zh-CN"/>
        </w:rPr>
      </w:pPr>
      <w:r>
        <w:rPr>
          <w:rFonts w:hint="eastAsia" w:ascii="Calibri" w:hAnsi="Calibri" w:eastAsia="宋体" w:cs="Times New Roman"/>
          <w:b/>
          <w:sz w:val="28"/>
          <w:szCs w:val="22"/>
        </w:rPr>
        <w:t>超低温冰箱</w:t>
      </w:r>
      <w:r>
        <w:rPr>
          <w:rFonts w:hint="eastAsia" w:ascii="Calibri" w:hAnsi="Calibri" w:eastAsia="宋体" w:cs="Times New Roman"/>
          <w:b/>
          <w:sz w:val="28"/>
          <w:szCs w:val="22"/>
          <w:lang w:val="en-US" w:eastAsia="zh-CN"/>
        </w:rPr>
        <w:t>*1台</w:t>
      </w:r>
    </w:p>
    <w:p>
      <w:pPr>
        <w:rPr>
          <w:rFonts w:hint="eastAsia" w:ascii="Calibri" w:hAnsi="Calibri" w:eastAsia="宋体" w:cs="Times New Roman"/>
          <w:szCs w:val="22"/>
        </w:rPr>
      </w:pPr>
    </w:p>
    <w:p>
      <w:pPr>
        <w:rPr>
          <w:rFonts w:hint="eastAsia" w:ascii="Calibri" w:hAnsi="Calibri" w:eastAsia="宋体" w:cs="Times New Roman"/>
          <w:szCs w:val="22"/>
        </w:rPr>
      </w:pPr>
      <w:r>
        <w:rPr>
          <w:rFonts w:hint="eastAsia" w:ascii="Calibri" w:hAnsi="Calibri" w:eastAsia="宋体" w:cs="Times New Roman"/>
          <w:szCs w:val="22"/>
        </w:rPr>
        <w:t>一、功能描述：保存病毒、病菌、红细胞、白细胞、皮肤、骨骼、精液、生物制品、远洋制品、电子器件、特殊材料的低温试验等，适用于血站、医院、防疫站、科研院所、电子化工等企业实验室、生物医学工程研究所，远洋渔业公司等</w:t>
      </w:r>
    </w:p>
    <w:p>
      <w:pPr>
        <w:rPr>
          <w:rFonts w:hint="eastAsia" w:ascii="Calibri" w:hAnsi="Calibri" w:eastAsia="宋体" w:cs="Times New Roman"/>
          <w:szCs w:val="22"/>
        </w:rPr>
      </w:pPr>
      <w:r>
        <w:rPr>
          <w:rFonts w:hint="eastAsia" w:ascii="Calibri" w:hAnsi="Calibri" w:eastAsia="宋体" w:cs="Times New Roman"/>
          <w:szCs w:val="22"/>
        </w:rPr>
        <w:t>二、技术要求及配置：</w:t>
      </w:r>
    </w:p>
    <w:p>
      <w:pPr>
        <w:rPr>
          <w:rFonts w:hint="eastAsia" w:ascii="Calibri" w:hAnsi="Calibri" w:eastAsia="宋体" w:cs="Times New Roman"/>
          <w:szCs w:val="22"/>
        </w:rPr>
      </w:pPr>
      <w:r>
        <w:rPr>
          <w:rFonts w:hint="eastAsia" w:ascii="Calibri" w:hAnsi="Calibri" w:eastAsia="宋体" w:cs="Times New Roman"/>
          <w:szCs w:val="22"/>
        </w:rPr>
        <w:t>2.1、工作条件：环境温度10～32℃，电源220V/50Hz</w:t>
      </w:r>
    </w:p>
    <w:p>
      <w:pPr>
        <w:rPr>
          <w:rFonts w:hint="eastAsia" w:ascii="Calibri" w:hAnsi="Calibri" w:eastAsia="宋体" w:cs="Times New Roman"/>
          <w:szCs w:val="22"/>
        </w:rPr>
      </w:pPr>
      <w:r>
        <w:rPr>
          <w:rFonts w:hint="eastAsia" w:ascii="Calibri" w:hAnsi="Calibri" w:eastAsia="宋体" w:cs="Times New Roman"/>
          <w:szCs w:val="22"/>
        </w:rPr>
        <w:t>2.2、样式：立式</w:t>
      </w:r>
    </w:p>
    <w:p>
      <w:pPr>
        <w:rPr>
          <w:rFonts w:hint="eastAsia" w:ascii="Calibri" w:hAnsi="Calibri" w:eastAsia="宋体" w:cs="Times New Roman"/>
          <w:szCs w:val="22"/>
        </w:rPr>
      </w:pPr>
      <w:r>
        <w:rPr>
          <w:rFonts w:hint="eastAsia" w:ascii="Calibri" w:hAnsi="Calibri" w:eastAsia="宋体" w:cs="Times New Roman"/>
          <w:szCs w:val="22"/>
        </w:rPr>
        <w:t>2.3、有效容积≥330L</w:t>
      </w:r>
    </w:p>
    <w:p>
      <w:pPr>
        <w:rPr>
          <w:rFonts w:hint="eastAsia" w:ascii="Calibri" w:hAnsi="Calibri" w:eastAsia="宋体" w:cs="Times New Roman"/>
          <w:szCs w:val="22"/>
        </w:rPr>
      </w:pPr>
      <w:r>
        <w:rPr>
          <w:rFonts w:hint="eastAsia" w:ascii="Calibri" w:hAnsi="Calibri" w:eastAsia="宋体" w:cs="Times New Roman"/>
          <w:szCs w:val="22"/>
        </w:rPr>
        <w:t>2.4、外部尺寸： 812*893*1846mm，箱体设计宽度为725mm，适合进入门宽750mm以上门；</w:t>
      </w:r>
    </w:p>
    <w:p>
      <w:pPr>
        <w:rPr>
          <w:rFonts w:hint="eastAsia" w:ascii="Calibri" w:hAnsi="Calibri" w:eastAsia="宋体" w:cs="Times New Roman"/>
          <w:szCs w:val="22"/>
        </w:rPr>
      </w:pPr>
      <w:r>
        <w:rPr>
          <w:rFonts w:hint="eastAsia" w:ascii="Calibri" w:hAnsi="Calibri" w:eastAsia="宋体" w:cs="Times New Roman"/>
          <w:szCs w:val="22"/>
        </w:rPr>
        <w:t>2.5、内部尺寸：465*630*1165mm，内胆材质为彩色涂层电锌钢板</w:t>
      </w:r>
    </w:p>
    <w:p>
      <w:pPr>
        <w:rPr>
          <w:rFonts w:hint="eastAsia" w:ascii="Calibri" w:hAnsi="Calibri" w:eastAsia="宋体" w:cs="Times New Roman"/>
          <w:szCs w:val="22"/>
        </w:rPr>
      </w:pPr>
      <w:r>
        <w:rPr>
          <w:rFonts w:hint="eastAsia" w:ascii="Calibri" w:hAnsi="Calibri" w:eastAsia="宋体" w:cs="Times New Roman"/>
          <w:szCs w:val="22"/>
        </w:rPr>
        <w:t>2.6、净重/毛重（KG）：238/278Kg</w:t>
      </w:r>
    </w:p>
    <w:p>
      <w:pPr>
        <w:rPr>
          <w:rFonts w:hint="eastAsia" w:ascii="Calibri" w:hAnsi="Calibri" w:eastAsia="宋体" w:cs="Times New Roman"/>
          <w:szCs w:val="22"/>
        </w:rPr>
      </w:pPr>
      <w:r>
        <w:rPr>
          <w:rFonts w:hint="eastAsia" w:ascii="Calibri" w:hAnsi="Calibri" w:eastAsia="宋体" w:cs="Times New Roman"/>
          <w:szCs w:val="22"/>
        </w:rPr>
        <w:t>2.7、整机装箱量216个冻存盒，整机样本量提升至21600份（10*10）；</w:t>
      </w:r>
    </w:p>
    <w:p>
      <w:pPr>
        <w:rPr>
          <w:rFonts w:hint="eastAsia" w:ascii="Calibri" w:hAnsi="Calibri" w:eastAsia="宋体" w:cs="Times New Roman"/>
          <w:szCs w:val="22"/>
        </w:rPr>
      </w:pPr>
      <w:r>
        <w:rPr>
          <w:rFonts w:hint="eastAsia" w:ascii="Calibri" w:hAnsi="Calibri" w:eastAsia="宋体" w:cs="Times New Roman"/>
          <w:szCs w:val="22"/>
        </w:rPr>
        <w:t xml:space="preserve">2.8、温度控制：微电脑控制，温度数字显示，,箱内温度-40℃~-86℃可调，超温报警，断电记忆； </w:t>
      </w:r>
    </w:p>
    <w:p>
      <w:pPr>
        <w:rPr>
          <w:rFonts w:hint="eastAsia" w:ascii="Calibri" w:hAnsi="Calibri" w:eastAsia="宋体" w:cs="Times New Roman"/>
          <w:szCs w:val="22"/>
        </w:rPr>
      </w:pPr>
      <w:r>
        <w:rPr>
          <w:rFonts w:hint="eastAsia" w:ascii="Calibri" w:hAnsi="Calibri" w:eastAsia="宋体" w:cs="Times New Roman"/>
          <w:szCs w:val="22"/>
        </w:rPr>
        <w:t>★2.9、安全系统：多种故障报警（高低温报警、传感器故障报警、门开报警、冷凝器脏报警、电池电量低报警）；两种报警方式（声音蜂鸣报警、灯光闪烁报警）；多重保护功能（开机延时保护可设定时间、显示面板密码锁功能）；所有部件独立接地；</w:t>
      </w:r>
    </w:p>
    <w:p>
      <w:pPr>
        <w:rPr>
          <w:rFonts w:hint="eastAsia" w:ascii="Calibri" w:hAnsi="Calibri" w:eastAsia="宋体" w:cs="Times New Roman"/>
          <w:szCs w:val="22"/>
        </w:rPr>
      </w:pPr>
      <w:r>
        <w:rPr>
          <w:rFonts w:hint="eastAsia" w:ascii="Calibri" w:hAnsi="Calibri" w:eastAsia="宋体" w:cs="Times New Roman"/>
          <w:szCs w:val="22"/>
        </w:rPr>
        <w:t>★2.10、显示：LED显示屏，可显示箱内温度，设定温度，环境温度，输入电压。能设定高低温报警和箱内温度，具有故障提示预警功能。</w:t>
      </w:r>
    </w:p>
    <w:p>
      <w:pPr>
        <w:rPr>
          <w:rFonts w:hint="eastAsia" w:ascii="Calibri" w:hAnsi="Calibri" w:eastAsia="宋体" w:cs="Times New Roman"/>
          <w:szCs w:val="22"/>
        </w:rPr>
      </w:pPr>
      <w:r>
        <w:rPr>
          <w:rFonts w:hint="eastAsia" w:ascii="Calibri" w:hAnsi="Calibri" w:eastAsia="宋体" w:cs="Times New Roman"/>
          <w:szCs w:val="22"/>
        </w:rPr>
        <w:t>★2.11、采用HC制冷系统，节能环保，需明确所使用制冷剂的名称及装入量，且可燃制冷剂灌注量符合国家安全标准,灌注量不能高于150g。</w:t>
      </w:r>
    </w:p>
    <w:p>
      <w:pPr>
        <w:rPr>
          <w:rFonts w:hint="eastAsia" w:ascii="Calibri" w:hAnsi="Calibri" w:eastAsia="宋体" w:cs="Times New Roman"/>
          <w:szCs w:val="22"/>
        </w:rPr>
      </w:pPr>
      <w:r>
        <w:rPr>
          <w:rFonts w:hint="eastAsia" w:ascii="Calibri" w:hAnsi="Calibri" w:eastAsia="宋体" w:cs="Times New Roman"/>
          <w:szCs w:val="22"/>
        </w:rPr>
        <w:t>★2.12、门：外门1个，内门2个；发泡结构内门，有效保温，最大限度避免打开外门后，冷量泄露。可调节搁架，便于物体存放；</w:t>
      </w:r>
    </w:p>
    <w:p>
      <w:pPr>
        <w:rPr>
          <w:rFonts w:hint="eastAsia" w:ascii="Calibri" w:hAnsi="Calibri" w:eastAsia="宋体" w:cs="Times New Roman"/>
          <w:szCs w:val="22"/>
        </w:rPr>
      </w:pPr>
      <w:r>
        <w:rPr>
          <w:rFonts w:hint="eastAsia" w:ascii="Calibri" w:hAnsi="Calibri" w:eastAsia="宋体" w:cs="Times New Roman"/>
          <w:szCs w:val="22"/>
        </w:rPr>
        <w:t>“创新式”一体式外门门锁手把设计，；紧凑式脚轮设计，灵活方便； 不锈钢内门手把，结实耐用。</w:t>
      </w:r>
    </w:p>
    <w:p>
      <w:pPr>
        <w:rPr>
          <w:rFonts w:hint="eastAsia" w:ascii="Calibri" w:hAnsi="Calibri" w:eastAsia="宋体" w:cs="Times New Roman"/>
          <w:szCs w:val="22"/>
        </w:rPr>
      </w:pPr>
      <w:r>
        <w:rPr>
          <w:rFonts w:hint="eastAsia" w:ascii="Calibri" w:hAnsi="Calibri" w:eastAsia="宋体" w:cs="Times New Roman"/>
          <w:szCs w:val="22"/>
        </w:rPr>
        <w:t xml:space="preserve">★2.13、外门四层，内门一层，共5层密封结构设计：采用耐腐蚀的橡胶材料，抗菌性能优越，加宽、多层密封条设计，密封性更好；气囊结构设计保温更好。发泡内门密封性更好，存取物品温度回升小； </w:t>
      </w:r>
    </w:p>
    <w:p>
      <w:pPr>
        <w:rPr>
          <w:rFonts w:hint="eastAsia" w:ascii="Calibri" w:hAnsi="Calibri" w:eastAsia="宋体" w:cs="Times New Roman"/>
          <w:szCs w:val="22"/>
        </w:rPr>
      </w:pPr>
      <w:r>
        <w:rPr>
          <w:rFonts w:hint="eastAsia" w:ascii="Calibri" w:hAnsi="Calibri" w:eastAsia="宋体" w:cs="Times New Roman"/>
          <w:szCs w:val="22"/>
        </w:rPr>
        <w:t>★2.14、隔热层：VIP航空隔热真空保温材料+无氟发泡剂，保温效果好。</w:t>
      </w:r>
    </w:p>
    <w:p>
      <w:pPr>
        <w:rPr>
          <w:rFonts w:hint="eastAsia" w:ascii="Calibri" w:hAnsi="Calibri" w:eastAsia="宋体" w:cs="Times New Roman"/>
          <w:szCs w:val="22"/>
        </w:rPr>
      </w:pPr>
      <w:r>
        <w:rPr>
          <w:rFonts w:hint="eastAsia" w:ascii="Calibri" w:hAnsi="Calibri" w:eastAsia="宋体" w:cs="Times New Roman"/>
          <w:szCs w:val="22"/>
        </w:rPr>
        <w:t xml:space="preserve">★2.15、创新双级复叠碳氢制冷系统设计，选用HC制冷剂，含氟为0，绝对环保。 </w:t>
      </w:r>
    </w:p>
    <w:p>
      <w:pPr>
        <w:rPr>
          <w:rFonts w:hint="eastAsia" w:ascii="Calibri" w:hAnsi="Calibri" w:eastAsia="宋体" w:cs="Times New Roman"/>
          <w:szCs w:val="22"/>
        </w:rPr>
      </w:pPr>
      <w:r>
        <w:rPr>
          <w:rFonts w:hint="eastAsia" w:ascii="Calibri" w:hAnsi="Calibri" w:eastAsia="宋体" w:cs="Times New Roman"/>
          <w:szCs w:val="22"/>
        </w:rPr>
        <w:t>★2.16、进口SECOP压缩机，质量更可靠，EBM进口低噪音，节能风机，提高系统安全性和可靠性；</w:t>
      </w:r>
    </w:p>
    <w:p>
      <w:pPr>
        <w:rPr>
          <w:rFonts w:hint="eastAsia" w:ascii="Calibri" w:hAnsi="Calibri" w:eastAsia="宋体" w:cs="Times New Roman"/>
          <w:szCs w:val="22"/>
        </w:rPr>
      </w:pPr>
      <w:r>
        <w:rPr>
          <w:rFonts w:hint="eastAsia" w:ascii="Calibri" w:hAnsi="Calibri" w:eastAsia="宋体" w:cs="Times New Roman"/>
          <w:szCs w:val="22"/>
        </w:rPr>
        <w:t xml:space="preserve">★2.17、搁架可调，方便用户存储物品，宽气候带设计，适合10℃到32℃使用；可选配温度记录仪和冻存架、冻存盒、远程报警功能； </w:t>
      </w:r>
    </w:p>
    <w:p>
      <w:pPr>
        <w:rPr>
          <w:rFonts w:hint="eastAsia" w:ascii="Calibri" w:hAnsi="Calibri" w:eastAsia="宋体" w:cs="Times New Roman"/>
          <w:szCs w:val="22"/>
        </w:rPr>
      </w:pPr>
      <w:r>
        <w:rPr>
          <w:rFonts w:hint="eastAsia" w:ascii="Calibri" w:hAnsi="Calibri" w:eastAsia="宋体" w:cs="Times New Roman"/>
          <w:szCs w:val="22"/>
        </w:rPr>
        <w:t>★2.18、双锁结构设计,自带暗锁，每个锁配带4把钥匙，同时可用挂锁，保证用户存储物品安全性，既安全又可靠。</w:t>
      </w:r>
    </w:p>
    <w:p>
      <w:pPr>
        <w:rPr>
          <w:rFonts w:hint="eastAsia" w:ascii="Calibri" w:hAnsi="Calibri" w:eastAsia="宋体" w:cs="Times New Roman"/>
          <w:szCs w:val="22"/>
        </w:rPr>
      </w:pPr>
      <w:r>
        <w:rPr>
          <w:rFonts w:hint="eastAsia" w:ascii="Calibri" w:hAnsi="Calibri" w:eastAsia="宋体" w:cs="Times New Roman"/>
          <w:szCs w:val="22"/>
        </w:rPr>
        <w:t>★2.19、双测试孔设计，方便用户实验使用和监控箱内温度；</w:t>
      </w:r>
    </w:p>
    <w:p>
      <w:pPr>
        <w:rPr>
          <w:rFonts w:hint="eastAsia" w:ascii="Calibri" w:hAnsi="Calibri" w:eastAsia="宋体" w:cs="Times New Roman"/>
          <w:szCs w:val="22"/>
        </w:rPr>
      </w:pPr>
      <w:r>
        <w:rPr>
          <w:rFonts w:hint="eastAsia" w:ascii="Calibri" w:hAnsi="Calibri" w:eastAsia="宋体" w:cs="Times New Roman"/>
          <w:szCs w:val="22"/>
        </w:rPr>
        <w:t>★2.20、可选配网络接口，选配同品牌智能温度记录仪、冷链安全监控系统，全程监控并记录冷链设备运行状态，并短信报警；</w:t>
      </w:r>
    </w:p>
    <w:p>
      <w:pPr>
        <w:rPr>
          <w:rFonts w:hint="eastAsia" w:ascii="Calibri" w:hAnsi="Calibri" w:eastAsia="宋体" w:cs="Times New Roman"/>
          <w:szCs w:val="22"/>
        </w:rPr>
      </w:pPr>
      <w:r>
        <w:rPr>
          <w:rFonts w:hint="eastAsia" w:ascii="Calibri" w:hAnsi="Calibri" w:eastAsia="宋体" w:cs="Times New Roman"/>
          <w:szCs w:val="22"/>
        </w:rPr>
        <w:t>★2.21、可选配样本资源管理信息化系统；规范、便捷管理样本；</w:t>
      </w:r>
    </w:p>
    <w:p>
      <w:pPr>
        <w:rPr>
          <w:rFonts w:hint="eastAsia" w:ascii="Calibri" w:hAnsi="Calibri" w:eastAsia="宋体" w:cs="Times New Roman"/>
          <w:szCs w:val="22"/>
        </w:rPr>
      </w:pPr>
      <w:r>
        <w:rPr>
          <w:rFonts w:hint="eastAsia" w:ascii="Calibri" w:hAnsi="Calibri" w:eastAsia="宋体" w:cs="Times New Roman"/>
          <w:szCs w:val="22"/>
        </w:rPr>
        <w:t>★2.22标配USB模块，可同步记录箱内实际温度、设定温度、高低温报警温度、输入电压、环境温度等数据10年以上。</w:t>
      </w:r>
    </w:p>
    <w:p>
      <w:pPr>
        <w:rPr>
          <w:rFonts w:hint="eastAsia" w:ascii="Calibri" w:hAnsi="Calibri" w:eastAsia="宋体" w:cs="Times New Roman"/>
          <w:szCs w:val="22"/>
        </w:rPr>
      </w:pPr>
      <w:r>
        <w:rPr>
          <w:rFonts w:hint="eastAsia" w:ascii="Calibri" w:hAnsi="Calibri" w:eastAsia="宋体" w:cs="Times New Roman"/>
          <w:szCs w:val="22"/>
        </w:rPr>
        <w:t>★2.23、25℃环温时，降温速度≤4.5小时</w:t>
      </w:r>
    </w:p>
    <w:p>
      <w:pPr>
        <w:rPr>
          <w:rFonts w:hint="eastAsia" w:ascii="Calibri" w:hAnsi="Calibri" w:eastAsia="宋体" w:cs="Times New Roman"/>
          <w:szCs w:val="22"/>
        </w:rPr>
      </w:pPr>
      <w:r>
        <w:rPr>
          <w:rFonts w:hint="eastAsia" w:ascii="Calibri" w:hAnsi="Calibri" w:eastAsia="宋体" w:cs="Times New Roman"/>
          <w:szCs w:val="22"/>
        </w:rPr>
        <w:t>2.24、整机运行功率650W,</w:t>
      </w:r>
    </w:p>
    <w:p>
      <w:pPr>
        <w:rPr>
          <w:rFonts w:hint="eastAsia" w:ascii="Calibri" w:hAnsi="Calibri" w:eastAsia="宋体" w:cs="Times New Roman"/>
          <w:szCs w:val="22"/>
        </w:rPr>
      </w:pPr>
      <w:r>
        <w:rPr>
          <w:rFonts w:hint="eastAsia" w:ascii="Calibri" w:hAnsi="Calibri" w:eastAsia="宋体" w:cs="Times New Roman"/>
          <w:szCs w:val="22"/>
        </w:rPr>
        <w:t>★2.25、25℃环温时，国家第三方权威结构认证单日耗电量小于7.5KW.h/24h，同容积段世界第一，并通过了国家电子电器安全质量监督检验中心检验，同时产品获得国家唯一的节能认证和环保认证。</w:t>
      </w:r>
    </w:p>
    <w:p>
      <w:pPr>
        <w:rPr>
          <w:rFonts w:hint="eastAsia" w:ascii="Calibri" w:hAnsi="Calibri" w:eastAsia="宋体" w:cs="Times New Roman"/>
          <w:szCs w:val="22"/>
        </w:rPr>
      </w:pPr>
      <w:r>
        <w:rPr>
          <w:rFonts w:hint="eastAsia" w:ascii="Calibri" w:hAnsi="Calibri" w:eastAsia="宋体" w:cs="Times New Roman"/>
          <w:szCs w:val="22"/>
        </w:rPr>
        <w:t>★2.26、整机温度均匀性号，箱内每层5点（四角及中心），整机多于20点测试，最高温度与最低温度的差≤±4℃，确保存储的样本温度均匀。</w:t>
      </w:r>
    </w:p>
    <w:p>
      <w:pPr>
        <w:rPr>
          <w:rFonts w:hint="eastAsia" w:ascii="Calibri" w:hAnsi="Calibri" w:eastAsia="宋体" w:cs="Times New Roman"/>
          <w:szCs w:val="22"/>
        </w:rPr>
      </w:pPr>
      <w:r>
        <w:rPr>
          <w:rFonts w:hint="eastAsia" w:ascii="Calibri" w:hAnsi="Calibri" w:eastAsia="宋体" w:cs="Times New Roman"/>
          <w:szCs w:val="22"/>
        </w:rPr>
        <w:t>★2.27、自动加热门体平衡孔设计，彻底解决短时间内连续多次开门，不用等待。</w:t>
      </w:r>
    </w:p>
    <w:p>
      <w:pPr>
        <w:rPr>
          <w:rFonts w:hint="eastAsia" w:ascii="Calibri" w:hAnsi="Calibri" w:eastAsia="宋体" w:cs="Times New Roman"/>
          <w:szCs w:val="22"/>
        </w:rPr>
      </w:pPr>
      <w:r>
        <w:rPr>
          <w:rFonts w:hint="eastAsia" w:ascii="Calibri" w:hAnsi="Calibri" w:eastAsia="宋体" w:cs="Times New Roman"/>
          <w:szCs w:val="22"/>
        </w:rPr>
        <w:t>★2.28、标配5V冷链供电系统，专门为冷链采集模块供电，避免外部供电杂乱、触电风险。</w:t>
      </w:r>
    </w:p>
    <w:p>
      <w:pPr>
        <w:rPr>
          <w:rFonts w:hint="eastAsia" w:ascii="Calibri" w:hAnsi="Calibri" w:eastAsia="宋体" w:cs="Times New Roman"/>
          <w:szCs w:val="22"/>
        </w:rPr>
      </w:pPr>
      <w:r>
        <w:rPr>
          <w:rFonts w:hint="eastAsia" w:ascii="Calibri" w:hAnsi="Calibri" w:eastAsia="宋体" w:cs="Times New Roman"/>
          <w:szCs w:val="22"/>
        </w:rPr>
        <w:t>2.29、制造商通过ISO9001、ISO13485、ISO14001认证、GB/T28001认证；获得医疗器械生产企业许可证，产品具有医疗器械注册证， CE认证。</w:t>
      </w:r>
    </w:p>
    <w:p>
      <w:pPr>
        <w:rPr>
          <w:rFonts w:hint="eastAsia" w:ascii="Calibri" w:hAnsi="Calibri" w:eastAsia="宋体" w:cs="Times New Roman"/>
          <w:szCs w:val="22"/>
        </w:rPr>
      </w:pPr>
    </w:p>
    <w:p>
      <w:pPr>
        <w:rPr>
          <w:rFonts w:hint="eastAsia" w:ascii="Calibri" w:hAnsi="Calibri" w:eastAsia="宋体" w:cs="Times New Roman"/>
          <w:szCs w:val="22"/>
        </w:rPr>
      </w:pPr>
    </w:p>
    <w:p>
      <w:pPr>
        <w:jc w:val="center"/>
        <w:rPr>
          <w:rFonts w:hint="eastAsia" w:ascii="Calibri" w:hAnsi="Calibri" w:eastAsia="宋体" w:cs="Times New Roman"/>
          <w:b/>
          <w:sz w:val="28"/>
          <w:szCs w:val="22"/>
        </w:rPr>
      </w:pPr>
      <w:r>
        <w:rPr>
          <w:rFonts w:hint="eastAsia" w:ascii="Calibri" w:hAnsi="Calibri" w:eastAsia="宋体" w:cs="Times New Roman"/>
          <w:b/>
          <w:sz w:val="28"/>
          <w:szCs w:val="22"/>
        </w:rPr>
        <w:t>生物安全柜</w:t>
      </w:r>
      <w:r>
        <w:rPr>
          <w:rFonts w:hint="eastAsia" w:ascii="Calibri" w:hAnsi="Calibri" w:eastAsia="宋体" w:cs="Times New Roman"/>
          <w:b/>
          <w:sz w:val="28"/>
          <w:szCs w:val="22"/>
          <w:lang w:val="en-US" w:eastAsia="zh-CN"/>
        </w:rPr>
        <w:t>*1台</w:t>
      </w:r>
    </w:p>
    <w:p>
      <w:pPr>
        <w:jc w:val="center"/>
        <w:rPr>
          <w:rFonts w:hint="eastAsia" w:ascii="Calibri" w:hAnsi="Calibri" w:eastAsia="宋体" w:cs="Times New Roman"/>
          <w:b/>
          <w:sz w:val="28"/>
          <w:szCs w:val="22"/>
        </w:rPr>
      </w:pPr>
    </w:p>
    <w:p>
      <w:pPr>
        <w:rPr>
          <w:rFonts w:hint="eastAsia" w:ascii="Calibri" w:hAnsi="Calibri" w:eastAsia="宋体" w:cs="Times New Roman"/>
          <w:szCs w:val="22"/>
        </w:rPr>
      </w:pPr>
      <w:r>
        <w:rPr>
          <w:rFonts w:hint="eastAsia" w:ascii="Calibri" w:hAnsi="Calibri" w:eastAsia="宋体" w:cs="Times New Roman"/>
          <w:szCs w:val="22"/>
        </w:rPr>
        <w:t>1、II 级 A2 型生物安全柜，气流循环模式:30%外排，70%循环;</w:t>
      </w:r>
    </w:p>
    <w:p>
      <w:pPr>
        <w:rPr>
          <w:rFonts w:hint="eastAsia" w:ascii="Calibri" w:hAnsi="Calibri" w:eastAsia="宋体" w:cs="Times New Roman"/>
          <w:szCs w:val="22"/>
        </w:rPr>
      </w:pPr>
      <w:r>
        <w:rPr>
          <w:rFonts w:hint="eastAsia" w:ascii="Calibri" w:hAnsi="Calibri" w:eastAsia="宋体" w:cs="Times New Roman"/>
          <w:szCs w:val="22"/>
        </w:rPr>
        <w:t>2、工作区宽度为 4 英尺，适合 1-2 人操作;</w:t>
      </w:r>
    </w:p>
    <w:p>
      <w:pPr>
        <w:rPr>
          <w:rFonts w:hint="eastAsia" w:ascii="Calibri" w:hAnsi="Calibri" w:eastAsia="宋体" w:cs="Times New Roman"/>
          <w:szCs w:val="22"/>
        </w:rPr>
      </w:pPr>
      <w:r>
        <w:rPr>
          <w:rFonts w:hint="eastAsia" w:ascii="Calibri" w:hAnsi="Calibri" w:eastAsia="宋体" w:cs="Times New Roman"/>
          <w:szCs w:val="22"/>
        </w:rPr>
        <w:t xml:space="preserve">3、满足流入气流:0.55±0.025 m/s ，下降气流:0.34±0.025 m/s，接近最佳气流匹配。 </w:t>
      </w:r>
    </w:p>
    <w:p>
      <w:pPr>
        <w:rPr>
          <w:rFonts w:hint="eastAsia" w:ascii="Calibri" w:hAnsi="Calibri" w:eastAsia="宋体" w:cs="Times New Roman"/>
          <w:szCs w:val="22"/>
        </w:rPr>
      </w:pPr>
      <w:r>
        <w:rPr>
          <w:rFonts w:hint="eastAsia" w:ascii="Calibri" w:hAnsi="Calibri" w:eastAsia="宋体" w:cs="Times New Roman"/>
          <w:szCs w:val="22"/>
        </w:rPr>
        <w:t>★4、送风过滤器和排风过滤器均采用进口品牌防潮、阻燃玻璃纤维超高效过滤器 ULPA，对 0.12 微米 颗粒物过滤效率为 99.9995%。洁净度等级 10 级，使空气更洁净更安全，并且具有过滤器寿命不足 10%的 预警，告知操作者过滤器需要更换。</w:t>
      </w:r>
    </w:p>
    <w:p>
      <w:pPr>
        <w:rPr>
          <w:rFonts w:hint="eastAsia" w:ascii="Calibri" w:hAnsi="Calibri" w:eastAsia="宋体" w:cs="Times New Roman"/>
          <w:szCs w:val="22"/>
        </w:rPr>
      </w:pPr>
      <w:r>
        <w:rPr>
          <w:rFonts w:hint="eastAsia" w:ascii="Calibri" w:hAnsi="Calibri" w:eastAsia="宋体" w:cs="Times New Roman"/>
          <w:szCs w:val="22"/>
        </w:rPr>
        <w:t>5、 LCD液晶屏显示，可显示下降风速、流入风速、过滤器寿命、紫外灯预约时间、日期/时间、正/负 压力及排风量等参数，方便观察设备运行情况;</w:t>
      </w:r>
    </w:p>
    <w:p>
      <w:pPr>
        <w:rPr>
          <w:rFonts w:hint="eastAsia" w:ascii="Calibri" w:hAnsi="Calibri" w:eastAsia="宋体" w:cs="Times New Roman"/>
          <w:szCs w:val="22"/>
        </w:rPr>
      </w:pPr>
      <w:r>
        <w:rPr>
          <w:rFonts w:hint="eastAsia" w:ascii="Calibri" w:hAnsi="Calibri" w:eastAsia="宋体" w:cs="Times New Roman"/>
          <w:szCs w:val="22"/>
        </w:rPr>
        <w:t>★6、配备两个美国 SMI 品牌气压传感器和温湿度传感器及微风速传感器:可实时检测并显示工作区 内温湿度，热球式风速传感器，实时监测工作区风速及操作区安全状态;</w:t>
      </w:r>
    </w:p>
    <w:p>
      <w:pPr>
        <w:rPr>
          <w:rFonts w:hint="eastAsia" w:ascii="Calibri" w:hAnsi="Calibri" w:eastAsia="宋体" w:cs="Times New Roman"/>
          <w:szCs w:val="22"/>
        </w:rPr>
      </w:pPr>
      <w:r>
        <w:rPr>
          <w:rFonts w:hint="eastAsia" w:ascii="Calibri" w:hAnsi="Calibri" w:eastAsia="宋体" w:cs="Times New Roman"/>
          <w:szCs w:val="22"/>
        </w:rPr>
        <w:t>★7、具有紫外灯一键式预约功能，自由设置 0 分钟到 24 小时自动开启/关闭时间、灭菌间隔，减少等待 时间，同时紫外灯剩余寿命不足 10%发出更换预警;</w:t>
      </w:r>
    </w:p>
    <w:p>
      <w:pPr>
        <w:rPr>
          <w:rFonts w:hint="eastAsia" w:ascii="Calibri" w:hAnsi="Calibri" w:eastAsia="宋体" w:cs="Times New Roman"/>
          <w:szCs w:val="22"/>
        </w:rPr>
      </w:pPr>
      <w:r>
        <w:rPr>
          <w:rFonts w:hint="eastAsia" w:ascii="Calibri" w:hAnsi="Calibri" w:eastAsia="宋体" w:cs="Times New Roman"/>
          <w:szCs w:val="22"/>
        </w:rPr>
        <w:t>8、前窗玻璃门采用不低于 6mm 安全钢化玻璃，具有良好的防爆、防碎及防紫外的功能，在断电情况下， 可将玻璃门下拉至正常关闭位置以下，无死角，便于清洁玻璃门上半部分及其内表面，维持玻璃门良 好透光性和清洁度;</w:t>
      </w:r>
    </w:p>
    <w:p>
      <w:pPr>
        <w:rPr>
          <w:rFonts w:hint="eastAsia" w:ascii="Calibri" w:hAnsi="Calibri" w:eastAsia="宋体" w:cs="Times New Roman"/>
          <w:szCs w:val="22"/>
        </w:rPr>
      </w:pPr>
      <w:r>
        <w:rPr>
          <w:rFonts w:hint="eastAsia" w:ascii="Calibri" w:hAnsi="Calibri" w:eastAsia="宋体" w:cs="Times New Roman"/>
          <w:szCs w:val="22"/>
        </w:rPr>
        <w:t>★9、安全性能保障:具备紫外消毒、荧光灯、前窗及风机的四者联动互锁系统;</w:t>
      </w:r>
    </w:p>
    <w:p>
      <w:pPr>
        <w:rPr>
          <w:rFonts w:hint="eastAsia" w:ascii="Calibri" w:hAnsi="Calibri" w:eastAsia="宋体" w:cs="Times New Roman"/>
          <w:szCs w:val="22"/>
        </w:rPr>
      </w:pPr>
      <w:r>
        <w:rPr>
          <w:rFonts w:hint="eastAsia" w:ascii="Calibri" w:hAnsi="Calibri" w:eastAsia="宋体" w:cs="Times New Roman"/>
          <w:szCs w:val="22"/>
        </w:rPr>
        <w:t xml:space="preserve">10、智能报警模式，异常状况全监控:出现开门高度异常报警，流入风速过大/过小报警，下降风速过 大/过小报警、温湿度过高/过低报警、硬件故障报警等异常情况，自动发出声光报警; </w:t>
      </w:r>
    </w:p>
    <w:p>
      <w:pPr>
        <w:rPr>
          <w:rFonts w:hint="eastAsia" w:ascii="Calibri" w:hAnsi="Calibri" w:eastAsia="宋体" w:cs="Times New Roman"/>
          <w:szCs w:val="22"/>
        </w:rPr>
      </w:pPr>
      <w:r>
        <w:rPr>
          <w:rFonts w:hint="eastAsia" w:ascii="Calibri" w:hAnsi="Calibri" w:eastAsia="宋体" w:cs="Times New Roman"/>
          <w:szCs w:val="22"/>
        </w:rPr>
        <w:t xml:space="preserve">★11、防水插座定时专利技术:具有防水插座 2 个，可实现定时开启/关闭功能，整机具有断电保护功能。 </w:t>
      </w:r>
    </w:p>
    <w:p>
      <w:pPr>
        <w:rPr>
          <w:rFonts w:hint="eastAsia" w:ascii="Calibri" w:hAnsi="Calibri" w:eastAsia="宋体" w:cs="Times New Roman"/>
          <w:szCs w:val="22"/>
        </w:rPr>
      </w:pPr>
      <w:r>
        <w:rPr>
          <w:rFonts w:hint="eastAsia" w:ascii="Calibri" w:hAnsi="Calibri" w:eastAsia="宋体" w:cs="Times New Roman"/>
          <w:szCs w:val="22"/>
        </w:rPr>
        <w:t xml:space="preserve">★12、配备两个美国 SMI 品牌气压传感器和一个微风速传感器的智能恒风速专利设计技术，根据工作区风 速气流变化自动调整风机转速，保持工作区恒定风速;进口风压传感器，实时监测并显示正压区和负压区 的压力，压力变化超限时自动声光报警。 </w:t>
      </w:r>
    </w:p>
    <w:p>
      <w:pPr>
        <w:rPr>
          <w:rFonts w:hint="eastAsia" w:ascii="Calibri" w:hAnsi="Calibri" w:eastAsia="宋体" w:cs="Times New Roman"/>
          <w:szCs w:val="22"/>
        </w:rPr>
      </w:pPr>
      <w:r>
        <w:rPr>
          <w:rFonts w:hint="eastAsia" w:ascii="Calibri" w:hAnsi="Calibri" w:eastAsia="宋体" w:cs="Times New Roman"/>
          <w:szCs w:val="22"/>
        </w:rPr>
        <w:t>★13、气流阻断专利技术，杜绝防护盲点:对前窗上沿和两侧采用气流阻断专利技术，杜绝安全防护盲点。</w:t>
      </w:r>
    </w:p>
    <w:p>
      <w:pPr>
        <w:rPr>
          <w:rFonts w:hint="eastAsia" w:ascii="Calibri" w:hAnsi="Calibri" w:eastAsia="宋体" w:cs="Times New Roman"/>
          <w:szCs w:val="22"/>
        </w:rPr>
      </w:pPr>
      <w:r>
        <w:rPr>
          <w:rFonts w:hint="eastAsia" w:ascii="Calibri" w:hAnsi="Calibri" w:eastAsia="宋体" w:cs="Times New Roman"/>
          <w:szCs w:val="22"/>
        </w:rPr>
        <w:t>★14、低噪绿色节能模式:在人体感应模块监测到操作人员离开 15 分钟后，程序自动将安全柜切换到 LNS 模式，降低风机档位，在保证风速在标准范围内同时，持续提供工作区洁净环境和操作人员的保护。</w:t>
      </w:r>
    </w:p>
    <w:p>
      <w:pPr>
        <w:rPr>
          <w:rFonts w:hint="eastAsia" w:ascii="Calibri" w:hAnsi="Calibri" w:eastAsia="宋体" w:cs="Times New Roman"/>
          <w:szCs w:val="22"/>
        </w:rPr>
      </w:pPr>
      <w:r>
        <w:rPr>
          <w:rFonts w:hint="eastAsia" w:ascii="Calibri" w:hAnsi="Calibri" w:eastAsia="宋体" w:cs="Times New Roman"/>
          <w:szCs w:val="22"/>
        </w:rPr>
        <w:t>15、独特的专业气流组织模式设计及 V 型进风口设计，使工作台面气流更均匀。</w:t>
      </w:r>
    </w:p>
    <w:p>
      <w:pPr>
        <w:rPr>
          <w:rFonts w:hint="eastAsia" w:ascii="Calibri" w:hAnsi="Calibri" w:eastAsia="宋体" w:cs="Times New Roman"/>
          <w:szCs w:val="22"/>
        </w:rPr>
      </w:pPr>
      <w:r>
        <w:rPr>
          <w:rFonts w:hint="eastAsia" w:ascii="Calibri" w:hAnsi="Calibri" w:eastAsia="宋体" w:cs="Times New Roman"/>
          <w:szCs w:val="22"/>
        </w:rPr>
        <w:t>16、人性化设计:进风口的提手设计、可拆卸式搁手架，以及人体工学原理的前操作面 10°倾斜角设计， 使用舒适，减少疲劳。</w:t>
      </w:r>
    </w:p>
    <w:p>
      <w:pPr>
        <w:rPr>
          <w:rFonts w:hint="eastAsia" w:ascii="Calibri" w:hAnsi="Calibri" w:eastAsia="宋体" w:cs="Times New Roman"/>
          <w:szCs w:val="22"/>
        </w:rPr>
      </w:pPr>
      <w:r>
        <w:rPr>
          <w:rFonts w:hint="eastAsia" w:ascii="Calibri" w:hAnsi="Calibri" w:eastAsia="宋体" w:cs="Times New Roman"/>
          <w:szCs w:val="22"/>
        </w:rPr>
        <w:t>17、 组合式底架万向脚轮设计、无任何裸露螺纹。</w:t>
      </w:r>
    </w:p>
    <w:p>
      <w:pPr>
        <w:rPr>
          <w:rFonts w:hint="eastAsia" w:ascii="Calibri" w:hAnsi="Calibri" w:eastAsia="宋体" w:cs="Times New Roman"/>
          <w:szCs w:val="22"/>
        </w:rPr>
      </w:pPr>
      <w:r>
        <w:rPr>
          <w:rFonts w:hint="eastAsia" w:ascii="Calibri" w:hAnsi="Calibri" w:eastAsia="宋体" w:cs="Times New Roman"/>
          <w:szCs w:val="22"/>
        </w:rPr>
        <w:t>★18、同时具有 CFDA 三类医疗器械注册证、欧洲安全柜标准 EN12469 认证、CE 认证。</w:t>
      </w:r>
    </w:p>
    <w:p>
      <w:pPr>
        <w:rPr>
          <w:rFonts w:hint="eastAsia" w:ascii="Calibri" w:hAnsi="Calibri" w:eastAsia="宋体" w:cs="Times New Roman"/>
          <w:szCs w:val="22"/>
        </w:rPr>
      </w:pPr>
      <w:r>
        <w:rPr>
          <w:rFonts w:hint="eastAsia" w:ascii="Calibri" w:hAnsi="Calibri" w:eastAsia="宋体" w:cs="Times New Roman"/>
          <w:szCs w:val="22"/>
        </w:rPr>
        <w:t>19、提供生产厂家出具的针对本项目售后服务承诺书;</w:t>
      </w:r>
    </w:p>
    <w:p>
      <w:pPr>
        <w:rPr>
          <w:rFonts w:hint="eastAsia" w:ascii="Calibri" w:hAnsi="Calibri" w:eastAsia="宋体" w:cs="Times New Roman"/>
          <w:szCs w:val="22"/>
        </w:rPr>
      </w:pPr>
    </w:p>
    <w:p>
      <w:pPr>
        <w:rPr>
          <w:rFonts w:hint="eastAsia" w:ascii="Calibri" w:hAnsi="Calibri" w:eastAsia="宋体" w:cs="Times New Roman"/>
          <w:szCs w:val="22"/>
        </w:rPr>
      </w:pPr>
    </w:p>
    <w:p>
      <w:pPr>
        <w:rPr>
          <w:rFonts w:hint="eastAsia" w:ascii="Calibri" w:hAnsi="Calibri" w:eastAsia="宋体" w:cs="Times New Roman"/>
          <w:szCs w:val="22"/>
        </w:rPr>
      </w:pPr>
    </w:p>
    <w:p>
      <w:pPr>
        <w:jc w:val="center"/>
        <w:rPr>
          <w:rFonts w:hint="eastAsia" w:ascii="Calibri" w:hAnsi="Calibri" w:eastAsia="宋体" w:cs="Times New Roman"/>
          <w:b/>
          <w:sz w:val="28"/>
          <w:szCs w:val="22"/>
        </w:rPr>
      </w:pPr>
      <w:r>
        <w:rPr>
          <w:rFonts w:hint="eastAsia" w:ascii="Calibri" w:hAnsi="Calibri" w:eastAsia="宋体" w:cs="Times New Roman"/>
          <w:b/>
          <w:sz w:val="28"/>
          <w:szCs w:val="22"/>
        </w:rPr>
        <w:t>医用冷藏箱</w:t>
      </w:r>
      <w:r>
        <w:rPr>
          <w:rFonts w:hint="eastAsia" w:ascii="Calibri" w:hAnsi="Calibri" w:eastAsia="宋体" w:cs="Times New Roman"/>
          <w:b/>
          <w:sz w:val="28"/>
          <w:szCs w:val="22"/>
          <w:lang w:val="en-US" w:eastAsia="zh-CN"/>
        </w:rPr>
        <w:t>*1台</w:t>
      </w:r>
    </w:p>
    <w:p>
      <w:pPr>
        <w:jc w:val="center"/>
        <w:rPr>
          <w:rFonts w:hint="eastAsia" w:ascii="Calibri" w:hAnsi="Calibri" w:eastAsia="宋体" w:cs="Times New Roman"/>
          <w:b/>
          <w:sz w:val="28"/>
          <w:szCs w:val="22"/>
        </w:rPr>
      </w:pPr>
    </w:p>
    <w:p>
      <w:pPr>
        <w:rPr>
          <w:rFonts w:hint="eastAsia" w:ascii="Calibri" w:hAnsi="Calibri" w:eastAsia="宋体" w:cs="Times New Roman"/>
          <w:szCs w:val="22"/>
        </w:rPr>
      </w:pPr>
      <w:r>
        <w:rPr>
          <w:rFonts w:hint="eastAsia" w:ascii="Calibri" w:hAnsi="Calibri" w:eastAsia="宋体" w:cs="Times New Roman"/>
          <w:szCs w:val="22"/>
        </w:rPr>
        <w:t>1、有效容积：有效容积≥310L；</w:t>
      </w:r>
    </w:p>
    <w:p>
      <w:pPr>
        <w:rPr>
          <w:rFonts w:hint="eastAsia" w:ascii="Calibri" w:hAnsi="Calibri" w:eastAsia="宋体" w:cs="Times New Roman"/>
          <w:szCs w:val="22"/>
        </w:rPr>
      </w:pPr>
      <w:r>
        <w:rPr>
          <w:rFonts w:hint="eastAsia" w:ascii="Calibri" w:hAnsi="Calibri" w:eastAsia="宋体" w:cs="Times New Roman"/>
          <w:szCs w:val="22"/>
        </w:rPr>
        <w:t>★2、整体结构：立式单门，采用喷涂钢板箱体和PS吸附内胆，便于箱内清洁、消毒；</w:t>
      </w:r>
    </w:p>
    <w:p>
      <w:pPr>
        <w:rPr>
          <w:rFonts w:hint="eastAsia" w:ascii="Calibri" w:hAnsi="Calibri" w:eastAsia="宋体" w:cs="Times New Roman"/>
          <w:szCs w:val="22"/>
        </w:rPr>
      </w:pPr>
      <w:r>
        <w:rPr>
          <w:rFonts w:hint="eastAsia" w:ascii="Calibri" w:hAnsi="Calibri" w:eastAsia="宋体" w:cs="Times New Roman"/>
          <w:szCs w:val="22"/>
        </w:rPr>
        <w:t>★3、温度控制:箱温湿度双屏大尺寸显示，微电脑控制，温度范围2-8℃，温度显示精度0.1℃，调整增量为0.1℃，LCD显示屏显示；</w:t>
      </w:r>
    </w:p>
    <w:p>
      <w:pPr>
        <w:rPr>
          <w:rFonts w:hint="eastAsia" w:ascii="Calibri" w:hAnsi="Calibri" w:eastAsia="宋体" w:cs="Times New Roman"/>
          <w:szCs w:val="22"/>
        </w:rPr>
      </w:pPr>
      <w:r>
        <w:rPr>
          <w:rFonts w:hint="eastAsia" w:ascii="Calibri" w:hAnsi="Calibri" w:eastAsia="宋体" w:cs="Times New Roman"/>
          <w:szCs w:val="22"/>
        </w:rPr>
        <w:t>★4、核心组件：采用名牌压缩机，碳氢制冷剂，节能环保，采用进口品牌风机，制冷效果佳，质量可靠、性能稳定、使用寿命长；并能提供铭牌证明；</w:t>
      </w:r>
    </w:p>
    <w:p>
      <w:pPr>
        <w:rPr>
          <w:rFonts w:hint="eastAsia" w:ascii="Calibri" w:hAnsi="Calibri" w:eastAsia="宋体" w:cs="Times New Roman"/>
          <w:szCs w:val="22"/>
        </w:rPr>
      </w:pPr>
      <w:r>
        <w:rPr>
          <w:rFonts w:hint="eastAsia" w:ascii="Calibri" w:hAnsi="Calibri" w:eastAsia="宋体" w:cs="Times New Roman"/>
          <w:szCs w:val="22"/>
        </w:rPr>
        <w:t>5、制冷系统：采用板式蒸发器设计，制冷速度快，丝管式冷凝器设计，散热效果好；</w:t>
      </w:r>
    </w:p>
    <w:p>
      <w:pPr>
        <w:rPr>
          <w:rFonts w:hint="eastAsia" w:ascii="Calibri" w:hAnsi="Calibri" w:eastAsia="宋体" w:cs="Times New Roman"/>
          <w:szCs w:val="22"/>
        </w:rPr>
      </w:pPr>
      <w:r>
        <w:rPr>
          <w:rFonts w:hint="eastAsia" w:ascii="Calibri" w:hAnsi="Calibri" w:eastAsia="宋体" w:cs="Times New Roman"/>
          <w:szCs w:val="22"/>
        </w:rPr>
        <w:t>★6、资质认证：产品的制造厂家通过ISO9001、ISO13485认证，产品具有医疗器械注册证,品牌保证，安全性更高；</w:t>
      </w:r>
    </w:p>
    <w:p>
      <w:pPr>
        <w:rPr>
          <w:rFonts w:hint="eastAsia" w:ascii="Calibri" w:hAnsi="Calibri" w:eastAsia="宋体" w:cs="Times New Roman"/>
          <w:szCs w:val="22"/>
        </w:rPr>
      </w:pPr>
      <w:r>
        <w:rPr>
          <w:rFonts w:hint="eastAsia" w:ascii="Calibri" w:hAnsi="Calibri" w:eastAsia="宋体" w:cs="Times New Roman"/>
          <w:szCs w:val="22"/>
        </w:rPr>
        <w:t>★7、温度均匀性：采用高性能保温材料，保温效果好，导风板设计,风冷循环，保证箱体温度均匀性≤3℃；</w:t>
      </w:r>
    </w:p>
    <w:p>
      <w:pPr>
        <w:rPr>
          <w:rFonts w:hint="eastAsia" w:ascii="Calibri" w:hAnsi="Calibri" w:eastAsia="宋体" w:cs="Times New Roman"/>
          <w:szCs w:val="22"/>
        </w:rPr>
      </w:pPr>
      <w:r>
        <w:rPr>
          <w:rFonts w:hint="eastAsia" w:ascii="Calibri" w:hAnsi="Calibri" w:eastAsia="宋体" w:cs="Times New Roman"/>
          <w:szCs w:val="22"/>
        </w:rPr>
        <w:t>★8、门体结构：采用真空双层钢化玻璃门体，利用风机使机舱内的高温空气形成层流吹到门体上，将门体上的凝露蒸发掉；</w:t>
      </w:r>
    </w:p>
    <w:p>
      <w:pPr>
        <w:rPr>
          <w:rFonts w:hint="eastAsia" w:ascii="Calibri" w:hAnsi="Calibri" w:eastAsia="宋体" w:cs="Times New Roman"/>
          <w:szCs w:val="22"/>
        </w:rPr>
      </w:pPr>
      <w:r>
        <w:rPr>
          <w:rFonts w:hint="eastAsia" w:ascii="Calibri" w:hAnsi="Calibri" w:eastAsia="宋体" w:cs="Times New Roman"/>
          <w:szCs w:val="22"/>
        </w:rPr>
        <w:t>★9、安全系统：多重故障报警，具有蜂鸣报警和灯光闪烁两种报警方式，可实现断电报警、高低温报警、传感故障报警；</w:t>
      </w:r>
    </w:p>
    <w:p>
      <w:pPr>
        <w:rPr>
          <w:rFonts w:hint="eastAsia" w:ascii="Calibri" w:hAnsi="Calibri" w:eastAsia="宋体" w:cs="Times New Roman"/>
          <w:szCs w:val="22"/>
        </w:rPr>
      </w:pPr>
      <w:r>
        <w:rPr>
          <w:rFonts w:hint="eastAsia" w:ascii="Calibri" w:hAnsi="Calibri" w:eastAsia="宋体" w:cs="Times New Roman"/>
          <w:szCs w:val="22"/>
        </w:rPr>
        <w:t>10、合理布局：多层搁架设计，搁架间距可调，充分利用箱内空间；出厂标配4个蘸塑搁架，数量可增加；</w:t>
      </w:r>
    </w:p>
    <w:p>
      <w:pPr>
        <w:rPr>
          <w:rFonts w:hint="eastAsia" w:ascii="Calibri" w:hAnsi="Calibri" w:eastAsia="宋体" w:cs="Times New Roman"/>
          <w:szCs w:val="22"/>
        </w:rPr>
      </w:pPr>
      <w:r>
        <w:rPr>
          <w:rFonts w:hint="eastAsia" w:ascii="Calibri" w:hAnsi="Calibri" w:eastAsia="宋体" w:cs="Times New Roman"/>
          <w:szCs w:val="22"/>
        </w:rPr>
        <w:t>11、柜内照明：内设照明灯，柜内试剂一目了然；</w:t>
      </w:r>
    </w:p>
    <w:p>
      <w:pPr>
        <w:rPr>
          <w:rFonts w:hint="eastAsia" w:ascii="Calibri" w:hAnsi="Calibri" w:eastAsia="宋体" w:cs="Times New Roman"/>
          <w:szCs w:val="22"/>
        </w:rPr>
      </w:pPr>
      <w:r>
        <w:rPr>
          <w:rFonts w:hint="eastAsia" w:ascii="Calibri" w:hAnsi="Calibri" w:eastAsia="宋体" w:cs="Times New Roman"/>
          <w:szCs w:val="22"/>
        </w:rPr>
        <w:t>12、冷凝蒸发：冷凝水汇集后自动蒸发，免除人工处理冷凝水的烦恼；</w:t>
      </w:r>
    </w:p>
    <w:p>
      <w:pPr>
        <w:rPr>
          <w:rFonts w:hint="eastAsia" w:ascii="Calibri" w:hAnsi="Calibri" w:eastAsia="宋体" w:cs="Times New Roman"/>
          <w:szCs w:val="22"/>
        </w:rPr>
      </w:pPr>
      <w:r>
        <w:rPr>
          <w:rFonts w:hint="eastAsia" w:ascii="Calibri" w:hAnsi="Calibri" w:eastAsia="宋体" w:cs="Times New Roman"/>
          <w:szCs w:val="22"/>
        </w:rPr>
        <w:t>13、温度监控：产品配有一个测试孔，方便客户接入各式设备，对箱内温度进行监测；</w:t>
      </w:r>
    </w:p>
    <w:p>
      <w:pPr>
        <w:rPr>
          <w:rFonts w:hint="eastAsia" w:ascii="Calibri" w:hAnsi="Calibri" w:eastAsia="宋体" w:cs="Times New Roman"/>
          <w:szCs w:val="22"/>
        </w:rPr>
      </w:pPr>
      <w:r>
        <w:rPr>
          <w:rFonts w:hint="eastAsia" w:ascii="Calibri" w:hAnsi="Calibri" w:eastAsia="宋体" w:cs="Times New Roman"/>
          <w:szCs w:val="22"/>
        </w:rPr>
        <w:t>14、断电报警：温控器内置电池，满足产品断电后继续显示箱内的实时温度，持续时间至少20小时；</w:t>
      </w:r>
    </w:p>
    <w:p>
      <w:pPr>
        <w:rPr>
          <w:rFonts w:hint="eastAsia" w:ascii="Calibri" w:hAnsi="Calibri" w:eastAsia="宋体" w:cs="Times New Roman"/>
          <w:szCs w:val="22"/>
        </w:rPr>
      </w:pPr>
      <w:r>
        <w:rPr>
          <w:rFonts w:hint="eastAsia" w:ascii="Calibri" w:hAnsi="Calibri" w:eastAsia="宋体" w:cs="Times New Roman"/>
          <w:szCs w:val="22"/>
        </w:rPr>
        <w:t>15、固定移动：产品配备4个可调节底脚，固定方便；</w:t>
      </w:r>
    </w:p>
    <w:p>
      <w:pPr>
        <w:rPr>
          <w:rFonts w:hint="eastAsia" w:ascii="Calibri" w:hAnsi="Calibri" w:eastAsia="宋体" w:cs="Times New Roman"/>
          <w:szCs w:val="22"/>
        </w:rPr>
      </w:pPr>
      <w:r>
        <w:rPr>
          <w:rFonts w:hint="eastAsia" w:ascii="Calibri" w:hAnsi="Calibri" w:eastAsia="宋体" w:cs="Times New Roman"/>
          <w:szCs w:val="22"/>
        </w:rPr>
        <w:t>★16、安全保障：门体自带安全锁，同时在左下角配置挂锁，双重安全保障；</w:t>
      </w:r>
    </w:p>
    <w:p>
      <w:pPr>
        <w:rPr>
          <w:rFonts w:hint="eastAsia" w:ascii="Calibri" w:hAnsi="Calibri" w:eastAsia="宋体" w:cs="Times New Roman"/>
          <w:szCs w:val="22"/>
        </w:rPr>
      </w:pPr>
    </w:p>
    <w:p>
      <w:pPr>
        <w:widowControl/>
        <w:jc w:val="left"/>
        <w:rPr>
          <w:rFonts w:ascii="Calibri" w:hAnsi="Calibri" w:eastAsia="宋体" w:cs="Times New Roman"/>
          <w:szCs w:val="22"/>
        </w:rPr>
      </w:pPr>
      <w:r>
        <w:rPr>
          <w:rFonts w:ascii="Calibri" w:hAnsi="Calibri" w:eastAsia="宋体" w:cs="Times New Roman"/>
          <w:szCs w:val="22"/>
        </w:rPr>
        <w:br w:type="page"/>
      </w:r>
    </w:p>
    <w:p>
      <w:pPr>
        <w:jc w:val="center"/>
        <w:rPr>
          <w:rFonts w:hint="eastAsia" w:ascii="Calibri" w:hAnsi="Calibri" w:eastAsia="宋体" w:cs="Times New Roman"/>
          <w:b/>
          <w:sz w:val="28"/>
          <w:szCs w:val="22"/>
        </w:rPr>
      </w:pPr>
      <w:r>
        <w:rPr>
          <w:rFonts w:hint="eastAsia" w:ascii="Calibri" w:hAnsi="Calibri" w:eastAsia="宋体" w:cs="Times New Roman"/>
          <w:b/>
          <w:sz w:val="28"/>
          <w:szCs w:val="22"/>
        </w:rPr>
        <w:t>单通道可调移液器</w:t>
      </w:r>
      <w:r>
        <w:rPr>
          <w:rFonts w:hint="eastAsia" w:ascii="Calibri" w:hAnsi="Calibri" w:eastAsia="宋体" w:cs="Times New Roman"/>
          <w:b/>
          <w:sz w:val="28"/>
          <w:szCs w:val="22"/>
          <w:lang w:val="en-US" w:eastAsia="zh-CN"/>
        </w:rPr>
        <w:t>*2台</w:t>
      </w:r>
    </w:p>
    <w:p>
      <w:pPr>
        <w:rPr>
          <w:rFonts w:hint="eastAsia" w:ascii="Calibri" w:hAnsi="Calibri" w:eastAsia="宋体" w:cs="Times New Roman"/>
          <w:szCs w:val="22"/>
        </w:rPr>
      </w:pPr>
    </w:p>
    <w:p>
      <w:pPr>
        <w:rPr>
          <w:rFonts w:ascii="Calibri" w:hAnsi="Calibri" w:eastAsia="宋体" w:cs="Times New Roman"/>
          <w:szCs w:val="22"/>
        </w:rPr>
      </w:pPr>
      <w:r>
        <w:rPr>
          <w:rFonts w:hint="eastAsia" w:ascii="Calibri" w:hAnsi="Calibri" w:eastAsia="宋体" w:cs="Times New Roman"/>
          <w:szCs w:val="22"/>
        </w:rPr>
        <w:t>1、重量≤</w:t>
      </w:r>
      <w:r>
        <w:rPr>
          <w:rFonts w:ascii="Calibri" w:hAnsi="Calibri" w:eastAsia="宋体" w:cs="Times New Roman"/>
          <w:szCs w:val="22"/>
        </w:rPr>
        <w:t>113 g</w:t>
      </w:r>
    </w:p>
    <w:p>
      <w:pPr>
        <w:rPr>
          <w:rFonts w:ascii="Calibri" w:hAnsi="Calibri" w:eastAsia="宋体" w:cs="Times New Roman"/>
          <w:szCs w:val="22"/>
        </w:rPr>
      </w:pPr>
      <w:r>
        <w:rPr>
          <w:rFonts w:hint="eastAsia" w:ascii="Calibri" w:hAnsi="Calibri" w:eastAsia="宋体" w:cs="Times New Roman"/>
          <w:szCs w:val="22"/>
        </w:rPr>
        <w:t>2、采用高科技材质，重量轻、坚固耐用，耐高温抗腐蚀</w:t>
      </w:r>
    </w:p>
    <w:p>
      <w:pPr>
        <w:rPr>
          <w:rFonts w:ascii="Calibri" w:hAnsi="Calibri" w:eastAsia="宋体" w:cs="Times New Roman"/>
          <w:szCs w:val="22"/>
        </w:rPr>
      </w:pPr>
      <w:r>
        <w:rPr>
          <w:rFonts w:hint="eastAsia" w:ascii="Calibri" w:hAnsi="Calibri" w:eastAsia="宋体" w:cs="Times New Roman"/>
          <w:szCs w:val="22"/>
        </w:rPr>
        <w:t>3、可整支高温高压灭菌和紫外线灭菌，操作更安全</w:t>
      </w:r>
    </w:p>
    <w:p>
      <w:pPr>
        <w:rPr>
          <w:rFonts w:ascii="Calibri" w:hAnsi="Calibri" w:eastAsia="宋体" w:cs="Times New Roman"/>
          <w:szCs w:val="22"/>
        </w:rPr>
      </w:pPr>
      <w:r>
        <w:rPr>
          <w:rFonts w:hint="eastAsia" w:ascii="Calibri" w:hAnsi="Calibri" w:eastAsia="宋体" w:cs="Times New Roman"/>
          <w:szCs w:val="22"/>
        </w:rPr>
        <w:t>4、卓越的人体工程学设计，显著减少手、手臂和肩膀用力，避免手部重复性劳损（</w:t>
      </w:r>
      <w:r>
        <w:rPr>
          <w:rFonts w:ascii="Calibri" w:hAnsi="Calibri" w:eastAsia="宋体" w:cs="Times New Roman"/>
          <w:szCs w:val="22"/>
        </w:rPr>
        <w:t>RSI</w:t>
      </w:r>
      <w:r>
        <w:rPr>
          <w:rFonts w:hint="eastAsia" w:ascii="Calibri" w:hAnsi="Calibri" w:eastAsia="宋体" w:cs="Times New Roman"/>
          <w:szCs w:val="22"/>
        </w:rPr>
        <w:t>）</w:t>
      </w:r>
    </w:p>
    <w:p>
      <w:pPr>
        <w:rPr>
          <w:rFonts w:ascii="Calibri" w:hAnsi="Calibri" w:eastAsia="宋体" w:cs="Times New Roman"/>
          <w:szCs w:val="22"/>
        </w:rPr>
      </w:pPr>
      <w:r>
        <w:rPr>
          <w:rFonts w:hint="eastAsia" w:ascii="Calibri" w:hAnsi="Calibri" w:eastAsia="宋体" w:cs="Times New Roman"/>
          <w:szCs w:val="22"/>
        </w:rPr>
        <w:t>5、伸缩式弹性吸嘴设计，确保吸头装配的气密性和移液均一性</w:t>
      </w:r>
    </w:p>
    <w:p>
      <w:pPr>
        <w:rPr>
          <w:rFonts w:ascii="Calibri" w:hAnsi="Calibri" w:eastAsia="宋体" w:cs="Times New Roman"/>
          <w:szCs w:val="22"/>
        </w:rPr>
      </w:pPr>
      <w:r>
        <w:rPr>
          <w:rFonts w:hint="eastAsia" w:ascii="Calibri" w:hAnsi="Calibri" w:eastAsia="宋体" w:cs="Times New Roman"/>
          <w:szCs w:val="22"/>
        </w:rPr>
        <w:t>6、四位数字放大体积显示，位置合理，便于移液时观察</w:t>
      </w:r>
    </w:p>
    <w:p>
      <w:pPr>
        <w:rPr>
          <w:rFonts w:ascii="Calibri" w:hAnsi="Calibri" w:eastAsia="宋体" w:cs="Times New Roman"/>
          <w:szCs w:val="22"/>
        </w:rPr>
      </w:pPr>
      <w:r>
        <w:rPr>
          <w:rFonts w:hint="eastAsia" w:ascii="Calibri" w:hAnsi="Calibri" w:eastAsia="宋体" w:cs="Times New Roman"/>
          <w:szCs w:val="22"/>
        </w:rPr>
        <w:t>7、独有密度调节窗口，适用于不同密度的液体，通用性更广泛</w:t>
      </w:r>
    </w:p>
    <w:p>
      <w:pPr>
        <w:rPr>
          <w:rFonts w:ascii="Calibri" w:hAnsi="Calibri" w:eastAsia="宋体" w:cs="Times New Roman"/>
          <w:szCs w:val="22"/>
        </w:rPr>
      </w:pPr>
      <w:r>
        <w:rPr>
          <w:rFonts w:hint="eastAsia" w:ascii="Calibri" w:hAnsi="Calibri" w:eastAsia="宋体" w:cs="Times New Roman"/>
          <w:szCs w:val="22"/>
        </w:rPr>
        <w:t>8、量程：</w:t>
      </w:r>
      <w:r>
        <w:rPr>
          <w:rFonts w:ascii="Calibri" w:hAnsi="Calibri" w:eastAsia="宋体" w:cs="Times New Roman"/>
          <w:szCs w:val="22"/>
        </w:rPr>
        <w:t>20-200 μL</w:t>
      </w:r>
      <w:r>
        <w:rPr>
          <w:rFonts w:hint="eastAsia" w:ascii="Calibri" w:hAnsi="Calibri" w:eastAsia="宋体" w:cs="Times New Roman"/>
          <w:szCs w:val="22"/>
        </w:rPr>
        <w:t xml:space="preserve"> 一支，</w:t>
      </w:r>
      <w:r>
        <w:rPr>
          <w:rFonts w:ascii="Calibri" w:hAnsi="Calibri" w:eastAsia="宋体" w:cs="Times New Roman"/>
          <w:szCs w:val="22"/>
        </w:rPr>
        <w:t>0.5-5 mL一支</w:t>
      </w: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numPr>
          <w:ilvl w:val="0"/>
          <w:numId w:val="0"/>
        </w:numPr>
        <w:jc w:val="both"/>
        <w:outlineLvl w:val="0"/>
        <w:rPr>
          <w:rFonts w:hint="eastAsia" w:asciiTheme="majorEastAsia" w:hAnsiTheme="majorEastAsia" w:eastAsiaTheme="majorEastAsia" w:cstheme="majorEastAsia"/>
          <w:b/>
          <w:bCs/>
          <w:color w:val="auto"/>
          <w:sz w:val="21"/>
          <w:szCs w:val="21"/>
        </w:rPr>
      </w:pPr>
    </w:p>
    <w:p>
      <w:pPr>
        <w:numPr>
          <w:ilvl w:val="0"/>
          <w:numId w:val="0"/>
        </w:numPr>
        <w:jc w:val="both"/>
        <w:outlineLvl w:val="0"/>
        <w:rPr>
          <w:rFonts w:hint="eastAsia"/>
        </w:rPr>
      </w:pPr>
      <w:r>
        <w:rPr>
          <w:rFonts w:hint="eastAsia" w:asciiTheme="majorEastAsia" w:hAnsiTheme="majorEastAsia" w:eastAsiaTheme="majorEastAsia" w:cstheme="majorEastAsia"/>
          <w:b/>
          <w:bCs/>
          <w:color w:val="auto"/>
          <w:sz w:val="21"/>
          <w:szCs w:val="21"/>
        </w:rPr>
        <w:t>备注：</w:t>
      </w:r>
    </w:p>
    <w:p>
      <w:pPr>
        <w:numPr>
          <w:ilvl w:val="0"/>
          <w:numId w:val="0"/>
        </w:numPr>
        <w:ind w:firstLine="422" w:firstLineChars="200"/>
        <w:jc w:val="both"/>
        <w:outlineLvl w:val="0"/>
        <w:rPr>
          <w:rFonts w:hint="eastAsia" w:asciiTheme="majorEastAsia" w:hAnsiTheme="majorEastAsia" w:eastAsiaTheme="majorEastAsia" w:cstheme="majorEastAsia"/>
          <w:b/>
          <w:bCs/>
          <w:color w:val="auto"/>
          <w:sz w:val="21"/>
          <w:szCs w:val="21"/>
        </w:rPr>
      </w:pPr>
      <w:r>
        <w:rPr>
          <w:rFonts w:hint="eastAsia" w:asciiTheme="majorEastAsia" w:hAnsiTheme="majorEastAsia" w:eastAsiaTheme="majorEastAsia" w:cstheme="majorEastAsia"/>
          <w:b/>
          <w:bCs/>
          <w:color w:val="auto"/>
          <w:sz w:val="21"/>
          <w:szCs w:val="21"/>
        </w:rPr>
        <w:t>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bookmarkStart w:id="36" w:name="_Toc22507"/>
      <w:bookmarkStart w:id="37" w:name="_Toc3470"/>
      <w:bookmarkStart w:id="38" w:name="_Toc2011"/>
      <w:bookmarkStart w:id="39" w:name="_Toc11313"/>
      <w:bookmarkStart w:id="40" w:name="_Toc5486"/>
    </w:p>
    <w:p>
      <w:pPr>
        <w:numPr>
          <w:ilvl w:val="0"/>
          <w:numId w:val="0"/>
        </w:numPr>
        <w:ind w:firstLine="422" w:firstLineChars="200"/>
        <w:jc w:val="both"/>
        <w:outlineLvl w:val="0"/>
        <w:rPr>
          <w:rFonts w:hint="eastAsia"/>
        </w:rPr>
      </w:pPr>
      <w:r>
        <w:rPr>
          <w:rFonts w:hint="eastAsia" w:asciiTheme="majorEastAsia" w:hAnsiTheme="majorEastAsia" w:eastAsiaTheme="majorEastAsia" w:cstheme="majorEastAsia"/>
          <w:b/>
          <w:bCs/>
          <w:color w:val="auto"/>
          <w:sz w:val="21"/>
          <w:szCs w:val="21"/>
          <w:lang w:val="en-US" w:eastAsia="zh-CN"/>
        </w:rPr>
        <w:t>2、</w:t>
      </w:r>
      <w:r>
        <w:rPr>
          <w:rFonts w:hint="eastAsia" w:asciiTheme="majorEastAsia" w:hAnsiTheme="majorEastAsia" w:eastAsiaTheme="majorEastAsia" w:cstheme="majorEastAsia"/>
          <w:b/>
          <w:bCs/>
          <w:color w:val="auto"/>
          <w:sz w:val="21"/>
          <w:szCs w:val="21"/>
        </w:rPr>
        <w:t>采购项目所开具发票名称必须与</w:t>
      </w:r>
      <w:r>
        <w:rPr>
          <w:rFonts w:hint="eastAsia" w:asciiTheme="majorEastAsia" w:hAnsiTheme="majorEastAsia" w:eastAsiaTheme="majorEastAsia" w:cstheme="majorEastAsia"/>
          <w:b/>
          <w:bCs/>
          <w:color w:val="auto"/>
          <w:sz w:val="21"/>
          <w:szCs w:val="21"/>
          <w:lang w:eastAsia="zh-CN"/>
        </w:rPr>
        <w:t>成交供应商</w:t>
      </w:r>
      <w:r>
        <w:rPr>
          <w:rFonts w:hint="eastAsia" w:asciiTheme="majorEastAsia" w:hAnsiTheme="majorEastAsia" w:eastAsiaTheme="majorEastAsia" w:cstheme="majorEastAsia"/>
          <w:b/>
          <w:bCs/>
          <w:color w:val="auto"/>
          <w:sz w:val="21"/>
          <w:szCs w:val="21"/>
        </w:rPr>
        <w:t>单位名称一致。</w:t>
      </w:r>
      <w:bookmarkEnd w:id="36"/>
      <w:bookmarkEnd w:id="37"/>
      <w:bookmarkEnd w:id="38"/>
      <w:bookmarkEnd w:id="39"/>
      <w:bookmarkEnd w:id="40"/>
    </w:p>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br w:type="page"/>
      </w:r>
      <w:bookmarkStart w:id="41" w:name="_Toc4288_WPSOffice_Level1"/>
      <w:bookmarkStart w:id="42" w:name="_Toc11297"/>
    </w:p>
    <w:p>
      <w:pPr>
        <w:jc w:val="both"/>
        <w:rPr>
          <w:rFonts w:hint="eastAsia" w:ascii="宋体" w:hAnsi="宋体" w:eastAsia="宋体" w:cs="宋体"/>
          <w:color w:val="auto"/>
          <w:sz w:val="21"/>
          <w:szCs w:val="21"/>
        </w:rPr>
      </w:pPr>
    </w:p>
    <w:p>
      <w:pPr>
        <w:jc w:val="center"/>
        <w:rPr>
          <w:rFonts w:hint="eastAsia" w:ascii="宋体" w:hAnsi="宋体" w:eastAsia="宋体" w:cs="宋体"/>
          <w:color w:val="auto"/>
          <w:sz w:val="28"/>
          <w:szCs w:val="28"/>
        </w:rPr>
      </w:pPr>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1"/>
      <w:bookmarkEnd w:id="42"/>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bookmarkStart w:id="43" w:name="_Toc6546_WPSOffice_Level1"/>
      <w:r>
        <w:rPr>
          <w:rFonts w:hint="eastAsia" w:ascii="宋体" w:hAnsi="宋体" w:cs="宋体"/>
          <w:b/>
          <w:color w:val="auto"/>
          <w:sz w:val="32"/>
          <w:u w:val="single"/>
          <w:lang w:val="en-US" w:eastAsia="zh-CN"/>
        </w:rPr>
        <w:t xml:space="preserve">               </w:t>
      </w:r>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3"/>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4" w:name="_Toc12631_WPSOffice_Level1"/>
      <w:r>
        <w:rPr>
          <w:rFonts w:hint="eastAsia" w:ascii="宋体" w:hAnsi="宋体" w:eastAsia="宋体" w:cs="宋体"/>
          <w:b/>
          <w:color w:val="auto"/>
          <w:sz w:val="44"/>
          <w:szCs w:val="44"/>
        </w:rPr>
        <w:t>响</w:t>
      </w:r>
      <w:bookmarkEnd w:id="44"/>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5" w:name="_Toc13194_WPSOffice_Level1"/>
      <w:r>
        <w:rPr>
          <w:rFonts w:hint="eastAsia" w:ascii="宋体" w:hAnsi="宋体" w:eastAsia="宋体" w:cs="宋体"/>
          <w:b/>
          <w:color w:val="auto"/>
          <w:sz w:val="44"/>
          <w:szCs w:val="44"/>
        </w:rPr>
        <w:t>应</w:t>
      </w:r>
      <w:bookmarkEnd w:id="45"/>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6" w:name="_Toc28638_WPSOffice_Level1"/>
      <w:r>
        <w:rPr>
          <w:rFonts w:hint="eastAsia" w:ascii="宋体" w:hAnsi="宋体" w:eastAsia="宋体" w:cs="宋体"/>
          <w:b/>
          <w:color w:val="auto"/>
          <w:sz w:val="44"/>
          <w:szCs w:val="44"/>
        </w:rPr>
        <w:t>文</w:t>
      </w:r>
      <w:bookmarkEnd w:id="46"/>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7" w:name="_Toc21450_WPSOffice_Level1"/>
      <w:r>
        <w:rPr>
          <w:rFonts w:hint="eastAsia" w:ascii="宋体" w:hAnsi="宋体" w:eastAsia="宋体" w:cs="宋体"/>
          <w:b/>
          <w:color w:val="auto"/>
          <w:sz w:val="44"/>
          <w:szCs w:val="44"/>
        </w:rPr>
        <w:t>件</w:t>
      </w:r>
      <w:bookmarkEnd w:id="47"/>
    </w:p>
    <w:p>
      <w:pPr>
        <w:pStyle w:val="10"/>
        <w:jc w:val="center"/>
        <w:rPr>
          <w:rFonts w:ascii="黑体"/>
          <w:color w:val="auto"/>
          <w:sz w:val="44"/>
          <w:u w:val="single"/>
        </w:rPr>
      </w:pPr>
      <w:bookmarkStart w:id="48" w:name="_Toc30778_WPSOffice_Level1"/>
      <w:r>
        <w:rPr>
          <w:rFonts w:hint="eastAsia" w:ascii="黑体" w:hAnsi="Times New Roman" w:eastAsia="黑体"/>
          <w:color w:val="auto"/>
          <w:kern w:val="2"/>
          <w:sz w:val="32"/>
          <w:szCs w:val="22"/>
          <w:u w:val="single"/>
        </w:rPr>
        <w:t>正本（副本）</w:t>
      </w:r>
      <w:bookmarkEnd w:id="48"/>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9"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9"/>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0" w:name="_Toc19527_WPSOffice_Level1"/>
      <w:r>
        <w:rPr>
          <w:rFonts w:hint="eastAsia" w:ascii="宋体" w:hAnsi="宋体" w:cs="宋体"/>
          <w:b/>
          <w:color w:val="auto"/>
          <w:sz w:val="28"/>
          <w:szCs w:val="28"/>
          <w:lang w:val="en-US" w:eastAsia="zh-CN"/>
        </w:rPr>
        <w:t>供应商</w:t>
      </w:r>
      <w:r>
        <w:rPr>
          <w:rFonts w:hint="eastAsia" w:ascii="宋体" w:hAnsi="宋体" w:eastAsia="宋体" w:cs="宋体"/>
          <w:b/>
          <w:color w:val="auto"/>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（盖单位章）</w:t>
      </w:r>
      <w:bookmarkEnd w:id="50"/>
    </w:p>
    <w:p>
      <w:pPr>
        <w:spacing w:afterLines="50" w:line="500" w:lineRule="exact"/>
        <w:ind w:firstLine="562" w:firstLineChars="200"/>
        <w:rPr>
          <w:rFonts w:hint="eastAsia" w:ascii="宋体" w:hAnsi="宋体" w:eastAsia="宋体" w:cs="宋体"/>
          <w:b/>
          <w:color w:val="auto"/>
          <w:spacing w:val="20"/>
          <w:kern w:val="0"/>
          <w:sz w:val="28"/>
          <w:szCs w:val="28"/>
          <w:u w:val="single"/>
          <w:lang w:eastAsia="zh-CN"/>
        </w:rPr>
      </w:pPr>
      <w:bookmarkStart w:id="51"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（签字或盖章）</w:t>
      </w:r>
      <w:bookmarkEnd w:id="51"/>
    </w:p>
    <w:p>
      <w:pPr>
        <w:spacing w:afterLines="50" w:line="500" w:lineRule="exact"/>
        <w:ind w:firstLine="1605" w:firstLineChars="500"/>
        <w:rPr>
          <w:rFonts w:hint="eastAsia" w:ascii="宋体" w:hAnsi="宋体" w:eastAsia="宋体" w:cs="宋体"/>
          <w:b/>
          <w:color w:val="auto"/>
          <w:spacing w:val="20"/>
          <w:kern w:val="0"/>
          <w:sz w:val="28"/>
          <w:szCs w:val="28"/>
        </w:rPr>
      </w:pPr>
      <w:bookmarkStart w:id="52" w:name="_Toc19164_WPSOffice_Level1"/>
      <w:r>
        <w:rPr>
          <w:rFonts w:hint="eastAsia" w:ascii="宋体" w:hAnsi="宋体" w:eastAsia="宋体" w:cs="宋体"/>
          <w:b/>
          <w:color w:val="auto"/>
          <w:spacing w:val="20"/>
          <w:kern w:val="0"/>
          <w:sz w:val="28"/>
          <w:szCs w:val="28"/>
        </w:rPr>
        <w:t>日  期：</w:t>
      </w:r>
      <w:r>
        <w:rPr>
          <w:rFonts w:hint="eastAsia" w:ascii="宋体" w:hAnsi="宋体" w:cs="宋体"/>
          <w:b/>
          <w:color w:val="auto"/>
          <w:spacing w:val="20"/>
          <w:kern w:val="0"/>
          <w:sz w:val="28"/>
          <w:szCs w:val="28"/>
          <w:lang w:val="en-US" w:eastAsia="zh-CN"/>
        </w:rPr>
        <w:t xml:space="preserve">    </w:t>
      </w:r>
      <w:r>
        <w:rPr>
          <w:rFonts w:hint="eastAsia" w:ascii="宋体" w:hAnsi="宋体" w:eastAsia="宋体" w:cs="宋体"/>
          <w:b/>
          <w:color w:val="auto"/>
          <w:sz w:val="28"/>
          <w:szCs w:val="28"/>
        </w:rPr>
        <w:t>年    月    日</w:t>
      </w:r>
      <w:bookmarkEnd w:id="52"/>
    </w:p>
    <w:p>
      <w:pPr>
        <w:jc w:val="center"/>
        <w:rPr>
          <w:rFonts w:hint="eastAsia"/>
          <w:b/>
          <w:bCs/>
          <w:color w:val="auto"/>
          <w:sz w:val="28"/>
          <w:szCs w:val="28"/>
        </w:rPr>
      </w:pPr>
      <w:bookmarkStart w:id="53" w:name="_Toc19469_WPSOffice_Level1"/>
    </w:p>
    <w:p>
      <w:pPr>
        <w:jc w:val="center"/>
        <w:rPr>
          <w:rFonts w:hint="eastAsia"/>
          <w:b/>
          <w:bCs/>
          <w:color w:val="auto"/>
          <w:sz w:val="28"/>
          <w:szCs w:val="28"/>
        </w:rPr>
      </w:pPr>
      <w:r>
        <w:rPr>
          <w:rFonts w:hint="eastAsia"/>
          <w:b/>
          <w:bCs/>
          <w:color w:val="auto"/>
          <w:sz w:val="28"/>
          <w:szCs w:val="28"/>
        </w:rPr>
        <w:t>响应文件资料清单</w:t>
      </w:r>
      <w:bookmarkEnd w:id="53"/>
    </w:p>
    <w:p>
      <w:pPr>
        <w:adjustRightInd w:val="0"/>
        <w:snapToGrid w:val="0"/>
        <w:spacing w:line="240" w:lineRule="exact"/>
        <w:jc w:val="center"/>
        <w:rPr>
          <w:rFonts w:hint="eastAsia" w:ascii="宋体" w:hAnsi="宋体" w:eastAsia="宋体" w:cs="宋体"/>
          <w:b/>
          <w:color w:val="auto"/>
          <w:sz w:val="24"/>
        </w:rPr>
      </w:pPr>
    </w:p>
    <w:tbl>
      <w:tblPr>
        <w:tblStyle w:val="18"/>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38"/>
              <w:rPr>
                <w:rFonts w:hint="eastAsia" w:ascii="宋体" w:hAnsi="宋体" w:eastAsia="宋体" w:cs="宋体"/>
                <w:color w:val="auto"/>
                <w:sz w:val="21"/>
                <w:szCs w:val="21"/>
              </w:rPr>
            </w:pPr>
            <w:r>
              <w:rPr>
                <w:rFonts w:hint="eastAsia" w:ascii="宋体" w:hAnsi="宋体" w:eastAsia="宋体" w:cs="Times New Roman"/>
                <w:color w:val="auto"/>
                <w:kern w:val="2"/>
                <w:sz w:val="21"/>
                <w:szCs w:val="21"/>
                <w:lang w:val="en-US" w:eastAsia="zh-CN" w:bidi="ar-SA"/>
              </w:rPr>
              <w:t>法定代表人身份证明或响应授权书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38"/>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eastAsia="zh-CN"/>
              </w:rPr>
              <w:t>供货、安装、售后服务承诺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Tahoma" w:hAnsi="Tahoma"/>
                <w:color w:val="auto"/>
                <w:sz w:val="21"/>
                <w:szCs w:val="21"/>
                <w:lang w:val="zh-CN" w:eastAsia="zh-CN"/>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default" w:ascii="宋体" w:hAnsi="宋体" w:eastAsia="宋体" w:cs="宋体"/>
                <w:color w:val="auto"/>
                <w:sz w:val="21"/>
                <w:szCs w:val="21"/>
                <w:lang w:val="en-US"/>
              </w:rPr>
            </w:pPr>
            <w:r>
              <w:rPr>
                <w:rFonts w:hint="eastAsia" w:ascii="Tahoma" w:hAnsi="Tahoma"/>
                <w:color w:val="auto"/>
                <w:sz w:val="21"/>
                <w:szCs w:val="21"/>
                <w:lang w:val="en-US" w:eastAsia="zh-CN"/>
              </w:rPr>
              <w:t>中</w:t>
            </w:r>
            <w:r>
              <w:rPr>
                <w:rFonts w:hint="eastAsia" w:ascii="Tahoma" w:hAnsi="Tahoma"/>
                <w:color w:val="auto"/>
                <w:sz w:val="21"/>
                <w:szCs w:val="21"/>
                <w:lang w:val="zh-CN" w:eastAsia="zh-CN"/>
              </w:rPr>
              <w:t>小企业声明函（如有）</w:t>
            </w:r>
            <w:r>
              <w:rPr>
                <w:rFonts w:hint="eastAsia" w:ascii="Tahoma" w:hAnsi="Tahoma"/>
                <w:color w:val="auto"/>
                <w:sz w:val="21"/>
                <w:szCs w:val="21"/>
                <w:lang w:val="en-US" w:eastAsia="zh-CN"/>
              </w:rPr>
              <w:t>残疾人福利性单位声明函</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default" w:ascii="宋体" w:hAnsi="宋体" w:eastAsia="宋体" w:cs="宋体"/>
                <w:color w:val="auto"/>
                <w:szCs w:val="21"/>
                <w:lang w:val="en-US" w:eastAsia="zh-CN"/>
              </w:rPr>
            </w:pPr>
            <w:r>
              <w:rPr>
                <w:rFonts w:hint="eastAsia" w:ascii="宋体" w:hAnsi="宋体" w:cs="宋体"/>
                <w:color w:val="auto"/>
                <w:szCs w:val="21"/>
                <w:lang w:val="en-US" w:eastAsia="zh-CN"/>
              </w:rPr>
              <w:t>十</w:t>
            </w:r>
          </w:p>
        </w:tc>
        <w:tc>
          <w:tcPr>
            <w:tcW w:w="5460" w:type="dxa"/>
            <w:vAlign w:val="center"/>
          </w:tcPr>
          <w:p>
            <w:pPr>
              <w:rPr>
                <w:rFonts w:hint="default" w:ascii="宋体" w:hAnsi="宋体" w:eastAsia="宋体" w:cs="宋体"/>
                <w:color w:val="auto"/>
                <w:szCs w:val="21"/>
                <w:lang w:val="en-US" w:eastAsia="zh-CN"/>
              </w:rPr>
            </w:pPr>
            <w:r>
              <w:rPr>
                <w:rFonts w:hint="eastAsia" w:ascii="宋体" w:hAnsi="宋体" w:cs="宋体"/>
                <w:color w:val="auto"/>
                <w:szCs w:val="21"/>
                <w:lang w:val="en-US" w:eastAsia="zh-CN"/>
              </w:rPr>
              <w:t>成交公告</w:t>
            </w: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both"/>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5"/>
    <w:p>
      <w:pPr>
        <w:pStyle w:val="8"/>
        <w:adjustRightInd w:val="0"/>
        <w:snapToGrid w:val="0"/>
        <w:spacing w:before="0" w:after="0" w:line="360" w:lineRule="exact"/>
        <w:rPr>
          <w:rFonts w:hint="eastAsia" w:ascii="宋体" w:hAnsi="宋体" w:eastAsia="宋体" w:cs="宋体"/>
          <w:color w:val="auto"/>
          <w:sz w:val="21"/>
          <w:szCs w:val="21"/>
        </w:rPr>
      </w:pPr>
    </w:p>
    <w:p>
      <w:pPr>
        <w:pStyle w:val="8"/>
        <w:adjustRightInd w:val="0"/>
        <w:snapToGrid w:val="0"/>
        <w:spacing w:before="0" w:after="0" w:line="360" w:lineRule="exact"/>
        <w:rPr>
          <w:rFonts w:hint="eastAsia" w:ascii="宋体" w:hAnsi="宋体" w:eastAsia="宋体" w:cs="宋体"/>
          <w:color w:val="auto"/>
          <w:sz w:val="21"/>
          <w:szCs w:val="21"/>
        </w:rPr>
      </w:pPr>
    </w:p>
    <w:p>
      <w:pPr>
        <w:pStyle w:val="8"/>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r>
        <w:rPr>
          <w:rFonts w:hint="eastAsia" w:ascii="宋体" w:hAnsi="宋体" w:cs="宋体"/>
          <w:color w:val="auto"/>
          <w:sz w:val="21"/>
          <w:szCs w:val="21"/>
          <w:lang w:eastAsia="zh-CN"/>
        </w:rPr>
        <w:t>一</w:t>
      </w:r>
    </w:p>
    <w:p>
      <w:pPr>
        <w:jc w:val="center"/>
        <w:rPr>
          <w:rFonts w:hint="eastAsia" w:eastAsia="宋体"/>
          <w:b/>
          <w:bCs/>
          <w:color w:val="auto"/>
          <w:sz w:val="28"/>
          <w:szCs w:val="28"/>
          <w:lang w:eastAsia="zh-CN"/>
        </w:rPr>
      </w:pPr>
      <w:bookmarkStart w:id="54" w:name="_Toc10142_WPSOffice_Level1"/>
      <w:r>
        <w:rPr>
          <w:rFonts w:hint="eastAsia"/>
          <w:b/>
          <w:bCs/>
          <w:color w:val="auto"/>
          <w:sz w:val="28"/>
          <w:szCs w:val="28"/>
        </w:rPr>
        <w:t>供应商基本信息</w:t>
      </w:r>
      <w:bookmarkEnd w:id="54"/>
      <w:r>
        <w:rPr>
          <w:rFonts w:hint="eastAsia"/>
          <w:b/>
          <w:bCs/>
          <w:color w:val="auto"/>
          <w:sz w:val="28"/>
          <w:szCs w:val="28"/>
          <w:lang w:eastAsia="zh-CN"/>
        </w:rPr>
        <w:t>（含营业执照等复印件）</w:t>
      </w:r>
    </w:p>
    <w:p>
      <w:pPr>
        <w:jc w:val="center"/>
        <w:rPr>
          <w:rFonts w:hint="eastAsia" w:eastAsia="宋体"/>
          <w:b/>
          <w:bCs/>
          <w:color w:val="auto"/>
          <w:sz w:val="28"/>
          <w:szCs w:val="28"/>
          <w:lang w:eastAsia="zh-CN"/>
        </w:rPr>
      </w:pPr>
      <w:bookmarkStart w:id="55" w:name="_Toc5936_WPSOffice_Level1"/>
      <w:r>
        <w:rPr>
          <w:rFonts w:hint="eastAsia"/>
          <w:b/>
          <w:bCs/>
          <w:color w:val="auto"/>
          <w:sz w:val="28"/>
          <w:szCs w:val="28"/>
          <w:lang w:eastAsia="zh-CN"/>
        </w:rPr>
        <w:t>（格式自拟）</w:t>
      </w:r>
      <w:bookmarkEnd w:id="55"/>
    </w:p>
    <w:p>
      <w:pPr>
        <w:pStyle w:val="8"/>
        <w:adjustRightInd w:val="0"/>
        <w:snapToGrid w:val="0"/>
        <w:spacing w:before="0" w:after="0" w:line="360" w:lineRule="exact"/>
        <w:rPr>
          <w:rFonts w:hint="eastAsia" w:ascii="宋体" w:hAnsi="宋体" w:eastAsia="宋体" w:cs="宋体"/>
          <w:color w:val="auto"/>
          <w:sz w:val="21"/>
          <w:szCs w:val="21"/>
          <w:lang w:eastAsia="zh-CN"/>
        </w:rPr>
      </w:pPr>
      <w:bookmarkStart w:id="56" w:name="_Toc471299104"/>
      <w:bookmarkStart w:id="57" w:name="_Toc31656"/>
      <w:r>
        <w:rPr>
          <w:rFonts w:hint="eastAsia" w:ascii="宋体" w:hAnsi="宋体" w:eastAsia="宋体" w:cs="宋体"/>
          <w:color w:val="auto"/>
          <w:sz w:val="21"/>
          <w:szCs w:val="21"/>
        </w:rPr>
        <w:t>附件</w:t>
      </w:r>
      <w:bookmarkEnd w:id="56"/>
      <w:bookmarkEnd w:id="57"/>
      <w:r>
        <w:rPr>
          <w:rFonts w:hint="eastAsia" w:ascii="宋体" w:hAnsi="宋体" w:cs="宋体"/>
          <w:color w:val="auto"/>
          <w:sz w:val="21"/>
          <w:szCs w:val="21"/>
          <w:lang w:eastAsia="zh-CN"/>
        </w:rPr>
        <w:t>二</w:t>
      </w:r>
    </w:p>
    <w:p>
      <w:pPr>
        <w:pStyle w:val="7"/>
        <w:spacing w:line="360" w:lineRule="auto"/>
        <w:jc w:val="center"/>
        <w:rPr>
          <w:rFonts w:hint="eastAsia" w:ascii="宋体" w:hAnsi="宋体" w:eastAsia="宋体"/>
          <w:color w:val="auto"/>
          <w:highlight w:val="none"/>
        </w:rPr>
      </w:pPr>
      <w:bookmarkStart w:id="58" w:name="_Toc16469"/>
      <w:bookmarkStart w:id="59" w:name="_Toc30884"/>
      <w:bookmarkStart w:id="60" w:name="_Toc8862_WPSOffice_Level1"/>
      <w:bookmarkStart w:id="61" w:name="_Toc471299105"/>
      <w:r>
        <w:rPr>
          <w:rFonts w:hint="eastAsia" w:ascii="宋体" w:hAnsi="宋体" w:eastAsia="宋体"/>
          <w:color w:val="auto"/>
          <w:highlight w:val="none"/>
        </w:rPr>
        <w:t>法定代表人身份证明</w:t>
      </w:r>
      <w:bookmarkEnd w:id="58"/>
      <w:bookmarkEnd w:id="59"/>
    </w:p>
    <w:p>
      <w:pPr>
        <w:spacing w:line="360" w:lineRule="auto"/>
        <w:ind w:firstLine="420" w:firstLineChars="200"/>
        <w:rPr>
          <w:rFonts w:hint="eastAsia"/>
          <w:color w:val="auto"/>
          <w:highlight w:val="none"/>
          <w:u w:val="single"/>
        </w:rPr>
      </w:pPr>
      <w:bookmarkStart w:id="62" w:name="_Toc256691626"/>
      <w:bookmarkStart w:id="63" w:name="_Toc256695502"/>
      <w:r>
        <w:rPr>
          <w:rFonts w:hint="eastAsia"/>
          <w:color w:val="auto"/>
          <w:highlight w:val="none"/>
          <w:lang w:eastAsia="zh-CN"/>
        </w:rPr>
        <w:t>承包人</w:t>
      </w:r>
      <w:r>
        <w:rPr>
          <w:rFonts w:hint="eastAsia"/>
          <w:color w:val="auto"/>
          <w:highlight w:val="none"/>
        </w:rPr>
        <w:t>名称：</w:t>
      </w:r>
      <w:bookmarkEnd w:id="62"/>
      <w:bookmarkEnd w:id="63"/>
      <w:r>
        <w:rPr>
          <w:rFonts w:hint="eastAsia"/>
          <w:color w:val="auto"/>
          <w:highlight w:val="none"/>
          <w:u w:val="single"/>
        </w:rPr>
        <w:t xml:space="preserve">                </w:t>
      </w:r>
    </w:p>
    <w:p>
      <w:pPr>
        <w:spacing w:line="360" w:lineRule="auto"/>
        <w:ind w:firstLine="420" w:firstLineChars="200"/>
        <w:rPr>
          <w:rFonts w:hint="eastAsia"/>
          <w:color w:val="auto"/>
          <w:highlight w:val="none"/>
        </w:rPr>
      </w:pPr>
      <w:bookmarkStart w:id="64" w:name="_Toc256691631"/>
      <w:bookmarkStart w:id="65" w:name="_Toc256695507"/>
      <w:r>
        <w:rPr>
          <w:rFonts w:hint="eastAsia"/>
          <w:color w:val="auto"/>
          <w:highlight w:val="none"/>
        </w:rPr>
        <w:t>姓名：</w:t>
      </w:r>
      <w:r>
        <w:rPr>
          <w:rFonts w:hint="eastAsia"/>
          <w:color w:val="auto"/>
          <w:highlight w:val="none"/>
          <w:u w:val="single"/>
        </w:rPr>
        <w:t xml:space="preserve">        </w:t>
      </w:r>
      <w:r>
        <w:rPr>
          <w:rFonts w:hint="eastAsia"/>
          <w:color w:val="auto"/>
          <w:highlight w:val="none"/>
        </w:rPr>
        <w:t xml:space="preserve"> 性别：</w:t>
      </w:r>
      <w:r>
        <w:rPr>
          <w:rFonts w:hint="eastAsia"/>
          <w:color w:val="auto"/>
          <w:highlight w:val="none"/>
          <w:u w:val="single"/>
        </w:rPr>
        <w:t xml:space="preserve">         </w:t>
      </w:r>
      <w:r>
        <w:rPr>
          <w:rFonts w:hint="eastAsia"/>
          <w:color w:val="auto"/>
          <w:highlight w:val="none"/>
        </w:rPr>
        <w:t xml:space="preserve"> 年龄：</w:t>
      </w:r>
      <w:r>
        <w:rPr>
          <w:rFonts w:hint="eastAsia"/>
          <w:color w:val="auto"/>
          <w:highlight w:val="none"/>
          <w:u w:val="single"/>
        </w:rPr>
        <w:t xml:space="preserve">    </w:t>
      </w:r>
      <w:r>
        <w:rPr>
          <w:rFonts w:hint="eastAsia"/>
          <w:color w:val="auto"/>
          <w:highlight w:val="none"/>
          <w:u w:val="single"/>
          <w:lang w:val="en-US" w:eastAsia="zh-CN"/>
        </w:rPr>
        <w:t xml:space="preserve">  </w:t>
      </w:r>
      <w:r>
        <w:rPr>
          <w:rFonts w:hint="eastAsia"/>
          <w:color w:val="auto"/>
          <w:highlight w:val="none"/>
          <w:u w:val="single"/>
        </w:rPr>
        <w:t xml:space="preserve">  </w:t>
      </w:r>
      <w:r>
        <w:rPr>
          <w:rFonts w:hint="eastAsia"/>
          <w:color w:val="auto"/>
          <w:highlight w:val="none"/>
        </w:rPr>
        <w:t xml:space="preserve"> </w:t>
      </w:r>
      <w:bookmarkEnd w:id="64"/>
      <w:bookmarkEnd w:id="65"/>
      <w:bookmarkStart w:id="66" w:name="_Toc256695508"/>
      <w:bookmarkStart w:id="67" w:name="_Toc256691632"/>
      <w:r>
        <w:rPr>
          <w:rFonts w:hint="eastAsia"/>
          <w:color w:val="auto"/>
          <w:highlight w:val="none"/>
          <w:lang w:val="en-US" w:eastAsia="zh-CN"/>
        </w:rPr>
        <w:t xml:space="preserve">  </w:t>
      </w:r>
      <w:r>
        <w:rPr>
          <w:rFonts w:hint="eastAsia"/>
          <w:color w:val="auto"/>
          <w:highlight w:val="none"/>
        </w:rPr>
        <w:t>职务：</w:t>
      </w:r>
      <w:r>
        <w:rPr>
          <w:rFonts w:hint="eastAsia"/>
          <w:color w:val="auto"/>
          <w:highlight w:val="none"/>
          <w:u w:val="single"/>
        </w:rPr>
        <w:t xml:space="preserve">               </w:t>
      </w:r>
      <w:r>
        <w:rPr>
          <w:rFonts w:hint="eastAsia"/>
          <w:color w:val="auto"/>
          <w:highlight w:val="none"/>
        </w:rPr>
        <w:t xml:space="preserve">  </w:t>
      </w:r>
    </w:p>
    <w:p>
      <w:pPr>
        <w:spacing w:line="360" w:lineRule="auto"/>
        <w:ind w:firstLine="420" w:firstLineChars="200"/>
        <w:rPr>
          <w:rFonts w:hint="eastAsia"/>
          <w:color w:val="auto"/>
          <w:highlight w:val="none"/>
        </w:rPr>
      </w:pPr>
      <w:r>
        <w:rPr>
          <w:rFonts w:hint="eastAsia"/>
          <w:color w:val="auto"/>
          <w:highlight w:val="none"/>
        </w:rPr>
        <w:t>系</w:t>
      </w:r>
      <w:r>
        <w:rPr>
          <w:rFonts w:hint="eastAsia"/>
          <w:color w:val="auto"/>
          <w:highlight w:val="none"/>
          <w:u w:val="single"/>
        </w:rPr>
        <w:t xml:space="preserve">           </w:t>
      </w:r>
      <w:r>
        <w:rPr>
          <w:rFonts w:hint="eastAsia"/>
          <w:color w:val="auto"/>
          <w:highlight w:val="none"/>
        </w:rPr>
        <w:t xml:space="preserve">   （</w:t>
      </w:r>
      <w:r>
        <w:rPr>
          <w:rFonts w:hint="eastAsia"/>
          <w:color w:val="auto"/>
          <w:highlight w:val="none"/>
          <w:lang w:eastAsia="zh-CN"/>
        </w:rPr>
        <w:t>承包人</w:t>
      </w:r>
      <w:r>
        <w:rPr>
          <w:rFonts w:hint="eastAsia"/>
          <w:color w:val="auto"/>
          <w:highlight w:val="none"/>
        </w:rPr>
        <w:t>名称）的法定代表人</w:t>
      </w:r>
      <w:r>
        <w:rPr>
          <w:rFonts w:hint="eastAsia"/>
          <w:color w:val="auto"/>
          <w:highlight w:val="none"/>
          <w:lang w:eastAsia="zh-CN"/>
        </w:rPr>
        <w:t>（单位负责人）</w:t>
      </w:r>
      <w:r>
        <w:rPr>
          <w:rFonts w:hint="eastAsia"/>
          <w:color w:val="auto"/>
          <w:highlight w:val="none"/>
        </w:rPr>
        <w:t>。</w:t>
      </w:r>
      <w:bookmarkEnd w:id="66"/>
      <w:bookmarkEnd w:id="67"/>
    </w:p>
    <w:p>
      <w:pPr>
        <w:spacing w:line="360" w:lineRule="auto"/>
        <w:ind w:firstLine="840" w:firstLineChars="400"/>
        <w:rPr>
          <w:rFonts w:hint="eastAsia"/>
          <w:color w:val="auto"/>
          <w:highlight w:val="none"/>
        </w:rPr>
      </w:pPr>
      <w:bookmarkStart w:id="68" w:name="_Toc256695509"/>
      <w:bookmarkStart w:id="69" w:name="_Toc256691633"/>
      <w:r>
        <w:rPr>
          <w:rFonts w:hint="eastAsia"/>
          <w:color w:val="auto"/>
          <w:highlight w:val="none"/>
        </w:rPr>
        <w:t>特此证明。</w:t>
      </w:r>
      <w:bookmarkEnd w:id="68"/>
      <w:bookmarkEnd w:id="69"/>
    </w:p>
    <w:p>
      <w:pPr>
        <w:spacing w:line="360" w:lineRule="auto"/>
        <w:ind w:firstLine="840" w:firstLineChars="4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附：法定代表人（单位负责人）身份证复印件。</w:t>
      </w:r>
    </w:p>
    <w:p>
      <w:pPr>
        <w:spacing w:line="360" w:lineRule="auto"/>
        <w:ind w:firstLine="420" w:firstLineChars="200"/>
        <w:rPr>
          <w:rFonts w:hint="eastAsia"/>
          <w:color w:val="auto"/>
          <w:highlight w:val="none"/>
        </w:rPr>
      </w:pPr>
    </w:p>
    <w:p>
      <w:pPr>
        <w:spacing w:line="360" w:lineRule="auto"/>
        <w:ind w:firstLine="420" w:firstLineChars="200"/>
        <w:rPr>
          <w:rFonts w:hint="eastAsia"/>
          <w:color w:val="auto"/>
          <w:highlight w:val="none"/>
        </w:rPr>
      </w:pPr>
      <w:r>
        <w:rPr>
          <w:rFonts w:hint="eastAsia"/>
          <w:color w:val="auto"/>
          <w:highlight w:val="none"/>
        </w:rPr>
        <w:t>注：本身份证明需由</w:t>
      </w:r>
      <w:r>
        <w:rPr>
          <w:rFonts w:hint="eastAsia"/>
          <w:color w:val="auto"/>
          <w:highlight w:val="none"/>
          <w:lang w:eastAsia="zh-CN"/>
        </w:rPr>
        <w:t>承包人</w:t>
      </w:r>
      <w:r>
        <w:rPr>
          <w:rFonts w:hint="eastAsia"/>
          <w:color w:val="auto"/>
          <w:highlight w:val="none"/>
        </w:rPr>
        <w:t>加盖单位章。</w:t>
      </w:r>
    </w:p>
    <w:p>
      <w:pPr>
        <w:spacing w:line="360" w:lineRule="auto"/>
        <w:ind w:right="420" w:firstLine="6090" w:firstLineChars="2900"/>
        <w:rPr>
          <w:rFonts w:hint="eastAsia"/>
          <w:color w:val="auto"/>
          <w:highlight w:val="none"/>
        </w:rPr>
      </w:pPr>
    </w:p>
    <w:p>
      <w:pPr>
        <w:spacing w:line="360" w:lineRule="auto"/>
        <w:ind w:right="420"/>
        <w:rPr>
          <w:rFonts w:hint="eastAsia"/>
          <w:color w:val="auto"/>
          <w:highlight w:val="none"/>
        </w:rPr>
      </w:pPr>
    </w:p>
    <w:p>
      <w:pPr>
        <w:spacing w:line="360" w:lineRule="auto"/>
        <w:ind w:right="420"/>
        <w:rPr>
          <w:rFonts w:hint="eastAsia"/>
          <w:color w:val="auto"/>
          <w:highlight w:val="none"/>
        </w:rPr>
      </w:pPr>
    </w:p>
    <w:p>
      <w:pPr>
        <w:spacing w:line="360" w:lineRule="auto"/>
        <w:ind w:right="420" w:firstLine="5460" w:firstLineChars="2600"/>
        <w:rPr>
          <w:rFonts w:hint="eastAsia"/>
          <w:color w:val="auto"/>
          <w:highlight w:val="none"/>
        </w:rPr>
      </w:pPr>
      <w:bookmarkStart w:id="70" w:name="_Toc256695510"/>
      <w:bookmarkStart w:id="71" w:name="_Toc256691634"/>
      <w:r>
        <w:rPr>
          <w:rFonts w:hint="eastAsia"/>
          <w:color w:val="auto"/>
          <w:highlight w:val="none"/>
          <w:lang w:eastAsia="zh-CN"/>
        </w:rPr>
        <w:t>承包人</w:t>
      </w:r>
      <w:r>
        <w:rPr>
          <w:rFonts w:hint="eastAsia"/>
          <w:color w:val="auto"/>
          <w:highlight w:val="none"/>
        </w:rPr>
        <w:t>：</w:t>
      </w:r>
      <w:r>
        <w:rPr>
          <w:rFonts w:hint="eastAsia"/>
          <w:color w:val="auto"/>
          <w:highlight w:val="none"/>
          <w:u w:val="single"/>
        </w:rPr>
        <w:t xml:space="preserve">  （单位盖章）</w:t>
      </w:r>
      <w:bookmarkEnd w:id="70"/>
      <w:bookmarkEnd w:id="71"/>
      <w:r>
        <w:rPr>
          <w:rFonts w:hint="eastAsia"/>
          <w:color w:val="auto"/>
          <w:highlight w:val="none"/>
          <w:u w:val="single"/>
        </w:rPr>
        <w:t xml:space="preserve">    </w:t>
      </w:r>
      <w:r>
        <w:rPr>
          <w:rFonts w:hint="eastAsia"/>
          <w:color w:val="auto"/>
          <w:highlight w:val="none"/>
        </w:rPr>
        <w:t xml:space="preserve">        </w:t>
      </w:r>
    </w:p>
    <w:p>
      <w:pPr>
        <w:wordWrap w:val="0"/>
        <w:spacing w:line="360" w:lineRule="auto"/>
        <w:jc w:val="right"/>
        <w:rPr>
          <w:rFonts w:hint="eastAsia"/>
          <w:color w:val="auto"/>
          <w:highlight w:val="none"/>
        </w:rPr>
      </w:pPr>
      <w:r>
        <w:rPr>
          <w:rFonts w:hint="eastAsia"/>
          <w:color w:val="auto"/>
          <w:highlight w:val="none"/>
          <w:u w:val="single"/>
        </w:rPr>
        <w:t xml:space="preserve">        </w:t>
      </w:r>
      <w:bookmarkStart w:id="72" w:name="_Toc256691635"/>
      <w:bookmarkStart w:id="73" w:name="_Toc256695511"/>
      <w:r>
        <w:rPr>
          <w:rFonts w:hint="eastAsia"/>
          <w:color w:val="auto"/>
          <w:highlight w:val="none"/>
        </w:rPr>
        <w:t>年</w:t>
      </w:r>
      <w:r>
        <w:rPr>
          <w:rFonts w:hint="eastAsia"/>
          <w:color w:val="auto"/>
          <w:highlight w:val="none"/>
          <w:u w:val="single"/>
        </w:rPr>
        <w:t xml:space="preserve">       </w:t>
      </w:r>
      <w:r>
        <w:rPr>
          <w:rFonts w:hint="eastAsia"/>
          <w:color w:val="auto"/>
          <w:highlight w:val="none"/>
        </w:rPr>
        <w:t>月</w:t>
      </w:r>
      <w:r>
        <w:rPr>
          <w:rFonts w:hint="eastAsia"/>
          <w:color w:val="auto"/>
          <w:highlight w:val="none"/>
          <w:u w:val="single"/>
        </w:rPr>
        <w:t xml:space="preserve">       </w:t>
      </w:r>
      <w:r>
        <w:rPr>
          <w:rFonts w:hint="eastAsia"/>
          <w:color w:val="auto"/>
          <w:highlight w:val="none"/>
        </w:rPr>
        <w:t>日</w:t>
      </w:r>
      <w:bookmarkEnd w:id="72"/>
      <w:bookmarkEnd w:id="73"/>
    </w:p>
    <w:p>
      <w:pPr>
        <w:jc w:val="center"/>
        <w:rPr>
          <w:rFonts w:hint="eastAsia"/>
          <w:b/>
          <w:bCs/>
          <w:color w:val="auto"/>
          <w:sz w:val="28"/>
          <w:szCs w:val="28"/>
        </w:rPr>
      </w:pPr>
      <w:r>
        <w:rPr>
          <w:rFonts w:hint="eastAsia"/>
          <w:b/>
          <w:bCs/>
          <w:color w:val="auto"/>
          <w:sz w:val="28"/>
          <w:szCs w:val="28"/>
          <w:lang w:eastAsia="zh-CN"/>
        </w:rPr>
        <w:t>响应</w:t>
      </w:r>
      <w:r>
        <w:rPr>
          <w:rFonts w:hint="eastAsia"/>
          <w:b/>
          <w:bCs/>
          <w:color w:val="auto"/>
          <w:sz w:val="28"/>
          <w:szCs w:val="28"/>
        </w:rPr>
        <w:t>授权书</w:t>
      </w:r>
      <w:bookmarkEnd w:id="60"/>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w:t>
      </w:r>
      <w:r>
        <w:rPr>
          <w:rFonts w:hint="eastAsia" w:ascii="宋体" w:hAnsi="宋体"/>
          <w:color w:val="auto"/>
          <w:sz w:val="21"/>
          <w:szCs w:val="21"/>
          <w:lang w:eastAsia="zh-CN"/>
        </w:rPr>
        <w:t>供应商</w:t>
      </w:r>
      <w:r>
        <w:rPr>
          <w:rFonts w:hint="eastAsia" w:ascii="宋体" w:hAnsi="宋体"/>
          <w:color w:val="auto"/>
          <w:sz w:val="21"/>
          <w:szCs w:val="21"/>
        </w:rPr>
        <w:t>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lang w:eastAsia="zh-CN"/>
        </w:rPr>
        <w:t>供应商</w:t>
      </w:r>
      <w:r>
        <w:rPr>
          <w:rFonts w:hint="eastAsia" w:ascii="宋体" w:hAnsi="宋体"/>
          <w:color w:val="auto"/>
          <w:sz w:val="21"/>
          <w:szCs w:val="21"/>
        </w:rPr>
        <w:t xml:space="preserve">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rPr>
          <w:rFonts w:hint="eastAsia" w:ascii="宋体" w:hAnsi="宋体" w:eastAsia="宋体" w:cs="宋体"/>
          <w:color w:val="auto"/>
          <w:sz w:val="21"/>
          <w:szCs w:val="21"/>
        </w:rPr>
      </w:pPr>
      <w:bookmarkStart w:id="74" w:name="_Toc26907"/>
      <w:r>
        <w:rPr>
          <w:rFonts w:hint="eastAsia" w:ascii="宋体" w:hAnsi="宋体" w:eastAsia="宋体" w:cs="宋体"/>
          <w:color w:val="auto"/>
          <w:sz w:val="21"/>
          <w:szCs w:val="21"/>
        </w:rPr>
        <w:br w:type="page"/>
      </w:r>
    </w:p>
    <w:p>
      <w:pPr>
        <w:pStyle w:val="8"/>
        <w:adjustRightInd w:val="0"/>
        <w:snapToGrid w:val="0"/>
        <w:spacing w:before="0" w:after="0" w:line="360" w:lineRule="exact"/>
        <w:rPr>
          <w:rFonts w:hint="eastAsia" w:ascii="宋体" w:hAnsi="宋体" w:eastAsia="宋体" w:cs="宋体"/>
          <w:color w:val="auto"/>
          <w:sz w:val="21"/>
          <w:szCs w:val="21"/>
          <w:lang w:eastAsia="zh-CN"/>
        </w:rPr>
      </w:pPr>
      <w:r>
        <w:rPr>
          <w:rFonts w:hint="eastAsia" w:ascii="宋体" w:hAnsi="宋体" w:eastAsia="宋体" w:cs="宋体"/>
          <w:color w:val="auto"/>
          <w:sz w:val="21"/>
          <w:szCs w:val="21"/>
        </w:rPr>
        <w:t>附件</w:t>
      </w:r>
      <w:bookmarkEnd w:id="61"/>
      <w:bookmarkEnd w:id="74"/>
      <w:r>
        <w:rPr>
          <w:rFonts w:hint="eastAsia" w:ascii="宋体" w:hAnsi="宋体" w:cs="宋体"/>
          <w:color w:val="auto"/>
          <w:sz w:val="21"/>
          <w:szCs w:val="21"/>
          <w:lang w:eastAsia="zh-CN"/>
        </w:rPr>
        <w:t>三</w:t>
      </w:r>
    </w:p>
    <w:p>
      <w:pPr>
        <w:jc w:val="center"/>
        <w:rPr>
          <w:rFonts w:hint="eastAsia"/>
          <w:b/>
          <w:bCs/>
          <w:color w:val="auto"/>
          <w:sz w:val="28"/>
          <w:szCs w:val="28"/>
        </w:rPr>
      </w:pPr>
      <w:bookmarkStart w:id="75" w:name="_Toc3858_WPSOffice_Level1"/>
      <w:bookmarkStart w:id="76" w:name="_Toc516969098"/>
      <w:bookmarkStart w:id="77" w:name="_Toc148501698"/>
      <w:r>
        <w:rPr>
          <w:rFonts w:hint="eastAsia"/>
          <w:b/>
          <w:bCs/>
          <w:color w:val="auto"/>
          <w:sz w:val="28"/>
          <w:szCs w:val="28"/>
        </w:rPr>
        <w:t>响应函</w:t>
      </w:r>
      <w:bookmarkEnd w:id="75"/>
      <w:bookmarkEnd w:id="76"/>
      <w:bookmarkEnd w:id="77"/>
    </w:p>
    <w:p>
      <w:pPr>
        <w:pStyle w:val="13"/>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8"/>
        <w:adjustRightInd w:val="0"/>
        <w:snapToGrid w:val="0"/>
        <w:spacing w:before="0" w:after="0" w:line="360" w:lineRule="exact"/>
        <w:rPr>
          <w:rFonts w:hint="eastAsia" w:ascii="宋体" w:hAnsi="宋体" w:eastAsia="宋体" w:cs="宋体"/>
          <w:color w:val="auto"/>
          <w:sz w:val="21"/>
          <w:szCs w:val="21"/>
          <w:lang w:eastAsia="zh-CN"/>
        </w:rPr>
      </w:pPr>
      <w:bookmarkStart w:id="78" w:name="_Toc30711"/>
      <w:bookmarkStart w:id="79" w:name="_Toc417045478"/>
      <w:bookmarkStart w:id="80" w:name="_Toc471299106"/>
      <w:r>
        <w:rPr>
          <w:rFonts w:hint="eastAsia" w:ascii="宋体" w:hAnsi="宋体" w:eastAsia="宋体" w:cs="宋体"/>
          <w:color w:val="auto"/>
          <w:sz w:val="21"/>
          <w:szCs w:val="21"/>
        </w:rPr>
        <w:t>附件</w:t>
      </w:r>
      <w:bookmarkEnd w:id="78"/>
      <w:bookmarkEnd w:id="79"/>
      <w:bookmarkEnd w:id="80"/>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81" w:name="_Toc1513_WPSOffice_Level1"/>
      <w:r>
        <w:rPr>
          <w:rFonts w:hint="eastAsia"/>
          <w:b/>
          <w:bCs/>
          <w:color w:val="auto"/>
          <w:sz w:val="28"/>
          <w:szCs w:val="28"/>
          <w:lang w:val="zh-CN"/>
        </w:rPr>
        <w:t>无重大违法记录声明函</w:t>
      </w:r>
      <w:bookmarkEnd w:id="8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b/>
          <w:bCs/>
          <w:color w:val="auto"/>
          <w:sz w:val="28"/>
          <w:szCs w:val="28"/>
          <w:lang w:val="zh-CN"/>
        </w:rPr>
      </w:pPr>
      <w:r>
        <w:rPr>
          <w:rFonts w:hint="eastAsia" w:ascii="宋体" w:hAnsi="宋体"/>
          <w:color w:val="auto"/>
          <w:sz w:val="21"/>
          <w:szCs w:val="21"/>
        </w:rPr>
        <w:t>日期：</w:t>
      </w:r>
      <w:bookmarkStart w:id="82" w:name="_Toc29566_WPSOffice_Level1"/>
    </w:p>
    <w:p>
      <w:pPr>
        <w:jc w:val="center"/>
        <w:rPr>
          <w:rFonts w:hint="eastAsia"/>
          <w:b/>
          <w:bCs/>
          <w:color w:val="auto"/>
          <w:sz w:val="28"/>
          <w:szCs w:val="28"/>
          <w:lang w:val="zh-CN"/>
        </w:rPr>
      </w:pPr>
      <w:r>
        <w:rPr>
          <w:rFonts w:hint="eastAsia"/>
          <w:b/>
          <w:bCs/>
          <w:color w:val="auto"/>
          <w:sz w:val="28"/>
          <w:szCs w:val="28"/>
          <w:lang w:val="zh-CN"/>
        </w:rPr>
        <w:t>无不良信用记录承诺函</w:t>
      </w:r>
      <w:bookmarkEnd w:id="8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83" w:name="_Toc363199274"/>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84" w:name="_Toc3574"/>
      <w:bookmarkStart w:id="85" w:name="_Toc471299107"/>
      <w:r>
        <w:rPr>
          <w:rFonts w:hint="eastAsia" w:ascii="宋体" w:hAnsi="宋体" w:eastAsia="宋体" w:cs="宋体"/>
          <w:color w:val="auto"/>
          <w:sz w:val="21"/>
          <w:szCs w:val="21"/>
        </w:rPr>
        <w:t>附件</w:t>
      </w:r>
      <w:bookmarkEnd w:id="83"/>
      <w:bookmarkEnd w:id="84"/>
      <w:bookmarkEnd w:id="85"/>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86" w:name="_Toc24671_WPSOffice_Level1"/>
      <w:r>
        <w:rPr>
          <w:rFonts w:hint="eastAsia"/>
          <w:b/>
          <w:bCs/>
          <w:color w:val="auto"/>
          <w:sz w:val="28"/>
          <w:szCs w:val="28"/>
          <w:lang w:val="zh-CN"/>
        </w:rPr>
        <w:t>询价响应表</w:t>
      </w:r>
      <w:bookmarkEnd w:id="86"/>
    </w:p>
    <w:tbl>
      <w:tblPr>
        <w:tblStyle w:val="18"/>
        <w:tblW w:w="922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108"/>
        <w:gridCol w:w="1737"/>
        <w:gridCol w:w="701"/>
        <w:gridCol w:w="2333"/>
        <w:gridCol w:w="915"/>
        <w:gridCol w:w="870"/>
        <w:gridCol w:w="7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7" w:type="dxa"/>
            <w:gridSpan w:val="4"/>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3" w:type="dxa"/>
            <w:gridSpan w:val="8"/>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108"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034"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r>
              <w:rPr>
                <w:rFonts w:hint="eastAsia" w:ascii="宋体" w:hAnsi="宋体"/>
                <w:b/>
                <w:color w:val="auto"/>
                <w:sz w:val="21"/>
                <w:szCs w:val="21"/>
              </w:rPr>
              <w:t>品牌、型号、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技术规格及配置、材质</w:t>
            </w:r>
          </w:p>
        </w:tc>
        <w:tc>
          <w:tcPr>
            <w:tcW w:w="91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b/>
                <w:color w:val="auto"/>
                <w:sz w:val="21"/>
                <w:szCs w:val="21"/>
                <w:lang w:eastAsia="zh-CN"/>
              </w:rPr>
            </w:pPr>
            <w:r>
              <w:rPr>
                <w:rFonts w:hint="eastAsia" w:ascii="宋体" w:hAnsi="宋体"/>
                <w:b/>
                <w:color w:val="auto"/>
                <w:sz w:val="21"/>
                <w:szCs w:val="21"/>
                <w:lang w:val="en-US" w:eastAsia="zh-CN"/>
              </w:rPr>
              <w:t>数量</w:t>
            </w:r>
          </w:p>
        </w:tc>
        <w:tc>
          <w:tcPr>
            <w:tcW w:w="87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单位</w:t>
            </w:r>
          </w:p>
        </w:tc>
        <w:tc>
          <w:tcPr>
            <w:tcW w:w="71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b/>
                <w:color w:val="auto"/>
                <w:sz w:val="21"/>
                <w:szCs w:val="21"/>
                <w:lang w:val="en-US" w:eastAsia="zh-CN"/>
              </w:rPr>
            </w:pPr>
            <w:r>
              <w:rPr>
                <w:rFonts w:hint="eastAsia" w:ascii="宋体" w:hAnsi="宋体"/>
                <w:b/>
                <w:color w:val="auto"/>
                <w:sz w:val="21"/>
                <w:szCs w:val="21"/>
                <w:lang w:val="en-US" w:eastAsia="zh-CN"/>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108"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034" w:type="dxa"/>
            <w:gridSpan w:val="2"/>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91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870"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c>
          <w:tcPr>
            <w:tcW w:w="71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b/>
                <w:color w:val="auto"/>
                <w:sz w:val="21"/>
                <w:szCs w:val="21"/>
              </w:rPr>
            </w:pPr>
          </w:p>
        </w:tc>
      </w:tr>
    </w:tbl>
    <w:p>
      <w:pPr>
        <w:pStyle w:val="2"/>
        <w:rPr>
          <w:rFonts w:hint="eastAsia"/>
          <w:lang w:val="zh-CN"/>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lang w:val="en-US" w:eastAsia="zh-CN"/>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right"/>
        <w:textAlignment w:val="auto"/>
        <w:outlineLvl w:val="9"/>
        <w:rPr>
          <w:rFonts w:hint="eastAsia" w:ascii="宋体" w:hAnsi="宋体"/>
          <w:color w:val="auto"/>
          <w:sz w:val="21"/>
          <w:szCs w:val="21"/>
        </w:rPr>
      </w:pPr>
      <w:r>
        <w:rPr>
          <w:rFonts w:hint="eastAsia" w:ascii="宋体" w:hAnsi="宋体"/>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r>
        <w:rPr>
          <w:rFonts w:hint="eastAsia" w:ascii="宋体" w:hAnsi="宋体"/>
          <w:b/>
          <w:bCs/>
          <w:color w:val="auto"/>
          <w:sz w:val="21"/>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87" w:name="_Toc27567"/>
      <w:bookmarkStart w:id="88" w:name="_Toc471299110"/>
    </w:p>
    <w:p>
      <w:pPr>
        <w:pStyle w:val="17"/>
        <w:rPr>
          <w:rFonts w:hint="eastAsia"/>
        </w:rPr>
      </w:pPr>
    </w:p>
    <w:p>
      <w:pPr>
        <w:pStyle w:val="17"/>
        <w:rPr>
          <w:rFonts w:hint="eastAsia"/>
        </w:rPr>
      </w:pPr>
    </w:p>
    <w:p>
      <w:pPr>
        <w:pStyle w:val="17"/>
        <w:rPr>
          <w:rFonts w:hint="eastAsia"/>
        </w:rPr>
      </w:pP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87"/>
      <w:bookmarkEnd w:id="88"/>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6"/>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89"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89"/>
    </w:p>
    <w:tbl>
      <w:tblPr>
        <w:tblStyle w:val="18"/>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7"/>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tc>
      </w:tr>
    </w:tbl>
    <w:p>
      <w:pPr>
        <w:spacing w:line="440" w:lineRule="exact"/>
        <w:ind w:firstLine="422" w:firstLineChars="200"/>
        <w:rPr>
          <w:rFonts w:hint="eastAsia" w:ascii="宋体" w:hAnsi="宋体" w:cs="宋体"/>
          <w:color w:val="auto"/>
          <w:szCs w:val="21"/>
        </w:rPr>
      </w:pP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1050" w:firstLineChars="5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w:t>
      </w:r>
      <w:r>
        <w:rPr>
          <w:rFonts w:hint="eastAsia" w:ascii="宋体" w:hAnsi="宋体" w:cs="宋体"/>
          <w:bCs/>
          <w:color w:val="auto"/>
          <w:szCs w:val="21"/>
          <w:lang w:eastAsia="zh-CN"/>
        </w:rPr>
        <w:t>供应商</w:t>
      </w:r>
      <w:r>
        <w:rPr>
          <w:rFonts w:hint="eastAsia" w:ascii="宋体" w:hAnsi="宋体" w:cs="宋体"/>
          <w:bCs/>
          <w:color w:val="auto"/>
          <w:szCs w:val="21"/>
        </w:rPr>
        <w:t>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7"/>
        <w:ind w:left="0" w:leftChars="0" w:firstLine="0" w:firstLineChars="0"/>
        <w:rPr>
          <w:rFonts w:hint="eastAsia" w:ascii="宋体" w:hAnsi="宋体" w:cs="宋体"/>
          <w:color w:val="auto"/>
          <w:szCs w:val="21"/>
        </w:rPr>
      </w:pPr>
    </w:p>
    <w:p>
      <w:pPr>
        <w:pStyle w:val="17"/>
        <w:ind w:left="0" w:leftChars="0" w:firstLine="0" w:firstLineChars="0"/>
        <w:rPr>
          <w:rFonts w:hint="eastAsia" w:ascii="宋体" w:hAnsi="宋体" w:cs="宋体"/>
          <w:color w:val="auto"/>
          <w:szCs w:val="21"/>
        </w:rPr>
      </w:pPr>
    </w:p>
    <w:p>
      <w:pPr>
        <w:numPr>
          <w:ilvl w:val="0"/>
          <w:numId w:val="0"/>
        </w:numPr>
        <w:adjustRightInd w:val="0"/>
        <w:snapToGrid w:val="0"/>
        <w:spacing w:line="320" w:lineRule="auto"/>
        <w:ind w:left="2870" w:leftChars="0"/>
        <w:rPr>
          <w:rFonts w:hint="eastAsia"/>
          <w:b/>
          <w:bCs/>
          <w:color w:val="auto"/>
          <w:sz w:val="28"/>
          <w:szCs w:val="28"/>
          <w:lang w:val="en-US"/>
        </w:rPr>
      </w:pPr>
      <w:bookmarkStart w:id="90" w:name="_Toc28824_WPSOffice_Level1"/>
      <w:r>
        <w:rPr>
          <w:rFonts w:hint="eastAsia"/>
          <w:b/>
          <w:bCs/>
          <w:color w:val="auto"/>
          <w:sz w:val="28"/>
          <w:szCs w:val="28"/>
          <w:lang w:val="en-US" w:eastAsia="zh-CN"/>
        </w:rPr>
        <w:t>（二）</w:t>
      </w:r>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90"/>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FF0000"/>
          <w:sz w:val="21"/>
          <w:szCs w:val="21"/>
          <w:lang w:eastAsia="zh-CN"/>
        </w:rPr>
      </w:pPr>
      <w:bookmarkStart w:id="91" w:name="_Toc32017"/>
      <w:r>
        <w:rPr>
          <w:rFonts w:hint="eastAsia" w:ascii="宋体" w:hAnsi="宋体" w:cs="宋体"/>
          <w:color w:val="FF0000"/>
          <w:sz w:val="21"/>
          <w:szCs w:val="21"/>
          <w:lang w:eastAsia="zh-CN"/>
        </w:rPr>
        <w:t>按采购需求逐项报价并汇总，格式自拟。</w:t>
      </w: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rPr>
      </w:pP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91"/>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92" w:name="_Toc12025_WPSOffice_Level1"/>
      <w:r>
        <w:rPr>
          <w:rFonts w:hint="eastAsia"/>
          <w:b/>
          <w:bCs/>
          <w:color w:val="auto"/>
          <w:sz w:val="28"/>
          <w:szCs w:val="28"/>
          <w:lang w:val="zh-CN"/>
        </w:rPr>
        <w:t>供货、安装、售后服务承诺</w:t>
      </w:r>
      <w:bookmarkEnd w:id="92"/>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8"/>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93" w:name="_Toc27705"/>
      <w:r>
        <w:rPr>
          <w:rFonts w:hint="eastAsia" w:ascii="宋体" w:hAnsi="宋体" w:eastAsia="宋体" w:cs="宋体"/>
          <w:color w:val="auto"/>
          <w:sz w:val="21"/>
          <w:szCs w:val="21"/>
        </w:rPr>
        <w:t>附件</w:t>
      </w:r>
      <w:bookmarkEnd w:id="93"/>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94" w:name="_Toc1950_WPSOffice_Level1"/>
      <w:r>
        <w:rPr>
          <w:rFonts w:hint="eastAsia"/>
          <w:b/>
          <w:bCs/>
          <w:color w:val="auto"/>
          <w:sz w:val="28"/>
          <w:szCs w:val="28"/>
          <w:lang w:val="zh-CN"/>
        </w:rPr>
        <w:t>询价文件要求和供应商认为需要提供的其它说明和资料</w:t>
      </w:r>
      <w:bookmarkEnd w:id="94"/>
    </w:p>
    <w:p>
      <w:pPr>
        <w:jc w:val="both"/>
        <w:rPr>
          <w:rStyle w:val="39"/>
          <w:rFonts w:hint="eastAsia"/>
          <w:color w:val="auto"/>
          <w:sz w:val="21"/>
          <w:szCs w:val="21"/>
          <w:lang w:val="en-US" w:eastAsia="zh-CN"/>
        </w:rPr>
      </w:pPr>
      <w:bookmarkStart w:id="95" w:name="_Toc3085"/>
      <w:bookmarkStart w:id="96" w:name="_Toc19844_WPSOffice_Level1"/>
    </w:p>
    <w:p>
      <w:pPr>
        <w:jc w:val="both"/>
        <w:rPr>
          <w:rStyle w:val="39"/>
          <w:rFonts w:hint="eastAsia"/>
          <w:color w:val="auto"/>
          <w:sz w:val="21"/>
          <w:szCs w:val="21"/>
          <w:lang w:val="en-US" w:eastAsia="zh-CN"/>
        </w:rPr>
      </w:pPr>
    </w:p>
    <w:p>
      <w:pPr>
        <w:jc w:val="both"/>
        <w:rPr>
          <w:rStyle w:val="39"/>
          <w:rFonts w:hint="eastAsia"/>
          <w:color w:val="auto"/>
          <w:sz w:val="21"/>
          <w:szCs w:val="21"/>
          <w:lang w:val="en-US" w:eastAsia="zh-CN"/>
        </w:rPr>
      </w:pPr>
    </w:p>
    <w:p>
      <w:pPr>
        <w:jc w:val="both"/>
        <w:rPr>
          <w:rFonts w:hint="eastAsia" w:ascii="宋体" w:hAnsi="宋体" w:cs="宋体"/>
          <w:b/>
          <w:bCs/>
          <w:color w:val="auto"/>
          <w:sz w:val="32"/>
          <w:szCs w:val="32"/>
        </w:rPr>
      </w:pPr>
      <w:r>
        <w:rPr>
          <w:rStyle w:val="39"/>
          <w:rFonts w:hint="eastAsia"/>
          <w:color w:val="auto"/>
          <w:sz w:val="21"/>
          <w:szCs w:val="21"/>
          <w:lang w:val="en-US" w:eastAsia="zh-CN"/>
        </w:rPr>
        <w:t>附件九</w:t>
      </w:r>
      <w:r>
        <w:rPr>
          <w:rStyle w:val="39"/>
          <w:rFonts w:hint="eastAsia"/>
          <w:color w:val="auto"/>
          <w:sz w:val="21"/>
          <w:szCs w:val="21"/>
        </w:rPr>
        <w:t xml:space="preserve"> </w:t>
      </w:r>
      <w:bookmarkEnd w:id="95"/>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96"/>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7" w:name="_Toc10947_WPSOffice_Level1"/>
      <w:r>
        <w:rPr>
          <w:rFonts w:hint="eastAsia" w:ascii="宋体" w:hAnsi="宋体" w:cs="宋体"/>
          <w:b/>
          <w:bCs/>
          <w:color w:val="auto"/>
          <w:sz w:val="24"/>
        </w:rPr>
        <w:t>注：</w:t>
      </w:r>
      <w:bookmarkEnd w:id="97"/>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ind w:firstLine="480" w:firstLineChars="200"/>
        <w:rPr>
          <w:rFonts w:hint="eastAsia" w:ascii="宋体" w:hAnsi="宋体" w:cs="宋体"/>
          <w:color w:val="auto"/>
          <w:kern w:val="0"/>
          <w:sz w:val="24"/>
        </w:rPr>
      </w:pP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8" w:name="_Toc27363_WPSOffice_Level1"/>
      <w:r>
        <w:rPr>
          <w:rFonts w:hint="eastAsia" w:ascii="宋体" w:hAnsi="宋体" w:cs="宋体"/>
          <w:b/>
          <w:bCs/>
          <w:color w:val="auto"/>
          <w:sz w:val="24"/>
        </w:rPr>
        <w:t>注：</w:t>
      </w:r>
      <w:bookmarkEnd w:id="98"/>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99" w:name="_Toc13534_WPSOffice_Level1"/>
      <w:r>
        <w:rPr>
          <w:rFonts w:hint="eastAsia" w:ascii="宋体" w:hAnsi="宋体" w:cs="宋体"/>
          <w:b/>
          <w:bCs/>
          <w:color w:val="auto"/>
          <w:sz w:val="24"/>
        </w:rPr>
        <w:t>注：</w:t>
      </w:r>
      <w:bookmarkEnd w:id="99"/>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100"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101" w:name="_Toc11536"/>
      <w:r>
        <w:rPr>
          <w:rFonts w:hint="eastAsia" w:ascii="宋体" w:hAnsi="宋体"/>
          <w:b/>
          <w:color w:val="auto"/>
          <w:sz w:val="24"/>
          <w:szCs w:val="28"/>
          <w:lang w:val="en-US" w:eastAsia="zh-CN"/>
        </w:rPr>
        <w:t>附件十</w:t>
      </w:r>
      <w:bookmarkEnd w:id="101"/>
    </w:p>
    <w:bookmarkEnd w:id="100"/>
    <w:p>
      <w:pPr>
        <w:spacing w:line="400" w:lineRule="exact"/>
        <w:jc w:val="center"/>
        <w:rPr>
          <w:rFonts w:hint="eastAsia" w:ascii="宋体" w:hAnsi="宋体" w:cs="宋体"/>
          <w:b/>
          <w:color w:val="auto"/>
          <w:sz w:val="28"/>
          <w:szCs w:val="28"/>
          <w:shd w:val="clear" w:color="auto" w:fill="FFFFFF"/>
        </w:rPr>
      </w:pPr>
      <w:bookmarkStart w:id="102"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102"/>
    </w:p>
    <w:p>
      <w:pPr>
        <w:adjustRightInd w:val="0"/>
        <w:snapToGrid w:val="0"/>
        <w:spacing w:line="360" w:lineRule="exact"/>
        <w:ind w:right="15" w:rightChars="7"/>
        <w:rPr>
          <w:rFonts w:hint="eastAsia" w:ascii="宋体" w:hAnsi="宋体" w:cs="宋体"/>
          <w:bCs/>
          <w:color w:val="auto"/>
          <w:shd w:val="clear" w:color="auto" w:fill="FFFFFF"/>
        </w:rPr>
      </w:pPr>
      <w:bookmarkStart w:id="103" w:name="_Toc3059_WPSOffice_Level1"/>
      <w:r>
        <w:rPr>
          <w:rFonts w:hint="eastAsia" w:ascii="宋体" w:hAnsi="宋体" w:cs="宋体"/>
          <w:bCs/>
          <w:color w:val="auto"/>
          <w:shd w:val="clear" w:color="auto" w:fill="FFFFFF"/>
        </w:rPr>
        <w:t>一、项目相关情况</w:t>
      </w:r>
      <w:bookmarkEnd w:id="103"/>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询价小组</w:t>
      </w:r>
      <w:r>
        <w:rPr>
          <w:rFonts w:hint="eastAsia" w:ascii="宋体" w:hAnsi="宋体" w:cs="宋体"/>
          <w:bCs/>
          <w:color w:val="auto"/>
          <w:shd w:val="clear" w:color="auto" w:fill="FFFFFF"/>
        </w:rPr>
        <w:t xml:space="preserve">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采购人</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104" w:name="_Toc21327_WPSOffice_Level1"/>
      <w:r>
        <w:rPr>
          <w:rFonts w:hint="eastAsia" w:ascii="宋体" w:hAnsi="宋体" w:cs="宋体"/>
          <w:bCs/>
          <w:color w:val="auto"/>
          <w:shd w:val="clear" w:color="auto" w:fill="FFFFFF"/>
        </w:rPr>
        <w:t>二、质疑提起的条件及不予受理的情形</w:t>
      </w:r>
      <w:bookmarkEnd w:id="104"/>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参照</w:t>
      </w:r>
      <w:r>
        <w:rPr>
          <w:rFonts w:hint="eastAsia" w:ascii="宋体" w:hAnsi="宋体" w:cs="宋体"/>
          <w:bCs/>
          <w:color w:val="auto"/>
          <w:shd w:val="clear" w:color="auto" w:fill="FFFFFF"/>
        </w:rPr>
        <w:t>《中华人民共和国政府采购法》、《中华人民共和国政府采购法实施条例》、财政部《政府采购质疑和投诉办法》等法律法规，现将质疑提起的条件及不予受理的情形告知如下：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firstLine="420" w:firstLineChars="200"/>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105" w:name="_Toc17685_WPSOffice_Level1"/>
      <w:r>
        <w:rPr>
          <w:rFonts w:hint="eastAsia" w:ascii="宋体" w:hAnsi="宋体" w:cs="宋体"/>
          <w:bCs/>
          <w:color w:val="auto"/>
          <w:shd w:val="clear" w:color="auto" w:fill="FFFFFF"/>
        </w:rPr>
        <w:t>三、其他</w:t>
      </w:r>
      <w:bookmarkEnd w:id="105"/>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cs="宋体"/>
          <w:color w:val="auto"/>
          <w:kern w:val="2"/>
          <w:sz w:val="21"/>
          <w:szCs w:val="21"/>
          <w:lang w:val="en-US" w:eastAsia="zh-CN" w:bidi="ar-SA"/>
        </w:rPr>
      </w:pPr>
      <w:r>
        <w:rPr>
          <w:rFonts w:hint="eastAsia" w:ascii="宋体" w:hAnsi="宋体" w:cs="宋体"/>
          <w:color w:val="auto"/>
          <w:kern w:val="2"/>
          <w:sz w:val="21"/>
          <w:szCs w:val="21"/>
          <w:lang w:val="en-US" w:eastAsia="zh-CN" w:bidi="ar-SA"/>
        </w:rPr>
        <w:t>霍山县疾病预防控制中心</w:t>
      </w: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年    月    日</w:t>
      </w:r>
    </w:p>
    <w:p>
      <w:pPr>
        <w:rPr>
          <w:color w:val="auto"/>
        </w:rPr>
      </w:pPr>
      <w:r>
        <w:rPr>
          <w:color w:val="auto"/>
        </w:rPr>
        <w:br w:type="page"/>
      </w:r>
    </w:p>
    <w:p>
      <w:pPr>
        <w:pStyle w:val="10"/>
      </w:pPr>
    </w:p>
    <w:p>
      <w:pPr>
        <w:pStyle w:val="11"/>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 1：</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11"/>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11"/>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rPr>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247" w:right="1451" w:bottom="1247" w:left="1451" w:header="567"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serif">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瀹嬩綋">
    <w:altName w:val="Segoe Print"/>
    <w:panose1 w:val="00000000000000000000"/>
    <w:charset w:val="00"/>
    <w:family w:val="auto"/>
    <w:pitch w:val="default"/>
    <w:sig w:usb0="00000000" w:usb1="00000000" w:usb2="00000000" w:usb3="00000000" w:csb0="0000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20"/>
        <w:tab w:val="clear" w:pos="4153"/>
        <w:tab w:val="clear" w:pos="8306"/>
      </w:tabs>
      <w:jc w:val="both"/>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left="0" w:leftChars="0" w:firstLine="0" w:firstLineChars="0"/>
      <w:jc w:val="both"/>
      <w:rPr>
        <w:rFonts w:hint="default" w:ascii="Times New Roman" w:hAnsi="Times New Roman" w:eastAsia="宋体" w:cs="Times New Roman"/>
        <w:b w:val="0"/>
        <w:kern w:val="2"/>
        <w:sz w:val="16"/>
        <w:szCs w:val="16"/>
        <w:u w:val="single"/>
        <w:lang w:val="en-US" w:eastAsia="zh-CN" w:bidi="ar-SA"/>
      </w:rPr>
    </w:pPr>
    <w:r>
      <w:rPr>
        <w:rFonts w:hint="eastAsia" w:cs="Times New Roman"/>
        <w:b w:val="0"/>
        <w:kern w:val="2"/>
        <w:sz w:val="16"/>
        <w:szCs w:val="16"/>
        <w:u w:val="single"/>
        <w:lang w:val="en-US" w:eastAsia="zh-CN" w:bidi="ar-SA"/>
      </w:rPr>
      <w:t>霍山县疾病预防控制中心艾滋病防控能力提升项目采购项目</w:t>
    </w:r>
    <w:r>
      <w:rPr>
        <w:rFonts w:hint="eastAsia" w:ascii="Times New Roman" w:hAnsi="Times New Roman" w:eastAsia="宋体" w:cs="Times New Roman"/>
        <w:b w:val="0"/>
        <w:kern w:val="2"/>
        <w:sz w:val="16"/>
        <w:szCs w:val="16"/>
        <w:u w:val="single"/>
        <w:lang w:val="en-US" w:eastAsia="zh-CN" w:bidi="ar-SA"/>
      </w:rPr>
      <w:t>询价文件</w:t>
    </w:r>
    <w:r>
      <w:rPr>
        <w:rFonts w:hint="eastAsia" w:ascii="Times New Roman" w:hAnsi="Times New Roman" w:eastAsia="宋体" w:cs="Times New Roman"/>
        <w:b w:val="0"/>
        <w:kern w:val="2"/>
        <w:sz w:val="15"/>
        <w:szCs w:val="15"/>
        <w:u w:val="single"/>
        <w:lang w:val="en-US" w:eastAsia="zh-CN" w:bidi="ar-SA"/>
      </w:rPr>
      <w:t xml:space="preserve"> </w:t>
    </w:r>
    <w:r>
      <w:rPr>
        <w:rFonts w:hint="eastAsia"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5"/>
        <w:szCs w:val="15"/>
        <w:u w:val="single"/>
        <w:lang w:val="en-US" w:eastAsia="zh-CN" w:bidi="ar-SA"/>
      </w:rPr>
      <w:t xml:space="preserve"> </w:t>
    </w:r>
    <w:r>
      <w:rPr>
        <w:rFonts w:hint="eastAsia" w:ascii="Times New Roman" w:hAnsi="Times New Roman" w:eastAsia="宋体" w:cs="Times New Roman"/>
        <w:b w:val="0"/>
        <w:kern w:val="2"/>
        <w:sz w:val="16"/>
        <w:szCs w:val="16"/>
        <w:u w:val="single"/>
        <w:lang w:val="en-US" w:eastAsia="zh-CN" w:bidi="ar-SA"/>
      </w:rPr>
      <w:t>安徽大别山工程咨询有限公司</w:t>
    </w:r>
    <w:r>
      <w:rPr>
        <w:rFonts w:hint="eastAsia" w:cs="Times New Roman"/>
        <w:b w:val="0"/>
        <w:kern w:val="2"/>
        <w:sz w:val="16"/>
        <w:szCs w:val="16"/>
        <w:u w:val="single"/>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87399A"/>
    <w:multiLevelType w:val="singleLevel"/>
    <w:tmpl w:val="1687399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708B"/>
    <w:rsid w:val="00292389"/>
    <w:rsid w:val="00706054"/>
    <w:rsid w:val="00847D88"/>
    <w:rsid w:val="00B17BC8"/>
    <w:rsid w:val="011744DF"/>
    <w:rsid w:val="01D35A0A"/>
    <w:rsid w:val="01D72602"/>
    <w:rsid w:val="022B73BF"/>
    <w:rsid w:val="02923D0A"/>
    <w:rsid w:val="0297760C"/>
    <w:rsid w:val="02AA1EE6"/>
    <w:rsid w:val="02C17B34"/>
    <w:rsid w:val="02F85797"/>
    <w:rsid w:val="03150F8F"/>
    <w:rsid w:val="031838E3"/>
    <w:rsid w:val="04777FAA"/>
    <w:rsid w:val="047A1250"/>
    <w:rsid w:val="04831F83"/>
    <w:rsid w:val="04837086"/>
    <w:rsid w:val="048570FC"/>
    <w:rsid w:val="0558683D"/>
    <w:rsid w:val="056F542D"/>
    <w:rsid w:val="059C0CBD"/>
    <w:rsid w:val="062A252A"/>
    <w:rsid w:val="0644344B"/>
    <w:rsid w:val="065734CB"/>
    <w:rsid w:val="06A80ACF"/>
    <w:rsid w:val="06BE48F4"/>
    <w:rsid w:val="0713690B"/>
    <w:rsid w:val="07500CD8"/>
    <w:rsid w:val="07550BBC"/>
    <w:rsid w:val="0784433C"/>
    <w:rsid w:val="07E42C56"/>
    <w:rsid w:val="07F727F0"/>
    <w:rsid w:val="094825C0"/>
    <w:rsid w:val="09B24D52"/>
    <w:rsid w:val="09F429FB"/>
    <w:rsid w:val="0A056E0E"/>
    <w:rsid w:val="0A381ED7"/>
    <w:rsid w:val="0A6B423D"/>
    <w:rsid w:val="0A967446"/>
    <w:rsid w:val="0ADA7309"/>
    <w:rsid w:val="0B37771E"/>
    <w:rsid w:val="0B3A232A"/>
    <w:rsid w:val="0B92029E"/>
    <w:rsid w:val="0BBD26DB"/>
    <w:rsid w:val="0C061911"/>
    <w:rsid w:val="0C717286"/>
    <w:rsid w:val="0C8B3F0F"/>
    <w:rsid w:val="0C9C65B9"/>
    <w:rsid w:val="0D162B03"/>
    <w:rsid w:val="0D4A538B"/>
    <w:rsid w:val="0D957933"/>
    <w:rsid w:val="0DA41150"/>
    <w:rsid w:val="0E2B3D85"/>
    <w:rsid w:val="0E7B6D74"/>
    <w:rsid w:val="0EAB242F"/>
    <w:rsid w:val="0F8D6C97"/>
    <w:rsid w:val="10493F0A"/>
    <w:rsid w:val="122B65C1"/>
    <w:rsid w:val="1264252E"/>
    <w:rsid w:val="133A7582"/>
    <w:rsid w:val="133C3075"/>
    <w:rsid w:val="13592465"/>
    <w:rsid w:val="13611A2A"/>
    <w:rsid w:val="13C606BA"/>
    <w:rsid w:val="13D83B84"/>
    <w:rsid w:val="1414601F"/>
    <w:rsid w:val="141A392E"/>
    <w:rsid w:val="14581FA2"/>
    <w:rsid w:val="14633700"/>
    <w:rsid w:val="147737A7"/>
    <w:rsid w:val="14827BCA"/>
    <w:rsid w:val="14B87D91"/>
    <w:rsid w:val="14F04C17"/>
    <w:rsid w:val="15081ED3"/>
    <w:rsid w:val="15165EFD"/>
    <w:rsid w:val="1556562C"/>
    <w:rsid w:val="156D56CE"/>
    <w:rsid w:val="159267B6"/>
    <w:rsid w:val="161D1882"/>
    <w:rsid w:val="16C41FE1"/>
    <w:rsid w:val="16C44B63"/>
    <w:rsid w:val="16E90795"/>
    <w:rsid w:val="174961DA"/>
    <w:rsid w:val="174F1F7C"/>
    <w:rsid w:val="17597E0D"/>
    <w:rsid w:val="176349E4"/>
    <w:rsid w:val="18392471"/>
    <w:rsid w:val="186E369B"/>
    <w:rsid w:val="18951FC7"/>
    <w:rsid w:val="18B06CB8"/>
    <w:rsid w:val="18BF07B6"/>
    <w:rsid w:val="18E170E3"/>
    <w:rsid w:val="18FB5F6E"/>
    <w:rsid w:val="19080508"/>
    <w:rsid w:val="19750DD6"/>
    <w:rsid w:val="19783115"/>
    <w:rsid w:val="198620A5"/>
    <w:rsid w:val="19996F05"/>
    <w:rsid w:val="1A1D00D5"/>
    <w:rsid w:val="1A331B52"/>
    <w:rsid w:val="1B255937"/>
    <w:rsid w:val="1B7D11A5"/>
    <w:rsid w:val="1BD82076"/>
    <w:rsid w:val="1BED2EA5"/>
    <w:rsid w:val="1BF87562"/>
    <w:rsid w:val="1C230B2D"/>
    <w:rsid w:val="1C996F6B"/>
    <w:rsid w:val="1CEA6453"/>
    <w:rsid w:val="1D0105DB"/>
    <w:rsid w:val="1D217AE8"/>
    <w:rsid w:val="1D5B719B"/>
    <w:rsid w:val="1D691CF6"/>
    <w:rsid w:val="1DC0444F"/>
    <w:rsid w:val="1E3106CF"/>
    <w:rsid w:val="1E5351BE"/>
    <w:rsid w:val="1ECF49F1"/>
    <w:rsid w:val="1F3454C6"/>
    <w:rsid w:val="1F517E9A"/>
    <w:rsid w:val="1F5D6BC7"/>
    <w:rsid w:val="1F6C4AEE"/>
    <w:rsid w:val="1FF9332C"/>
    <w:rsid w:val="2009288A"/>
    <w:rsid w:val="202E2A41"/>
    <w:rsid w:val="209015F8"/>
    <w:rsid w:val="209F2B37"/>
    <w:rsid w:val="212E3565"/>
    <w:rsid w:val="21336370"/>
    <w:rsid w:val="2134647A"/>
    <w:rsid w:val="213B0D30"/>
    <w:rsid w:val="215167E4"/>
    <w:rsid w:val="21543BEE"/>
    <w:rsid w:val="21957187"/>
    <w:rsid w:val="21D50B53"/>
    <w:rsid w:val="21F577EF"/>
    <w:rsid w:val="22067FA4"/>
    <w:rsid w:val="22175379"/>
    <w:rsid w:val="221B322D"/>
    <w:rsid w:val="22EA7BE0"/>
    <w:rsid w:val="230509C2"/>
    <w:rsid w:val="234A74A5"/>
    <w:rsid w:val="236E7DAD"/>
    <w:rsid w:val="23CC70D4"/>
    <w:rsid w:val="24267BFD"/>
    <w:rsid w:val="242D70F2"/>
    <w:rsid w:val="249763A0"/>
    <w:rsid w:val="249C4D10"/>
    <w:rsid w:val="24D300E0"/>
    <w:rsid w:val="24F23F2D"/>
    <w:rsid w:val="25273C28"/>
    <w:rsid w:val="25656A25"/>
    <w:rsid w:val="25991012"/>
    <w:rsid w:val="25ED3305"/>
    <w:rsid w:val="260D2BCC"/>
    <w:rsid w:val="262D1358"/>
    <w:rsid w:val="26943C3F"/>
    <w:rsid w:val="26A33FC0"/>
    <w:rsid w:val="2756117E"/>
    <w:rsid w:val="27E62833"/>
    <w:rsid w:val="280C55E5"/>
    <w:rsid w:val="288E4477"/>
    <w:rsid w:val="28B95567"/>
    <w:rsid w:val="296C5062"/>
    <w:rsid w:val="2A9873BD"/>
    <w:rsid w:val="2A987BB9"/>
    <w:rsid w:val="2AFD66B5"/>
    <w:rsid w:val="2B1C14C3"/>
    <w:rsid w:val="2BAE2C9D"/>
    <w:rsid w:val="2BD3447D"/>
    <w:rsid w:val="2BD6049A"/>
    <w:rsid w:val="2BF44CEF"/>
    <w:rsid w:val="2C6E3168"/>
    <w:rsid w:val="2D187A52"/>
    <w:rsid w:val="2D1B366A"/>
    <w:rsid w:val="2D254D25"/>
    <w:rsid w:val="2D2B28B3"/>
    <w:rsid w:val="2D743811"/>
    <w:rsid w:val="2D897B5C"/>
    <w:rsid w:val="2DC91B5A"/>
    <w:rsid w:val="2DD172D8"/>
    <w:rsid w:val="2DD57ECD"/>
    <w:rsid w:val="2E0C6EE9"/>
    <w:rsid w:val="2E1267B9"/>
    <w:rsid w:val="2E502466"/>
    <w:rsid w:val="2EA944F0"/>
    <w:rsid w:val="2ED51A6E"/>
    <w:rsid w:val="2F1C57A5"/>
    <w:rsid w:val="2F2A48A2"/>
    <w:rsid w:val="2FA7707A"/>
    <w:rsid w:val="2FEA7FA2"/>
    <w:rsid w:val="30091271"/>
    <w:rsid w:val="3019462B"/>
    <w:rsid w:val="306378EA"/>
    <w:rsid w:val="30795E50"/>
    <w:rsid w:val="30C735A9"/>
    <w:rsid w:val="31F9233C"/>
    <w:rsid w:val="32661595"/>
    <w:rsid w:val="328D671D"/>
    <w:rsid w:val="32C06DE2"/>
    <w:rsid w:val="32DB40DB"/>
    <w:rsid w:val="339B7435"/>
    <w:rsid w:val="33B14AD2"/>
    <w:rsid w:val="33E1101F"/>
    <w:rsid w:val="340E6C58"/>
    <w:rsid w:val="34324321"/>
    <w:rsid w:val="349D31D8"/>
    <w:rsid w:val="34A55A3F"/>
    <w:rsid w:val="34CB67DC"/>
    <w:rsid w:val="34D536C4"/>
    <w:rsid w:val="34E95FF5"/>
    <w:rsid w:val="350F4B5F"/>
    <w:rsid w:val="359112A2"/>
    <w:rsid w:val="35A16482"/>
    <w:rsid w:val="35CE143F"/>
    <w:rsid w:val="361D3C18"/>
    <w:rsid w:val="36503A40"/>
    <w:rsid w:val="368E0EDE"/>
    <w:rsid w:val="36DA37D0"/>
    <w:rsid w:val="36DF7A21"/>
    <w:rsid w:val="36F40FE9"/>
    <w:rsid w:val="3730490B"/>
    <w:rsid w:val="37DE4003"/>
    <w:rsid w:val="37DF419C"/>
    <w:rsid w:val="37F90F6A"/>
    <w:rsid w:val="387144D5"/>
    <w:rsid w:val="38B45EFC"/>
    <w:rsid w:val="38D036A4"/>
    <w:rsid w:val="38D17E87"/>
    <w:rsid w:val="38EA21D0"/>
    <w:rsid w:val="38F723B6"/>
    <w:rsid w:val="39237904"/>
    <w:rsid w:val="39792C93"/>
    <w:rsid w:val="3AAE5E82"/>
    <w:rsid w:val="3AE97D6B"/>
    <w:rsid w:val="3B09701F"/>
    <w:rsid w:val="3B340E52"/>
    <w:rsid w:val="3B575F99"/>
    <w:rsid w:val="3B7148FD"/>
    <w:rsid w:val="3B8E3C6C"/>
    <w:rsid w:val="3C1C5FDB"/>
    <w:rsid w:val="3C56293E"/>
    <w:rsid w:val="3C6D7B72"/>
    <w:rsid w:val="3C967255"/>
    <w:rsid w:val="3CD61F9A"/>
    <w:rsid w:val="3D457CC8"/>
    <w:rsid w:val="3D5C50E1"/>
    <w:rsid w:val="3E046DF3"/>
    <w:rsid w:val="3E4A7D54"/>
    <w:rsid w:val="3E50419B"/>
    <w:rsid w:val="3E544A2D"/>
    <w:rsid w:val="3E9D780F"/>
    <w:rsid w:val="3F570499"/>
    <w:rsid w:val="40871F18"/>
    <w:rsid w:val="408F2C22"/>
    <w:rsid w:val="40B4201E"/>
    <w:rsid w:val="40B4502A"/>
    <w:rsid w:val="40D00173"/>
    <w:rsid w:val="41132993"/>
    <w:rsid w:val="41C77480"/>
    <w:rsid w:val="41DD49C0"/>
    <w:rsid w:val="4260727A"/>
    <w:rsid w:val="428141CF"/>
    <w:rsid w:val="42A009B8"/>
    <w:rsid w:val="42D11E1F"/>
    <w:rsid w:val="42ED6ACA"/>
    <w:rsid w:val="431D644D"/>
    <w:rsid w:val="43DD3193"/>
    <w:rsid w:val="446308DB"/>
    <w:rsid w:val="44A83992"/>
    <w:rsid w:val="44D74C5B"/>
    <w:rsid w:val="458F0A67"/>
    <w:rsid w:val="459044BE"/>
    <w:rsid w:val="459907ED"/>
    <w:rsid w:val="45DB4E4A"/>
    <w:rsid w:val="45FC1F89"/>
    <w:rsid w:val="46447AD0"/>
    <w:rsid w:val="4667667C"/>
    <w:rsid w:val="46CE47FB"/>
    <w:rsid w:val="46FE1966"/>
    <w:rsid w:val="47297854"/>
    <w:rsid w:val="47AD1197"/>
    <w:rsid w:val="47BF356A"/>
    <w:rsid w:val="47DD1E0C"/>
    <w:rsid w:val="47ED349E"/>
    <w:rsid w:val="48127EBE"/>
    <w:rsid w:val="48C40DA6"/>
    <w:rsid w:val="48D30C8F"/>
    <w:rsid w:val="48DE1DCA"/>
    <w:rsid w:val="48EE5384"/>
    <w:rsid w:val="48F93679"/>
    <w:rsid w:val="493E0515"/>
    <w:rsid w:val="49665DCB"/>
    <w:rsid w:val="498C5E4B"/>
    <w:rsid w:val="49974E74"/>
    <w:rsid w:val="4A0E2871"/>
    <w:rsid w:val="4A4B552C"/>
    <w:rsid w:val="4A4D2829"/>
    <w:rsid w:val="4A785C33"/>
    <w:rsid w:val="4A7D13BA"/>
    <w:rsid w:val="4AAE72B9"/>
    <w:rsid w:val="4AED40D1"/>
    <w:rsid w:val="4B613D8A"/>
    <w:rsid w:val="4BDA24DF"/>
    <w:rsid w:val="4C68185E"/>
    <w:rsid w:val="4C6F537C"/>
    <w:rsid w:val="4CC170FC"/>
    <w:rsid w:val="4D18297E"/>
    <w:rsid w:val="4D291759"/>
    <w:rsid w:val="4D757618"/>
    <w:rsid w:val="4E825788"/>
    <w:rsid w:val="4EAA6492"/>
    <w:rsid w:val="4F9010E9"/>
    <w:rsid w:val="4FF765D1"/>
    <w:rsid w:val="50106576"/>
    <w:rsid w:val="50345C2D"/>
    <w:rsid w:val="50677BFC"/>
    <w:rsid w:val="51373F3D"/>
    <w:rsid w:val="519F44C2"/>
    <w:rsid w:val="51AD6F1E"/>
    <w:rsid w:val="522664EF"/>
    <w:rsid w:val="523E55B6"/>
    <w:rsid w:val="52AD0B16"/>
    <w:rsid w:val="52DF5542"/>
    <w:rsid w:val="52F7398F"/>
    <w:rsid w:val="5492580D"/>
    <w:rsid w:val="54A309A3"/>
    <w:rsid w:val="54B56A54"/>
    <w:rsid w:val="558001AF"/>
    <w:rsid w:val="558D66D2"/>
    <w:rsid w:val="55AE7DE8"/>
    <w:rsid w:val="55AF41F5"/>
    <w:rsid w:val="55DD401C"/>
    <w:rsid w:val="55FB7588"/>
    <w:rsid w:val="56530A5B"/>
    <w:rsid w:val="57562B24"/>
    <w:rsid w:val="57C1264F"/>
    <w:rsid w:val="57D256C3"/>
    <w:rsid w:val="57FF690C"/>
    <w:rsid w:val="581B40F7"/>
    <w:rsid w:val="58565344"/>
    <w:rsid w:val="58667ACD"/>
    <w:rsid w:val="58695F8B"/>
    <w:rsid w:val="589543F5"/>
    <w:rsid w:val="59423AF1"/>
    <w:rsid w:val="59E00D64"/>
    <w:rsid w:val="5A4D20F4"/>
    <w:rsid w:val="5A6D49B6"/>
    <w:rsid w:val="5A9864B3"/>
    <w:rsid w:val="5B282082"/>
    <w:rsid w:val="5B7075D7"/>
    <w:rsid w:val="5BA07BB6"/>
    <w:rsid w:val="5BA3057C"/>
    <w:rsid w:val="5BBE35F6"/>
    <w:rsid w:val="5BE50D63"/>
    <w:rsid w:val="5C3E5A4E"/>
    <w:rsid w:val="5CFB63ED"/>
    <w:rsid w:val="5D0C73DB"/>
    <w:rsid w:val="5D1E4502"/>
    <w:rsid w:val="5D273630"/>
    <w:rsid w:val="5D603CFB"/>
    <w:rsid w:val="5D707A1D"/>
    <w:rsid w:val="5D7B64A1"/>
    <w:rsid w:val="5DD65B4C"/>
    <w:rsid w:val="5E812F4F"/>
    <w:rsid w:val="5E9D2493"/>
    <w:rsid w:val="5EB3743D"/>
    <w:rsid w:val="5ED30E67"/>
    <w:rsid w:val="5EFB6C0F"/>
    <w:rsid w:val="5F0510AD"/>
    <w:rsid w:val="5F060FB7"/>
    <w:rsid w:val="5F2B66BC"/>
    <w:rsid w:val="5F402988"/>
    <w:rsid w:val="5F5348CD"/>
    <w:rsid w:val="5F607FA6"/>
    <w:rsid w:val="5FC957A3"/>
    <w:rsid w:val="5FDE2627"/>
    <w:rsid w:val="60165A67"/>
    <w:rsid w:val="60435494"/>
    <w:rsid w:val="60AB1BEE"/>
    <w:rsid w:val="61456042"/>
    <w:rsid w:val="615E5718"/>
    <w:rsid w:val="61705B21"/>
    <w:rsid w:val="61731D75"/>
    <w:rsid w:val="61845E20"/>
    <w:rsid w:val="618D0E1A"/>
    <w:rsid w:val="619C1CA6"/>
    <w:rsid w:val="61AC4109"/>
    <w:rsid w:val="61F85938"/>
    <w:rsid w:val="61FF653E"/>
    <w:rsid w:val="625F350F"/>
    <w:rsid w:val="629D1B22"/>
    <w:rsid w:val="62FC7518"/>
    <w:rsid w:val="63050313"/>
    <w:rsid w:val="630B138C"/>
    <w:rsid w:val="631D3EFA"/>
    <w:rsid w:val="63364B4C"/>
    <w:rsid w:val="63637DD7"/>
    <w:rsid w:val="639C65AB"/>
    <w:rsid w:val="63B321AB"/>
    <w:rsid w:val="63CE30A4"/>
    <w:rsid w:val="63E8055D"/>
    <w:rsid w:val="63F05C52"/>
    <w:rsid w:val="64AD138F"/>
    <w:rsid w:val="64BA0E02"/>
    <w:rsid w:val="64FC4735"/>
    <w:rsid w:val="651C46B8"/>
    <w:rsid w:val="65311886"/>
    <w:rsid w:val="65502555"/>
    <w:rsid w:val="65520F7C"/>
    <w:rsid w:val="65771F5A"/>
    <w:rsid w:val="65901E03"/>
    <w:rsid w:val="65DB7BA0"/>
    <w:rsid w:val="65FD7644"/>
    <w:rsid w:val="667629CA"/>
    <w:rsid w:val="668101EB"/>
    <w:rsid w:val="66B8521A"/>
    <w:rsid w:val="66F918C9"/>
    <w:rsid w:val="676476D8"/>
    <w:rsid w:val="678154B0"/>
    <w:rsid w:val="68211B85"/>
    <w:rsid w:val="68560087"/>
    <w:rsid w:val="687F004A"/>
    <w:rsid w:val="68BA3798"/>
    <w:rsid w:val="68DC7583"/>
    <w:rsid w:val="68F105A4"/>
    <w:rsid w:val="690D0368"/>
    <w:rsid w:val="69EC2952"/>
    <w:rsid w:val="69F4791E"/>
    <w:rsid w:val="6A47529D"/>
    <w:rsid w:val="6A6A50DD"/>
    <w:rsid w:val="6AF61310"/>
    <w:rsid w:val="6AFF1193"/>
    <w:rsid w:val="6B225547"/>
    <w:rsid w:val="6B263DBA"/>
    <w:rsid w:val="6B413A50"/>
    <w:rsid w:val="6B5F1F9E"/>
    <w:rsid w:val="6B6D3148"/>
    <w:rsid w:val="6BDE614C"/>
    <w:rsid w:val="6BE22727"/>
    <w:rsid w:val="6C0040EC"/>
    <w:rsid w:val="6C0A4B24"/>
    <w:rsid w:val="6C147972"/>
    <w:rsid w:val="6C4F64A4"/>
    <w:rsid w:val="6C640C01"/>
    <w:rsid w:val="6C810D4A"/>
    <w:rsid w:val="6CAE0116"/>
    <w:rsid w:val="6CD771B7"/>
    <w:rsid w:val="6D026CA1"/>
    <w:rsid w:val="6D4122F7"/>
    <w:rsid w:val="6D574D6B"/>
    <w:rsid w:val="6D641EB9"/>
    <w:rsid w:val="6D6A3DA9"/>
    <w:rsid w:val="6D9B23AC"/>
    <w:rsid w:val="6DA52666"/>
    <w:rsid w:val="6DB0368A"/>
    <w:rsid w:val="6E442FF4"/>
    <w:rsid w:val="6E6A435F"/>
    <w:rsid w:val="6E9E7C3F"/>
    <w:rsid w:val="6F343FCD"/>
    <w:rsid w:val="6F5632F9"/>
    <w:rsid w:val="6F593876"/>
    <w:rsid w:val="6F643911"/>
    <w:rsid w:val="6F6A58FB"/>
    <w:rsid w:val="6F6D24C1"/>
    <w:rsid w:val="6FB45A58"/>
    <w:rsid w:val="6FB71515"/>
    <w:rsid w:val="6FE1504D"/>
    <w:rsid w:val="707E77DD"/>
    <w:rsid w:val="71805BCB"/>
    <w:rsid w:val="71A46547"/>
    <w:rsid w:val="72226A91"/>
    <w:rsid w:val="72815C13"/>
    <w:rsid w:val="728E5D1B"/>
    <w:rsid w:val="73654805"/>
    <w:rsid w:val="73BA01A0"/>
    <w:rsid w:val="73D81B5D"/>
    <w:rsid w:val="74500A76"/>
    <w:rsid w:val="75A769E0"/>
    <w:rsid w:val="762411EC"/>
    <w:rsid w:val="76911B4D"/>
    <w:rsid w:val="76977A33"/>
    <w:rsid w:val="76E87B64"/>
    <w:rsid w:val="776D2CC4"/>
    <w:rsid w:val="77AF078E"/>
    <w:rsid w:val="77EC0CA0"/>
    <w:rsid w:val="781077BF"/>
    <w:rsid w:val="782F0227"/>
    <w:rsid w:val="78397A44"/>
    <w:rsid w:val="78887365"/>
    <w:rsid w:val="789C2226"/>
    <w:rsid w:val="78CC4196"/>
    <w:rsid w:val="78DF200C"/>
    <w:rsid w:val="78F92F7D"/>
    <w:rsid w:val="791B59B6"/>
    <w:rsid w:val="7927654F"/>
    <w:rsid w:val="794851E5"/>
    <w:rsid w:val="794F7F35"/>
    <w:rsid w:val="79B832CB"/>
    <w:rsid w:val="79F628A4"/>
    <w:rsid w:val="7A1A522E"/>
    <w:rsid w:val="7A482E43"/>
    <w:rsid w:val="7A686D7F"/>
    <w:rsid w:val="7A9E561B"/>
    <w:rsid w:val="7ABD69E5"/>
    <w:rsid w:val="7BCB12F8"/>
    <w:rsid w:val="7BF62D7B"/>
    <w:rsid w:val="7C0F0429"/>
    <w:rsid w:val="7C7C0782"/>
    <w:rsid w:val="7D066453"/>
    <w:rsid w:val="7D196BB9"/>
    <w:rsid w:val="7D460C55"/>
    <w:rsid w:val="7D4C3F14"/>
    <w:rsid w:val="7D6A6C42"/>
    <w:rsid w:val="7DC86EB2"/>
    <w:rsid w:val="7DFA334B"/>
    <w:rsid w:val="7E015CAC"/>
    <w:rsid w:val="7E1572BA"/>
    <w:rsid w:val="7E456548"/>
    <w:rsid w:val="7EF1633B"/>
    <w:rsid w:val="7F335396"/>
    <w:rsid w:val="7F782E97"/>
    <w:rsid w:val="7F8B766A"/>
    <w:rsid w:val="7FAC572F"/>
    <w:rsid w:val="7FDC3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6">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7">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8">
    <w:name w:val="heading 3"/>
    <w:basedOn w:val="1"/>
    <w:next w:val="1"/>
    <w:link w:val="39"/>
    <w:qFormat/>
    <w:uiPriority w:val="99"/>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5"/>
    <w:qFormat/>
    <w:uiPriority w:val="0"/>
    <w:pPr>
      <w:spacing w:line="360" w:lineRule="auto"/>
      <w:jc w:val="left"/>
    </w:pPr>
    <w:rPr>
      <w:rFonts w:cs="宋体"/>
      <w:sz w:val="28"/>
      <w:szCs w:val="28"/>
    </w:rPr>
  </w:style>
  <w:style w:type="paragraph" w:styleId="3">
    <w:name w:val="Body Text Indent"/>
    <w:basedOn w:val="1"/>
    <w:next w:val="4"/>
    <w:unhideWhenUsed/>
    <w:qFormat/>
    <w:uiPriority w:val="0"/>
    <w:pPr>
      <w:ind w:left="420" w:leftChars="200"/>
    </w:pPr>
  </w:style>
  <w:style w:type="paragraph" w:styleId="4">
    <w:name w:val="envelope return"/>
    <w:basedOn w:val="1"/>
    <w:unhideWhenUsed/>
    <w:qFormat/>
    <w:uiPriority w:val="99"/>
    <w:pPr>
      <w:snapToGrid w:val="0"/>
      <w:spacing w:line="360" w:lineRule="auto"/>
    </w:pPr>
    <w:rPr>
      <w:rFonts w:ascii="Arial" w:hAnsi="Arial" w:cs="Arial"/>
    </w:rPr>
  </w:style>
  <w:style w:type="paragraph" w:styleId="5">
    <w:name w:val="List"/>
    <w:qFormat/>
    <w:uiPriority w:val="0"/>
    <w:pPr>
      <w:widowControl w:val="0"/>
      <w:spacing w:line="360" w:lineRule="auto"/>
      <w:ind w:left="420" w:hanging="420"/>
      <w:jc w:val="both"/>
    </w:pPr>
    <w:rPr>
      <w:rFonts w:ascii="Arial" w:hAnsi="Arial" w:eastAsia="楷体_GB2312" w:cstheme="minorBidi"/>
      <w:kern w:val="2"/>
      <w:sz w:val="28"/>
      <w:szCs w:val="22"/>
      <w:lang w:val="en-US" w:eastAsia="zh-CN" w:bidi="ar-SA"/>
    </w:rPr>
  </w:style>
  <w:style w:type="paragraph" w:styleId="9">
    <w:name w:val="Normal Indent"/>
    <w:basedOn w:val="1"/>
    <w:qFormat/>
    <w:uiPriority w:val="0"/>
    <w:pPr>
      <w:autoSpaceDE/>
      <w:autoSpaceDN/>
      <w:adjustRightInd/>
      <w:ind w:firstLine="420"/>
    </w:pPr>
    <w:rPr>
      <w:color w:val="auto"/>
      <w:kern w:val="2"/>
      <w:szCs w:val="20"/>
    </w:rPr>
  </w:style>
  <w:style w:type="paragraph" w:styleId="10">
    <w:name w:val="Body Text"/>
    <w:basedOn w:val="1"/>
    <w:next w:val="11"/>
    <w:qFormat/>
    <w:uiPriority w:val="99"/>
    <w:pPr>
      <w:spacing w:after="120"/>
    </w:pPr>
    <w:rPr>
      <w:szCs w:val="24"/>
    </w:rPr>
  </w:style>
  <w:style w:type="paragraph" w:customStyle="1" w:styleId="11">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12">
    <w:name w:val="Plain Text"/>
    <w:basedOn w:val="1"/>
    <w:qFormat/>
    <w:uiPriority w:val="99"/>
    <w:rPr>
      <w:rFonts w:ascii="宋体" w:hAnsi="Courier New"/>
      <w:szCs w:val="22"/>
    </w:rPr>
  </w:style>
  <w:style w:type="paragraph" w:styleId="13">
    <w:name w:val="Date"/>
    <w:basedOn w:val="1"/>
    <w:next w:val="1"/>
    <w:qFormat/>
    <w:uiPriority w:val="99"/>
    <w:rPr>
      <w:rFonts w:ascii="Arial" w:hAnsi="Arial" w:eastAsia="楷体_GB2312"/>
      <w:sz w:val="28"/>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w:basedOn w:val="10"/>
    <w:qFormat/>
    <w:uiPriority w:val="0"/>
    <w:pPr>
      <w:spacing w:line="400" w:lineRule="atLeast"/>
      <w:ind w:firstLine="426"/>
    </w:pPr>
    <w:rPr>
      <w:rFonts w:ascii="Times New Roman" w:hAnsi="Times New Roman"/>
      <w:sz w:val="24"/>
      <w:szCs w:val="20"/>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uiPriority w:val="0"/>
    <w:rPr>
      <w:b/>
    </w:rPr>
  </w:style>
  <w:style w:type="character" w:styleId="22">
    <w:name w:val="page number"/>
    <w:basedOn w:val="20"/>
    <w:qFormat/>
    <w:uiPriority w:val="0"/>
  </w:style>
  <w:style w:type="character" w:styleId="23">
    <w:name w:val="FollowedHyperlink"/>
    <w:basedOn w:val="20"/>
    <w:qFormat/>
    <w:uiPriority w:val="0"/>
    <w:rPr>
      <w:color w:val="4C4C4C"/>
      <w:u w:val="none"/>
    </w:rPr>
  </w:style>
  <w:style w:type="character" w:styleId="24">
    <w:name w:val="Emphasis"/>
    <w:basedOn w:val="20"/>
    <w:qFormat/>
    <w:uiPriority w:val="0"/>
  </w:style>
  <w:style w:type="character" w:styleId="25">
    <w:name w:val="HTML Definition"/>
    <w:basedOn w:val="20"/>
    <w:qFormat/>
    <w:uiPriority w:val="0"/>
  </w:style>
  <w:style w:type="character" w:styleId="26">
    <w:name w:val="HTML Variable"/>
    <w:basedOn w:val="20"/>
    <w:qFormat/>
    <w:uiPriority w:val="0"/>
  </w:style>
  <w:style w:type="character" w:styleId="27">
    <w:name w:val="Hyperlink"/>
    <w:qFormat/>
    <w:uiPriority w:val="0"/>
    <w:rPr>
      <w:color w:val="0000FF"/>
      <w:u w:val="single"/>
    </w:rPr>
  </w:style>
  <w:style w:type="character" w:styleId="28">
    <w:name w:val="HTML Code"/>
    <w:basedOn w:val="20"/>
    <w:qFormat/>
    <w:uiPriority w:val="0"/>
    <w:rPr>
      <w:rFonts w:hint="default" w:ascii="serif" w:hAnsi="serif" w:eastAsia="serif" w:cs="serif"/>
      <w:sz w:val="21"/>
      <w:szCs w:val="21"/>
    </w:rPr>
  </w:style>
  <w:style w:type="character" w:styleId="29">
    <w:name w:val="HTML Cite"/>
    <w:basedOn w:val="20"/>
    <w:qFormat/>
    <w:uiPriority w:val="0"/>
  </w:style>
  <w:style w:type="character" w:styleId="30">
    <w:name w:val="HTML Keyboard"/>
    <w:basedOn w:val="20"/>
    <w:qFormat/>
    <w:uiPriority w:val="0"/>
    <w:rPr>
      <w:rFonts w:ascii="serif" w:hAnsi="serif" w:eastAsia="serif" w:cs="serif"/>
      <w:sz w:val="21"/>
      <w:szCs w:val="21"/>
    </w:rPr>
  </w:style>
  <w:style w:type="character" w:styleId="31">
    <w:name w:val="HTML Sample"/>
    <w:basedOn w:val="20"/>
    <w:qFormat/>
    <w:uiPriority w:val="0"/>
    <w:rPr>
      <w:rFonts w:hint="default" w:ascii="serif" w:hAnsi="serif" w:eastAsia="serif" w:cs="serif"/>
      <w:sz w:val="21"/>
      <w:szCs w:val="21"/>
    </w:rPr>
  </w:style>
  <w:style w:type="paragraph" w:customStyle="1" w:styleId="32">
    <w:name w:val="段"/>
    <w:next w:val="1"/>
    <w:qFormat/>
    <w:uiPriority w:val="99"/>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customStyle="1" w:styleId="33">
    <w:name w:val="WPSOffice手动目录 1"/>
    <w:qFormat/>
    <w:uiPriority w:val="0"/>
    <w:pPr>
      <w:ind w:leftChars="0"/>
    </w:pPr>
    <w:rPr>
      <w:rFonts w:ascii="Times New Roman" w:hAnsi="Times New Roman" w:eastAsia="宋体" w:cs="Times New Roman"/>
      <w:sz w:val="20"/>
      <w:szCs w:val="20"/>
    </w:rPr>
  </w:style>
  <w:style w:type="paragraph" w:customStyle="1" w:styleId="34">
    <w:name w:val="D&amp;L"/>
    <w:basedOn w:val="15"/>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6">
    <w:name w:val="Char"/>
    <w:basedOn w:val="1"/>
    <w:qFormat/>
    <w:uiPriority w:val="99"/>
    <w:rPr>
      <w:rFonts w:ascii="Tahoma" w:hAnsi="Tahoma"/>
      <w:sz w:val="24"/>
    </w:rPr>
  </w:style>
  <w:style w:type="paragraph" w:customStyle="1" w:styleId="37">
    <w:name w:val="样式 标题 2 + 宋体 五号 行距: 单倍行距"/>
    <w:basedOn w:val="7"/>
    <w:qFormat/>
    <w:uiPriority w:val="99"/>
    <w:pPr>
      <w:spacing w:line="240" w:lineRule="auto"/>
    </w:pPr>
    <w:rPr>
      <w:rFonts w:ascii="宋体" w:hAnsi="宋体" w:eastAsia="宋体"/>
      <w:sz w:val="21"/>
    </w:rPr>
  </w:style>
  <w:style w:type="paragraph" w:customStyle="1" w:styleId="38">
    <w:name w:val="Char Char Char Char Char Char Char1 Char"/>
    <w:basedOn w:val="1"/>
    <w:qFormat/>
    <w:uiPriority w:val="99"/>
    <w:rPr>
      <w:rFonts w:ascii="Tahoma" w:hAnsi="Tahoma"/>
      <w:sz w:val="24"/>
    </w:rPr>
  </w:style>
  <w:style w:type="character" w:customStyle="1" w:styleId="39">
    <w:name w:val="标题 3 Char"/>
    <w:basedOn w:val="20"/>
    <w:link w:val="8"/>
    <w:qFormat/>
    <w:locked/>
    <w:uiPriority w:val="99"/>
    <w:rPr>
      <w:b/>
      <w:bCs/>
      <w:sz w:val="32"/>
      <w:szCs w:val="32"/>
    </w:rPr>
  </w:style>
  <w:style w:type="paragraph" w:customStyle="1" w:styleId="4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List Paragraph"/>
    <w:basedOn w:val="1"/>
    <w:unhideWhenUsed/>
    <w:qFormat/>
    <w:uiPriority w:val="99"/>
    <w:pPr>
      <w:ind w:firstLine="420" w:firstLineChars="200"/>
    </w:pPr>
    <w:rPr>
      <w:rFonts w:ascii="Calibri" w:hAnsi="Calibri"/>
      <w:szCs w:val="22"/>
    </w:rPr>
  </w:style>
  <w:style w:type="paragraph" w:customStyle="1" w:styleId="42">
    <w:name w:val="Table Paragraph"/>
    <w:basedOn w:val="1"/>
    <w:qFormat/>
    <w:uiPriority w:val="1"/>
  </w:style>
  <w:style w:type="paragraph" w:customStyle="1" w:styleId="43">
    <w:name w:val="_Style 1"/>
    <w:basedOn w:val="1"/>
    <w:qFormat/>
    <w:uiPriority w:val="0"/>
    <w:pPr>
      <w:ind w:firstLine="420" w:firstLineChars="200"/>
    </w:pPr>
    <w:rPr>
      <w:rFonts w:ascii="Calibri" w:hAnsi="Calibri"/>
      <w:szCs w:val="22"/>
    </w:rPr>
  </w:style>
  <w:style w:type="character" w:customStyle="1" w:styleId="44">
    <w:name w:val="fontborder"/>
    <w:basedOn w:val="20"/>
    <w:qFormat/>
    <w:uiPriority w:val="0"/>
    <w:rPr>
      <w:bdr w:val="single" w:color="000000" w:sz="6" w:space="0"/>
    </w:rPr>
  </w:style>
  <w:style w:type="character" w:customStyle="1" w:styleId="45">
    <w:name w:val="fontstrikethrough"/>
    <w:basedOn w:val="20"/>
    <w:qFormat/>
    <w:uiPriority w:val="0"/>
    <w:rPr>
      <w:strike/>
    </w:rPr>
  </w:style>
  <w:style w:type="character" w:customStyle="1" w:styleId="46">
    <w:name w:val="font11"/>
    <w:basedOn w:val="20"/>
    <w:qFormat/>
    <w:uiPriority w:val="0"/>
    <w:rPr>
      <w:rFonts w:hint="eastAsia" w:ascii="宋体" w:hAnsi="宋体" w:eastAsia="宋体" w:cs="宋体"/>
      <w:b/>
      <w:color w:val="000000"/>
      <w:sz w:val="18"/>
      <w:szCs w:val="18"/>
      <w:u w:val="none"/>
    </w:rPr>
  </w:style>
  <w:style w:type="character" w:customStyle="1" w:styleId="47">
    <w:name w:val="font61"/>
    <w:basedOn w:val="20"/>
    <w:qFormat/>
    <w:uiPriority w:val="0"/>
    <w:rPr>
      <w:rFonts w:hint="eastAsia" w:ascii="宋体" w:hAnsi="宋体" w:eastAsia="宋体" w:cs="宋体"/>
      <w:color w:val="000000"/>
      <w:sz w:val="18"/>
      <w:szCs w:val="18"/>
      <w:u w:val="none"/>
    </w:rPr>
  </w:style>
  <w:style w:type="character" w:customStyle="1" w:styleId="48">
    <w:name w:val="font01"/>
    <w:basedOn w:val="20"/>
    <w:qFormat/>
    <w:uiPriority w:val="0"/>
    <w:rPr>
      <w:rFonts w:hint="eastAsia" w:ascii="宋体" w:hAnsi="宋体" w:eastAsia="宋体" w:cs="宋体"/>
      <w:b/>
      <w:color w:val="000000"/>
      <w:sz w:val="18"/>
      <w:szCs w:val="18"/>
      <w:u w:val="none"/>
    </w:rPr>
  </w:style>
  <w:style w:type="character" w:customStyle="1" w:styleId="49">
    <w:name w:val="font51"/>
    <w:basedOn w:val="20"/>
    <w:qFormat/>
    <w:uiPriority w:val="0"/>
    <w:rPr>
      <w:rFonts w:hint="eastAsia" w:ascii="宋体" w:hAnsi="宋体" w:eastAsia="宋体" w:cs="宋体"/>
      <w:color w:val="000000"/>
      <w:sz w:val="18"/>
      <w:szCs w:val="18"/>
      <w:u w:val="none"/>
    </w:rPr>
  </w:style>
  <w:style w:type="paragraph" w:customStyle="1" w:styleId="50">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51">
    <w:name w:val="font71"/>
    <w:basedOn w:val="20"/>
    <w:qFormat/>
    <w:uiPriority w:val="0"/>
    <w:rPr>
      <w:rFonts w:hint="default" w:ascii="瀹嬩綋" w:hAnsi="瀹嬩綋" w:eastAsia="瀹嬩綋" w:cs="瀹嬩綋"/>
      <w:color w:val="888888"/>
      <w:sz w:val="21"/>
      <w:szCs w:val="21"/>
      <w:u w:val="none"/>
    </w:rPr>
  </w:style>
  <w:style w:type="character" w:customStyle="1" w:styleId="52">
    <w:name w:val="font91"/>
    <w:basedOn w:val="20"/>
    <w:qFormat/>
    <w:uiPriority w:val="0"/>
    <w:rPr>
      <w:rFonts w:hint="eastAsia" w:ascii="宋体" w:hAnsi="宋体" w:eastAsia="宋体" w:cs="宋体"/>
      <w:color w:val="000000"/>
      <w:sz w:val="20"/>
      <w:szCs w:val="20"/>
      <w:u w:val="none"/>
    </w:rPr>
  </w:style>
  <w:style w:type="character" w:customStyle="1" w:styleId="53">
    <w:name w:val="font31"/>
    <w:basedOn w:val="20"/>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有为</cp:lastModifiedBy>
  <cp:lastPrinted>2020-08-04T02:59:00Z</cp:lastPrinted>
  <dcterms:modified xsi:type="dcterms:W3CDTF">2021-03-24T08:44:44Z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