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服务</w:t>
      </w:r>
      <w:r>
        <w:rPr>
          <w:rFonts w:hint="eastAsia" w:ascii="宋体" w:hAnsi="宋体"/>
          <w:b/>
          <w:bCs/>
          <w:color w:val="auto"/>
          <w:sz w:val="52"/>
          <w:szCs w:val="52"/>
          <w:lang w:val="en-US" w:eastAsia="zh-CN"/>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8240" behindDoc="0" locked="0" layoutInCell="1" allowOverlap="1">
            <wp:simplePos x="0" y="0"/>
            <wp:positionH relativeFrom="column">
              <wp:posOffset>2051050</wp:posOffset>
            </wp:positionH>
            <wp:positionV relativeFrom="paragraph">
              <wp:posOffset>361950</wp:posOffset>
            </wp:positionV>
            <wp:extent cx="2152015" cy="1751330"/>
            <wp:effectExtent l="0" t="0" r="635" b="127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751330"/>
                    </a:xfrm>
                    <a:prstGeom prst="rect">
                      <a:avLst/>
                    </a:prstGeom>
                    <a:noFill/>
                    <a:ln>
                      <a:noFill/>
                    </a:ln>
                  </pic:spPr>
                </pic:pic>
              </a:graphicData>
            </a:graphic>
          </wp:anchor>
        </w:drawing>
      </w: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596" w:leftChars="760" w:right="0" w:rightChars="0" w:firstLine="0" w:firstLineChars="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霍山县市场监督管理局元旦春节期间食品安全专项监督抽检项目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lang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DBSCG-2021-009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霍山县市场监督管理局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一</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pStyle w:val="15"/>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2"/>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default" w:ascii="宋体" w:hAnsi="宋体" w:cs="宋体"/>
          <w:i w:val="0"/>
          <w:caps w:val="0"/>
          <w:color w:val="auto"/>
          <w:spacing w:val="0"/>
          <w:sz w:val="24"/>
          <w:szCs w:val="24"/>
          <w:shd w:val="clear" w:color="auto" w:fill="FFFFFF"/>
          <w:lang w:val="en-US"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霍山县市场监督管理局元旦春节期间食品安全专项监督抽检项目</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cs="宋体"/>
          <w:color w:val="auto"/>
          <w:kern w:val="2"/>
          <w:sz w:val="21"/>
          <w:szCs w:val="21"/>
          <w:u w:val="single"/>
          <w:lang w:val="en-US" w:eastAsia="zh-CN" w:bidi="ar-SA"/>
        </w:rPr>
        <w:t>霍山县市场监督管理局元旦春节期间食品安全专项监督抽检项目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霍山县市场监督管理局申请，并经采购人批准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霍山县市场监督管理局</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霍山县市场监督管理局元旦春节期间食品安全专项监督抽检项目</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eastAsia="宋体" w:cs="宋体"/>
          <w:color w:val="auto"/>
          <w:kern w:val="2"/>
          <w:sz w:val="21"/>
          <w:szCs w:val="21"/>
          <w:lang w:val="en-US" w:eastAsia="zh-CN" w:bidi="ar-SA"/>
        </w:rPr>
        <w:t>，</w:t>
      </w:r>
      <w:r>
        <w:rPr>
          <w:rFonts w:hint="eastAsia" w:ascii="宋体" w:hAnsi="宋体" w:cs="宋体"/>
          <w:color w:val="auto"/>
          <w:kern w:val="2"/>
          <w:sz w:val="21"/>
          <w:szCs w:val="21"/>
          <w:lang w:val="en-US" w:eastAsia="zh-CN" w:bidi="ar-SA"/>
        </w:rPr>
        <w:t>欢</w:t>
      </w:r>
      <w:r>
        <w:rPr>
          <w:rFonts w:hint="eastAsia" w:ascii="宋体" w:hAnsi="宋体" w:eastAsia="宋体" w:cs="宋体"/>
          <w:color w:val="auto"/>
          <w:kern w:val="2"/>
          <w:sz w:val="21"/>
          <w:szCs w:val="21"/>
          <w:lang w:val="en-US" w:eastAsia="zh-CN" w:bidi="ar-SA"/>
        </w:rPr>
        <w:t>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霍山县市场监督管理局元旦春节期间食品安全专项监督抽检项目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DBSCG-2021-009</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霍山县市场监督管理局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40000元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7、项目最高限价：40000元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eastAsia="zh-CN"/>
        </w:rPr>
        <w:t>服务期</w:t>
      </w:r>
      <w:r>
        <w:rPr>
          <w:rFonts w:hint="eastAsia" w:ascii="宋体" w:hAnsi="宋体"/>
          <w:color w:val="000000"/>
          <w:sz w:val="21"/>
          <w:szCs w:val="21"/>
        </w:rPr>
        <w:t>：</w:t>
      </w:r>
      <w:r>
        <w:rPr>
          <w:rFonts w:hint="eastAsia" w:ascii="宋体" w:hAnsi="宋体"/>
          <w:color w:val="000000"/>
          <w:sz w:val="21"/>
          <w:szCs w:val="21"/>
          <w:lang w:val="en-US" w:eastAsia="zh-CN"/>
        </w:rPr>
        <w:t>原则上自合同签订之日起1个月内完成，但是采购人有其他要求的从其要求。</w:t>
      </w:r>
    </w:p>
    <w:p>
      <w:pPr>
        <w:adjustRightInd w:val="0"/>
        <w:snapToGrid w:val="0"/>
        <w:spacing w:line="400" w:lineRule="exact"/>
        <w:ind w:firstLine="420" w:firstLineChars="200"/>
        <w:jc w:val="left"/>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9、项目概况：本项目共1个包，</w:t>
      </w:r>
      <w:r>
        <w:rPr>
          <w:rFonts w:hint="eastAsia" w:ascii="宋体" w:hAnsi="宋体" w:eastAsia="宋体" w:cs="Times New Roman"/>
          <w:color w:val="000000"/>
          <w:kern w:val="0"/>
          <w:sz w:val="21"/>
          <w:szCs w:val="21"/>
          <w:lang w:val="en-US" w:eastAsia="zh-CN" w:bidi="ar"/>
        </w:rPr>
        <w:t>食品安全专项监督抽检 （100批次，每批次检测费用含购样费最高限价400元）</w:t>
      </w:r>
      <w:r>
        <w:rPr>
          <w:rFonts w:hint="eastAsia" w:ascii="宋体" w:hAnsi="宋体"/>
          <w:color w:val="000000"/>
          <w:sz w:val="21"/>
          <w:szCs w:val="21"/>
          <w:lang w:val="en-US" w:eastAsia="zh-CN"/>
        </w:rPr>
        <w:t>(详见采购需求清单)。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4、供应商存在以下不良信用记录情形之一的，不得推荐为成交候选供应商，不得确定为成交供应商（仅以下述渠道查询结果为准，其他网站无效）：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2021年1月12日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2021年1月18日</w:t>
      </w:r>
      <w:r>
        <w:rPr>
          <w:rFonts w:hint="eastAsia" w:ascii="宋体" w:hAnsi="宋体" w:cs="宋体"/>
          <w:i w:val="0"/>
          <w:caps w:val="0"/>
          <w:color w:val="auto"/>
          <w:spacing w:val="0"/>
          <w:sz w:val="21"/>
          <w:szCs w:val="21"/>
          <w:shd w:val="clear" w:color="auto" w:fill="FFFFFF"/>
          <w:lang w:val="en-US" w:eastAsia="zh-CN"/>
        </w:rPr>
        <w:t>10时00分。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2021年1月18日</w:t>
      </w:r>
      <w:r>
        <w:rPr>
          <w:rFonts w:hint="eastAsia" w:ascii="宋体" w:hAnsi="宋体" w:cs="宋体"/>
          <w:i w:val="0"/>
          <w:caps w:val="0"/>
          <w:color w:val="auto"/>
          <w:spacing w:val="0"/>
          <w:sz w:val="21"/>
          <w:szCs w:val="21"/>
          <w:u w:val="single"/>
          <w:shd w:val="clear" w:color="auto" w:fill="FFFFFF"/>
          <w:lang w:val="en-US" w:eastAsia="zh-CN"/>
        </w:rPr>
        <w:t>10</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霍山县市场监督管理局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缪主任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18919737515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w:t>
      </w:r>
      <w:r>
        <w:rPr>
          <w:rFonts w:hint="eastAsia" w:ascii="宋体" w:hAnsi="宋体" w:cs="宋体"/>
          <w:i w:val="0"/>
          <w:caps w:val="0"/>
          <w:color w:val="auto"/>
          <w:spacing w:val="0"/>
          <w:sz w:val="21"/>
          <w:szCs w:val="21"/>
          <w:shd w:val="clear" w:color="auto" w:fill="FFFFFF"/>
          <w:lang w:val="zh-CN" w:eastAsia="zh-CN"/>
        </w:rPr>
        <w:t>元整</w:t>
      </w:r>
      <w:r>
        <w:rPr>
          <w:rFonts w:hint="eastAsia" w:ascii="宋体" w:hAnsi="宋体" w:cs="宋体"/>
          <w:i w:val="0"/>
          <w:caps w:val="0"/>
          <w:color w:val="auto"/>
          <w:spacing w:val="0"/>
          <w:sz w:val="21"/>
          <w:szCs w:val="21"/>
          <w:shd w:val="clear" w:color="auto" w:fill="FFFFFF"/>
          <w:lang w:val="en-US" w:eastAsia="zh-CN"/>
        </w:rPr>
        <w:t>(</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2000.00)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霍山县市场监督管理局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2021年1月12日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霍山县市场监督管理局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缪主任</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18919737515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霍山县市场监督管理局元旦春节期间食品安全专项监督抽检项目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肆万</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default" w:ascii="Arial" w:hAnsi="Arial" w:eastAsia="宋体" w:cs="Arial"/>
                <w:b/>
                <w:bCs/>
                <w:color w:val="auto"/>
                <w:sz w:val="21"/>
                <w:szCs w:val="21"/>
                <w:highlight w:val="none"/>
              </w:rPr>
              <w:t>¥</w:t>
            </w:r>
            <w:r>
              <w:rPr>
                <w:rFonts w:hint="eastAsia" w:cs="宋体"/>
                <w:b/>
                <w:bCs/>
                <w:color w:val="auto"/>
                <w:sz w:val="21"/>
                <w:szCs w:val="21"/>
                <w:highlight w:val="none"/>
                <w:lang w:val="en-US" w:eastAsia="zh-CN"/>
              </w:rPr>
              <w:t>40000.00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b/>
                <w:bCs/>
                <w:sz w:val="24"/>
                <w:szCs w:val="24"/>
                <w:lang w:eastAsia="zh-CN"/>
              </w:rPr>
              <w:t>合同完成验收合格后根据实际完成工作量一次性支付款项。（承检机构提交的相应文件中如有关于付款条件的表述与磋商文件规定不符，将被视为实质性不响应，将导致响应无效）。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服务期</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原则上自合同签订之日起1个月内完成。但是采购人有其他要求的从其要求。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en-US" w:eastAsia="zh-CN"/>
              </w:rPr>
              <w:t>/</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2021年1月18日</w:t>
            </w:r>
            <w:r>
              <w:rPr>
                <w:rFonts w:hint="eastAsia" w:ascii="宋体" w:hAnsi="宋体" w:cs="宋体"/>
                <w:b/>
                <w:color w:val="auto"/>
                <w:sz w:val="21"/>
                <w:szCs w:val="21"/>
                <w:highlight w:val="none"/>
                <w:u w:val="single"/>
                <w:lang w:val="en-US" w:eastAsia="zh-CN"/>
              </w:rPr>
              <w:t>10时00分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hint="eastAsia" w:ascii="宋体" w:hAnsi="宋体" w:cs="宋体"/>
                <w:color w:val="auto"/>
                <w:highlight w:val="none"/>
                <w:lang w:val="en-US" w:eastAsia="zh-CN"/>
              </w:rPr>
              <w:t>1</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1天</w:t>
            </w:r>
            <w:r>
              <w:rPr>
                <w:rFonts w:hint="eastAsia" w:ascii="宋体" w:hAnsi="宋体" w:eastAsia="宋体" w:cs="宋体"/>
                <w:color w:val="auto"/>
                <w:sz w:val="21"/>
                <w:szCs w:val="21"/>
                <w:highlight w:val="none"/>
                <w:lang w:val="en-US" w:eastAsia="zh-CN"/>
              </w:rPr>
              <w:t>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r>
              <w:rPr>
                <w:rFonts w:hint="eastAsia" w:ascii="宋体" w:hAnsi="宋体" w:cs="宋体"/>
                <w:b/>
                <w:bCs/>
                <w:color w:val="FF0000"/>
                <w:highlight w:val="none"/>
                <w:lang w:val="en-US" w:eastAsia="zh-CN"/>
              </w:rPr>
              <w:t>本项目代理费按2000元收取。</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216158625"/>
      <w:bookmarkStart w:id="15" w:name="_Toc438648662"/>
      <w:bookmarkStart w:id="16" w:name="_Toc12806"/>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服务</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霍山县市场监督管理局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rPr>
        <w:t>根据《政府采购法》的相关规定均应是本国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eastAsia="zh-CN"/>
        </w:rPr>
        <w:t>服务</w:t>
      </w:r>
      <w:r>
        <w:rPr>
          <w:rFonts w:hint="eastAsia" w:ascii="宋体" w:hAnsi="宋体"/>
          <w:color w:val="auto"/>
          <w:sz w:val="21"/>
          <w:szCs w:val="21"/>
        </w:rPr>
        <w:t>必须是合法生产的符合国家有关要求的</w:t>
      </w:r>
      <w:r>
        <w:rPr>
          <w:rFonts w:hint="eastAsia" w:ascii="宋体" w:hAnsi="宋体"/>
          <w:color w:val="auto"/>
          <w:sz w:val="21"/>
          <w:szCs w:val="21"/>
          <w:lang w:eastAsia="zh-CN"/>
        </w:rPr>
        <w:t>服务</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eastAsia="zh-CN"/>
        </w:rPr>
        <w:t>服务</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霍山县市场监督管理局</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霍山县市场监督管理局</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16484_WPSOffice_Level1"/>
      <w:bookmarkStart w:id="36" w:name="_Toc363199273"/>
      <w:r>
        <w:rPr>
          <w:rFonts w:hint="eastAsia"/>
          <w:color w:val="auto"/>
          <w:sz w:val="28"/>
          <w:szCs w:val="28"/>
        </w:rPr>
        <w:t>采购合同（甲乙双方可自行拟定）</w:t>
      </w:r>
    </w:p>
    <w:p>
      <w:pPr>
        <w:pStyle w:val="15"/>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1"/>
        </w:numPr>
        <w:jc w:val="center"/>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服务</w:t>
      </w:r>
      <w:r>
        <w:rPr>
          <w:rFonts w:hint="eastAsia" w:ascii="宋体" w:hAnsi="宋体" w:eastAsia="宋体" w:cs="宋体"/>
          <w:b/>
          <w:bCs w:val="0"/>
          <w:sz w:val="36"/>
          <w:szCs w:val="36"/>
          <w:lang w:eastAsia="zh-CN"/>
        </w:rPr>
        <w:t>需求</w:t>
      </w:r>
    </w:p>
    <w:p>
      <w:pPr>
        <w:adjustRightInd w:val="0"/>
        <w:snapToGrid w:val="0"/>
        <w:spacing w:line="400" w:lineRule="exact"/>
        <w:ind w:firstLine="482" w:firstLineChars="200"/>
        <w:jc w:val="center"/>
        <w:rPr>
          <w:rFonts w:hint="eastAsia" w:ascii="宋体" w:hAnsi="宋体"/>
          <w:b/>
          <w:bCs w:val="0"/>
          <w:color w:val="000000"/>
          <w:sz w:val="24"/>
          <w:szCs w:val="24"/>
          <w:u w:val="none"/>
        </w:rPr>
      </w:pPr>
      <w:bookmarkStart w:id="90" w:name="_GoBack"/>
      <w:bookmarkEnd w:id="90"/>
      <w:r>
        <w:rPr>
          <w:rFonts w:hint="eastAsia" w:ascii="宋体" w:hAnsi="宋体" w:cs="Times New Roman"/>
          <w:b/>
          <w:bCs w:val="0"/>
          <w:color w:val="000000"/>
          <w:sz w:val="24"/>
          <w:szCs w:val="24"/>
          <w:u w:val="none"/>
        </w:rPr>
        <w:t>霍山县元旦春节期间食品安全专项监督抽检计划</w:t>
      </w:r>
    </w:p>
    <w:p>
      <w:pPr>
        <w:adjustRightInd w:val="0"/>
        <w:snapToGrid w:val="0"/>
        <w:spacing w:line="400" w:lineRule="exact"/>
        <w:ind w:firstLine="480" w:firstLineChars="200"/>
        <w:rPr>
          <w:rFonts w:hint="eastAsia" w:ascii="宋体" w:hAnsi="宋体"/>
          <w:bCs/>
          <w:color w:val="000000"/>
          <w:sz w:val="24"/>
          <w:szCs w:val="24"/>
          <w:u w:val="none"/>
        </w:rPr>
      </w:pPr>
      <w:r>
        <w:rPr>
          <w:rFonts w:hint="eastAsia" w:ascii="宋体" w:hAnsi="宋体"/>
          <w:bCs/>
          <w:color w:val="000000"/>
          <w:sz w:val="24"/>
          <w:szCs w:val="24"/>
          <w:u w:val="none"/>
        </w:rPr>
        <w:t>1、食品安全专项抽检：抽检地点覆盖县内乡镇、行政村的</w:t>
      </w:r>
      <w:r>
        <w:rPr>
          <w:rFonts w:hint="eastAsia" w:ascii="宋体" w:hAnsi="宋体"/>
          <w:color w:val="000000"/>
          <w:sz w:val="24"/>
          <w:szCs w:val="24"/>
          <w:u w:val="none"/>
        </w:rPr>
        <w:t>农贸市场、商场超市等流通领域的</w:t>
      </w:r>
      <w:r>
        <w:rPr>
          <w:rFonts w:hint="eastAsia" w:ascii="宋体" w:hAnsi="宋体"/>
          <w:bCs/>
          <w:color w:val="000000"/>
          <w:sz w:val="24"/>
          <w:szCs w:val="24"/>
          <w:u w:val="none"/>
        </w:rPr>
        <w:t>食品经营者。承检机构须于2021年2月2日前将抽检工作总结和分析报告报霍山县市场监督管理局。</w:t>
      </w:r>
      <w:r>
        <w:rPr>
          <w:rFonts w:hint="eastAsia" w:ascii="宋体" w:hAnsi="宋体"/>
          <w:color w:val="000000"/>
          <w:sz w:val="24"/>
          <w:szCs w:val="24"/>
          <w:u w:val="none"/>
        </w:rPr>
        <w:t>具体抽检品种、项目（见附表）。</w:t>
      </w:r>
    </w:p>
    <w:p>
      <w:pPr>
        <w:adjustRightInd w:val="0"/>
        <w:snapToGrid w:val="0"/>
        <w:spacing w:line="400" w:lineRule="exact"/>
        <w:ind w:firstLine="480" w:firstLineChars="200"/>
        <w:rPr>
          <w:rFonts w:hint="eastAsia" w:ascii="宋体" w:hAnsi="宋体"/>
          <w:color w:val="000000"/>
          <w:sz w:val="24"/>
          <w:szCs w:val="24"/>
          <w:u w:val="none"/>
        </w:rPr>
      </w:pPr>
      <w:r>
        <w:rPr>
          <w:rFonts w:hint="eastAsia" w:ascii="宋体" w:hAnsi="宋体"/>
          <w:color w:val="000000"/>
          <w:sz w:val="24"/>
          <w:szCs w:val="24"/>
          <w:u w:val="none"/>
        </w:rPr>
        <w:t>2、食用农产品按服务质量要求完成检测任务后将数据录入至“食品安全抽检监测信息系统”食用农产品直报模块。并以书面形式及时向采购人报送检测结果。</w:t>
      </w:r>
      <w:r>
        <w:rPr>
          <w:rFonts w:hint="eastAsia" w:ascii="宋体" w:hAnsi="宋体"/>
          <w:bCs/>
          <w:color w:val="000000"/>
          <w:sz w:val="24"/>
          <w:szCs w:val="24"/>
          <w:u w:val="none"/>
        </w:rPr>
        <w:t>承检机构应</w:t>
      </w:r>
      <w:r>
        <w:rPr>
          <w:rFonts w:hint="eastAsia" w:ascii="宋体" w:hAnsi="宋体"/>
          <w:color w:val="000000"/>
          <w:sz w:val="24"/>
          <w:szCs w:val="24"/>
          <w:u w:val="none"/>
        </w:rPr>
        <w:t>合理科学的安排抽样，不得集中抽检：其中西片（佛子岭所、诸佛庵所、漫水河所、上土市所、大化坪所）20批次、东片（开发区所、下符桥所、与儿街所、东西溪所、磨子潭所）20批次、衡山监管所60批次（特殊要求除外）。要根据被抽样单位规模，原则上1次抽检样品不超过5批次。同一场所不超过10批次。同一生产经营单位、同一批次，不得重复抽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80" w:firstLineChars="200"/>
        <w:textAlignment w:val="auto"/>
        <w:outlineLvl w:val="9"/>
        <w:rPr>
          <w:rFonts w:hint="eastAsia" w:ascii="宋体" w:hAnsi="宋体" w:eastAsia="宋体" w:cs="Times New Roman"/>
          <w:b w:val="0"/>
          <w:bCs w:val="0"/>
          <w:color w:val="000000"/>
          <w:kern w:val="2"/>
          <w:sz w:val="24"/>
          <w:szCs w:val="24"/>
          <w:u w:val="none"/>
          <w:lang w:val="en-US" w:eastAsia="zh-CN" w:bidi="ar-SA"/>
        </w:rPr>
      </w:pPr>
      <w:r>
        <w:rPr>
          <w:rFonts w:hint="eastAsia" w:ascii="宋体" w:hAnsi="宋体" w:eastAsia="宋体" w:cs="Times New Roman"/>
          <w:b w:val="0"/>
          <w:bCs w:val="0"/>
          <w:color w:val="000000"/>
          <w:kern w:val="2"/>
          <w:sz w:val="24"/>
          <w:szCs w:val="24"/>
          <w:u w:val="none"/>
          <w:lang w:val="en-US" w:eastAsia="zh-CN" w:bidi="ar-SA"/>
        </w:rPr>
        <w:t>3、承检机构须有良好的实验室管理体系，严格抽检工作程序和规范，保证数据和结论客观公正、准确可靠。严禁将检验任务分包给其他检验机构或修改检测项目。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4、本项目承检机构应当具备并持续保持与承担的抽样检验任务相适应的检验检测资质和能力.</w:t>
      </w:r>
    </w:p>
    <w:p>
      <w:pPr>
        <w:spacing w:line="480" w:lineRule="exact"/>
        <w:jc w:val="center"/>
        <w:rPr>
          <w:rFonts w:ascii="方正小标宋简体" w:hAnsi="方正小标宋简体" w:eastAsia="方正小标宋简体" w:cs="方正小标宋简体"/>
          <w:sz w:val="44"/>
          <w:szCs w:val="44"/>
        </w:rPr>
      </w:pPr>
    </w:p>
    <w:tbl>
      <w:tblPr>
        <w:tblStyle w:val="17"/>
        <w:tblW w:w="9600" w:type="dxa"/>
        <w:jc w:val="center"/>
        <w:tblLayout w:type="fixed"/>
        <w:tblCellMar>
          <w:top w:w="0" w:type="dxa"/>
          <w:left w:w="0" w:type="dxa"/>
          <w:bottom w:w="0" w:type="dxa"/>
          <w:right w:w="0" w:type="dxa"/>
        </w:tblCellMar>
      </w:tblPr>
      <w:tblGrid>
        <w:gridCol w:w="735"/>
        <w:gridCol w:w="1500"/>
        <w:gridCol w:w="1380"/>
        <w:gridCol w:w="1155"/>
        <w:gridCol w:w="1245"/>
        <w:gridCol w:w="900"/>
        <w:gridCol w:w="1605"/>
        <w:gridCol w:w="1080"/>
      </w:tblGrid>
      <w:tr>
        <w:tblPrEx>
          <w:tblCellMar>
            <w:top w:w="0" w:type="dxa"/>
            <w:left w:w="0" w:type="dxa"/>
            <w:bottom w:w="0" w:type="dxa"/>
            <w:right w:w="0" w:type="dxa"/>
          </w:tblCellMar>
        </w:tblPrEx>
        <w:trPr>
          <w:trHeight w:val="340" w:hRule="atLeast"/>
          <w:tblHeader/>
          <w:jc w:val="center"/>
        </w:trPr>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b/>
                <w:color w:val="000000"/>
                <w:kern w:val="0"/>
                <w:sz w:val="20"/>
                <w:szCs w:val="20"/>
              </w:rPr>
            </w:pPr>
            <w:r>
              <w:rPr>
                <w:rFonts w:hint="eastAsia" w:ascii="宋体" w:hAnsi="宋体" w:cs="宋体"/>
                <w:b/>
                <w:color w:val="000000"/>
                <w:kern w:val="0"/>
                <w:sz w:val="20"/>
                <w:szCs w:val="20"/>
              </w:rPr>
              <w:t>食品大类</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（一级）</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食品亚类</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（二级）</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食品品种</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（三级）</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食品细类</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四级）</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任务量</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（批）</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抽检项目</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b/>
                <w:color w:val="000000"/>
                <w:kern w:val="0"/>
                <w:sz w:val="20"/>
                <w:szCs w:val="20"/>
              </w:rPr>
            </w:pPr>
            <w:r>
              <w:rPr>
                <w:rFonts w:hint="eastAsia" w:ascii="宋体" w:hAnsi="宋体" w:cs="宋体"/>
                <w:b/>
                <w:color w:val="000000"/>
                <w:kern w:val="0"/>
                <w:sz w:val="20"/>
                <w:szCs w:val="20"/>
              </w:rPr>
              <w:t>抽样和</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检验机构</w:t>
            </w:r>
          </w:p>
        </w:tc>
      </w:tr>
      <w:tr>
        <w:tblPrEx>
          <w:tblCellMar>
            <w:top w:w="0" w:type="dxa"/>
            <w:left w:w="0" w:type="dxa"/>
            <w:bottom w:w="0" w:type="dxa"/>
            <w:right w:w="0" w:type="dxa"/>
          </w:tblCellMar>
        </w:tblPrEx>
        <w:trPr>
          <w:trHeight w:val="340" w:hRule="atLeast"/>
          <w:jc w:val="center"/>
        </w:trPr>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肉制品</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预制肉制品</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腌腊肉制品</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腌腊肉制品</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6</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铅（以</w:t>
            </w:r>
            <w:r>
              <w:rPr>
                <w:rFonts w:ascii="宋体" w:hAnsi="宋体" w:cs="宋体"/>
                <w:color w:val="000000"/>
                <w:kern w:val="0"/>
                <w:sz w:val="20"/>
                <w:szCs w:val="20"/>
              </w:rPr>
              <w:t>Pb</w:t>
            </w:r>
            <w:r>
              <w:rPr>
                <w:rFonts w:hint="eastAsia" w:ascii="宋体" w:hAnsi="宋体" w:cs="宋体"/>
                <w:color w:val="000000"/>
                <w:kern w:val="0"/>
                <w:sz w:val="20"/>
                <w:szCs w:val="20"/>
              </w:rPr>
              <w:t>计）、过氧化值（以脂肪计）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5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粮食加工品</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大米</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大米</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大米</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镉（以</w:t>
            </w:r>
            <w:r>
              <w:rPr>
                <w:rFonts w:ascii="宋体" w:hAnsi="宋体" w:cs="宋体"/>
                <w:color w:val="000000"/>
                <w:kern w:val="0"/>
                <w:sz w:val="20"/>
                <w:szCs w:val="20"/>
              </w:rPr>
              <w:t>Cd</w:t>
            </w:r>
            <w:r>
              <w:rPr>
                <w:rFonts w:hint="eastAsia" w:ascii="宋体" w:hAnsi="宋体" w:cs="宋体"/>
                <w:color w:val="000000"/>
                <w:kern w:val="0"/>
                <w:sz w:val="20"/>
                <w:szCs w:val="20"/>
              </w:rPr>
              <w:t>计）、黄曲霉毒素</w:t>
            </w:r>
            <w:r>
              <w:rPr>
                <w:rFonts w:ascii="宋体" w:hAnsi="宋体" w:cs="宋体"/>
                <w:color w:val="000000"/>
                <w:kern w:val="0"/>
                <w:sz w:val="20"/>
                <w:szCs w:val="20"/>
              </w:rPr>
              <w:t>B1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挂面</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挂面</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普通挂面</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铅（以</w:t>
            </w:r>
            <w:r>
              <w:rPr>
                <w:rFonts w:ascii="宋体" w:hAnsi="宋体" w:cs="宋体"/>
                <w:color w:val="000000"/>
                <w:kern w:val="0"/>
                <w:sz w:val="20"/>
                <w:szCs w:val="20"/>
              </w:rPr>
              <w:t>Pb</w:t>
            </w:r>
            <w:r>
              <w:rPr>
                <w:rFonts w:hint="eastAsia" w:ascii="宋体" w:hAnsi="宋体" w:cs="宋体"/>
                <w:color w:val="000000"/>
                <w:kern w:val="0"/>
                <w:sz w:val="20"/>
                <w:szCs w:val="20"/>
              </w:rPr>
              <w:t>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3</w:t>
            </w:r>
          </w:p>
        </w:tc>
        <w:tc>
          <w:tcPr>
            <w:tcW w:w="15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食用油</w:t>
            </w:r>
          </w:p>
        </w:tc>
        <w:tc>
          <w:tcPr>
            <w:tcW w:w="13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食用植物油</w:t>
            </w:r>
            <w:r>
              <w:rPr>
                <w:rFonts w:ascii="宋体" w:hAnsi="宋体" w:cs="宋体"/>
                <w:color w:val="000000"/>
                <w:kern w:val="0"/>
                <w:sz w:val="20"/>
                <w:szCs w:val="20"/>
              </w:rPr>
              <w:t>(</w:t>
            </w:r>
            <w:r>
              <w:rPr>
                <w:rFonts w:hint="eastAsia" w:ascii="宋体" w:hAnsi="宋体" w:cs="宋体"/>
                <w:color w:val="000000"/>
                <w:kern w:val="0"/>
                <w:sz w:val="20"/>
                <w:szCs w:val="20"/>
              </w:rPr>
              <w:t>含煎炸用油</w:t>
            </w:r>
            <w:r>
              <w:rPr>
                <w:rFonts w:ascii="宋体" w:hAnsi="宋体" w:cs="宋体"/>
                <w:color w:val="000000"/>
                <w:kern w:val="0"/>
                <w:sz w:val="20"/>
                <w:szCs w:val="20"/>
              </w:rPr>
              <w:t>)</w:t>
            </w:r>
          </w:p>
        </w:tc>
        <w:tc>
          <w:tcPr>
            <w:tcW w:w="11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食用植物油</w:t>
            </w:r>
            <w:r>
              <w:rPr>
                <w:rFonts w:ascii="宋体" w:hAnsi="宋体" w:cs="宋体"/>
                <w:color w:val="000000"/>
                <w:kern w:val="0"/>
                <w:sz w:val="20"/>
                <w:szCs w:val="20"/>
              </w:rPr>
              <w:t>(</w:t>
            </w:r>
            <w:r>
              <w:rPr>
                <w:rFonts w:hint="eastAsia" w:ascii="宋体" w:hAnsi="宋体" w:cs="宋体"/>
                <w:color w:val="000000"/>
                <w:kern w:val="0"/>
                <w:sz w:val="20"/>
                <w:szCs w:val="20"/>
              </w:rPr>
              <w:t>半精炼、全精炼</w:t>
            </w:r>
            <w:r>
              <w:rPr>
                <w:rFonts w:ascii="宋体" w:hAnsi="宋体" w:cs="宋体"/>
                <w:color w:val="000000"/>
                <w:kern w:val="0"/>
                <w:sz w:val="20"/>
                <w:szCs w:val="20"/>
              </w:rPr>
              <w:t>)</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大豆油</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3</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酸值</w:t>
            </w:r>
            <w:r>
              <w:rPr>
                <w:rFonts w:ascii="宋体" w:hAnsi="宋体" w:cs="宋体"/>
                <w:color w:val="000000"/>
                <w:kern w:val="0"/>
                <w:sz w:val="20"/>
                <w:szCs w:val="20"/>
              </w:rPr>
              <w:t>/</w:t>
            </w:r>
            <w:r>
              <w:rPr>
                <w:rFonts w:hint="eastAsia" w:ascii="宋体" w:hAnsi="宋体" w:cs="宋体"/>
                <w:color w:val="000000"/>
                <w:kern w:val="0"/>
                <w:sz w:val="20"/>
                <w:szCs w:val="20"/>
              </w:rPr>
              <w:t>酸价、过氧化值</w:t>
            </w:r>
            <w:r>
              <w:rPr>
                <w:rFonts w:ascii="宋体" w:hAnsi="宋体" w:cs="宋体"/>
                <w:color w:val="000000"/>
                <w:kern w:val="0"/>
                <w:sz w:val="20"/>
                <w:szCs w:val="20"/>
              </w:rPr>
              <w:t xml:space="preserve"> </w:t>
            </w:r>
            <w:r>
              <w:rPr>
                <w:rFonts w:hint="eastAsia" w:ascii="宋体" w:hAnsi="宋体" w:cs="宋体"/>
                <w:color w:val="000000"/>
                <w:kern w:val="0"/>
                <w:sz w:val="20"/>
                <w:szCs w:val="20"/>
              </w:rPr>
              <w:t>、苯并</w:t>
            </w:r>
            <w:r>
              <w:rPr>
                <w:rFonts w:ascii="宋体" w:hAnsi="宋体" w:cs="宋体"/>
                <w:color w:val="000000"/>
                <w:kern w:val="0"/>
                <w:sz w:val="20"/>
                <w:szCs w:val="20"/>
              </w:rPr>
              <w:t>[a]</w:t>
            </w:r>
            <w:r>
              <w:rPr>
                <w:rFonts w:hint="eastAsia" w:ascii="宋体" w:hAnsi="宋体" w:cs="宋体"/>
                <w:color w:val="000000"/>
                <w:kern w:val="0"/>
                <w:sz w:val="20"/>
                <w:szCs w:val="20"/>
              </w:rPr>
              <w:t>芘</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菜籽油</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酸值</w:t>
            </w:r>
            <w:r>
              <w:rPr>
                <w:rFonts w:ascii="宋体" w:hAnsi="宋体" w:cs="宋体"/>
                <w:color w:val="000000"/>
                <w:kern w:val="0"/>
                <w:sz w:val="20"/>
                <w:szCs w:val="20"/>
              </w:rPr>
              <w:t>/</w:t>
            </w:r>
            <w:r>
              <w:rPr>
                <w:rFonts w:hint="eastAsia" w:ascii="宋体" w:hAnsi="宋体" w:cs="宋体"/>
                <w:color w:val="000000"/>
                <w:kern w:val="0"/>
                <w:sz w:val="20"/>
                <w:szCs w:val="20"/>
              </w:rPr>
              <w:t>酸价、过氧化值</w:t>
            </w:r>
            <w:r>
              <w:rPr>
                <w:rFonts w:ascii="宋体" w:hAnsi="宋体" w:cs="宋体"/>
                <w:color w:val="000000"/>
                <w:kern w:val="0"/>
                <w:sz w:val="20"/>
                <w:szCs w:val="20"/>
              </w:rPr>
              <w:t xml:space="preserve"> </w:t>
            </w:r>
            <w:r>
              <w:rPr>
                <w:rFonts w:hint="eastAsia" w:ascii="宋体" w:hAnsi="宋体" w:cs="宋体"/>
                <w:color w:val="000000"/>
                <w:kern w:val="0"/>
                <w:sz w:val="20"/>
                <w:szCs w:val="20"/>
              </w:rPr>
              <w:t>、苯并</w:t>
            </w:r>
            <w:r>
              <w:rPr>
                <w:rFonts w:ascii="宋体" w:hAnsi="宋体" w:cs="宋体"/>
                <w:color w:val="000000"/>
                <w:kern w:val="0"/>
                <w:sz w:val="20"/>
                <w:szCs w:val="20"/>
              </w:rPr>
              <w:t>[a]</w:t>
            </w:r>
            <w:r>
              <w:rPr>
                <w:rFonts w:hint="eastAsia" w:ascii="宋体" w:hAnsi="宋体" w:cs="宋体"/>
                <w:color w:val="000000"/>
                <w:kern w:val="0"/>
                <w:sz w:val="20"/>
                <w:szCs w:val="20"/>
              </w:rPr>
              <w:t>芘</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食用植物调和油</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1</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酸值</w:t>
            </w:r>
            <w:r>
              <w:rPr>
                <w:rFonts w:ascii="宋体" w:hAnsi="宋体" w:cs="宋体"/>
                <w:color w:val="000000"/>
                <w:kern w:val="0"/>
                <w:sz w:val="20"/>
                <w:szCs w:val="20"/>
              </w:rPr>
              <w:t>/</w:t>
            </w:r>
            <w:r>
              <w:rPr>
                <w:rFonts w:hint="eastAsia" w:ascii="宋体" w:hAnsi="宋体" w:cs="宋体"/>
                <w:color w:val="000000"/>
                <w:kern w:val="0"/>
                <w:sz w:val="20"/>
                <w:szCs w:val="20"/>
              </w:rPr>
              <w:t>酸价、过氧化值</w:t>
            </w:r>
            <w:r>
              <w:rPr>
                <w:rFonts w:ascii="宋体" w:hAnsi="宋体" w:cs="宋体"/>
                <w:color w:val="000000"/>
                <w:kern w:val="0"/>
                <w:sz w:val="20"/>
                <w:szCs w:val="20"/>
              </w:rPr>
              <w:t xml:space="preserve"> </w:t>
            </w:r>
            <w:r>
              <w:rPr>
                <w:rFonts w:hint="eastAsia" w:ascii="宋体" w:hAnsi="宋体" w:cs="宋体"/>
                <w:color w:val="000000"/>
                <w:kern w:val="0"/>
                <w:sz w:val="20"/>
                <w:szCs w:val="20"/>
              </w:rPr>
              <w:t>、苯并</w:t>
            </w:r>
            <w:r>
              <w:rPr>
                <w:rFonts w:ascii="宋体" w:hAnsi="宋体" w:cs="宋体"/>
                <w:color w:val="000000"/>
                <w:kern w:val="0"/>
                <w:sz w:val="20"/>
                <w:szCs w:val="20"/>
              </w:rPr>
              <w:t>[a]</w:t>
            </w:r>
            <w:r>
              <w:rPr>
                <w:rFonts w:hint="eastAsia" w:ascii="宋体" w:hAnsi="宋体" w:cs="宋体"/>
                <w:color w:val="000000"/>
                <w:kern w:val="0"/>
                <w:sz w:val="20"/>
                <w:szCs w:val="20"/>
              </w:rPr>
              <w:t>芘</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4</w:t>
            </w:r>
          </w:p>
        </w:tc>
        <w:tc>
          <w:tcPr>
            <w:tcW w:w="15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调味品</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调味料酒</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调味料酒</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料酒</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山梨酸及其钾盐（以山梨酸计）、苯甲酸及其钠盐（以苯甲酸计）、糖精钠（以糖精计）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酱油</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酱油</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酱油</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苯甲酸及其钠盐（以苯甲酸计）、山梨酸及其钾盐（以山梨酸计）糖精钠（以糖精计）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食醋</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食醋</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食醋</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苯甲酸及其钠盐（以苯甲酸计）、山梨酸及其钾盐（以山梨酸计）、糖精钠（以糖精计）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5</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乳制品</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乳制品</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液体乳</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灭菌乳</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4</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蛋白质、三聚氰胺</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6</w:t>
            </w:r>
          </w:p>
        </w:tc>
        <w:tc>
          <w:tcPr>
            <w:tcW w:w="15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饮料</w:t>
            </w:r>
          </w:p>
        </w:tc>
        <w:tc>
          <w:tcPr>
            <w:tcW w:w="13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饮料</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果、蔬汁饮料</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果、蔬汁饮料</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4</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山梨酸及其钾盐（以山梨酸计）、苯甲酸及其钠盐（以苯甲酸计）、菌落总数、大肠菌群</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蛋白饮料</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蛋白饮料</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3</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糖精钠（以糖精计）、菌落总数、大肠菌群</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rPr>
                <w:rFonts w:ascii="宋体" w:cs="宋体"/>
                <w:color w:val="000000"/>
                <w:sz w:val="20"/>
                <w:szCs w:val="20"/>
              </w:rPr>
            </w:pP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textAlignment w:val="center"/>
              <w:rPr>
                <w:rFonts w:ascii="宋体" w:cs="宋体"/>
                <w:color w:val="000000"/>
                <w:sz w:val="20"/>
                <w:szCs w:val="20"/>
              </w:rPr>
            </w:pPr>
            <w:r>
              <w:rPr>
                <w:rFonts w:hint="eastAsia" w:ascii="宋体" w:hAnsi="宋体" w:cs="宋体"/>
                <w:color w:val="000000"/>
                <w:kern w:val="0"/>
                <w:sz w:val="20"/>
                <w:szCs w:val="20"/>
              </w:rPr>
              <w:t>碳酸饮料（汽水）</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textAlignment w:val="center"/>
              <w:rPr>
                <w:rFonts w:ascii="宋体" w:cs="宋体"/>
                <w:color w:val="000000"/>
                <w:sz w:val="20"/>
                <w:szCs w:val="20"/>
              </w:rPr>
            </w:pPr>
            <w:r>
              <w:rPr>
                <w:rFonts w:hint="eastAsia" w:ascii="宋体" w:hAnsi="宋体" w:cs="宋体"/>
                <w:color w:val="000000"/>
                <w:kern w:val="0"/>
                <w:sz w:val="20"/>
                <w:szCs w:val="20"/>
              </w:rPr>
              <w:t>碳酸饮料（汽水）</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textAlignment w:val="center"/>
              <w:rPr>
                <w:rFonts w:ascii="宋体" w:cs="宋体"/>
                <w:color w:val="000000"/>
                <w:sz w:val="20"/>
                <w:szCs w:val="20"/>
              </w:rPr>
            </w:pPr>
            <w:r>
              <w:rPr>
                <w:rFonts w:ascii="宋体" w:hAnsi="宋体" w:cs="宋体"/>
                <w:color w:val="000000"/>
                <w:kern w:val="0"/>
                <w:sz w:val="20"/>
                <w:szCs w:val="20"/>
              </w:rPr>
              <w:t>1</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textAlignment w:val="center"/>
              <w:rPr>
                <w:rFonts w:ascii="宋体" w:cs="宋体"/>
                <w:color w:val="000000"/>
                <w:sz w:val="20"/>
                <w:szCs w:val="20"/>
              </w:rPr>
            </w:pPr>
            <w:r>
              <w:rPr>
                <w:rFonts w:hint="eastAsia" w:ascii="宋体" w:hAnsi="宋体" w:cs="宋体"/>
                <w:color w:val="000000"/>
                <w:kern w:val="0"/>
                <w:sz w:val="20"/>
                <w:szCs w:val="20"/>
              </w:rPr>
              <w:t>苯甲酸及其钠盐（以苯甲酸计）、山梨酸及其钾盐（以山梨酸计）、菌落总数、大肠菌群</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6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7</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糖果制品</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糖果制品（含巧克力及制品）</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糖果</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糖果</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5</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菌落总数、大肠菌群、糖精钠（以糖精计）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8</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酒类</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蒸馏酒</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白酒</w:t>
            </w:r>
          </w:p>
        </w:tc>
        <w:tc>
          <w:tcPr>
            <w:tcW w:w="12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白酒</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酒精度、甲醇、糖精钠（以糖精计）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发酵酒</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葡萄酒</w:t>
            </w:r>
          </w:p>
        </w:tc>
        <w:tc>
          <w:tcPr>
            <w:tcW w:w="12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葡萄酒</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3</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二氧化硫残留量、苯甲酸及其钠盐（以苯甲酸计）、山梨酸及其钾盐（以山梨酸计）、糖精钠（以糖精计）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9</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糕点</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糕点</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糕点</w:t>
            </w:r>
          </w:p>
        </w:tc>
        <w:tc>
          <w:tcPr>
            <w:tcW w:w="12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糕点</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8</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苯甲酸及其钠盐（以苯甲酸计）、山梨酸及其钾盐（以山梨酸计）、糖精钠（以糖精计）、过氧化值、菌落总数、大肠菌群、霉菌</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10</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炒货食品及坚果制品</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炒货食品及坚果制品</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炒货食品及坚果制品（</w:t>
            </w:r>
            <w:r>
              <w:rPr>
                <w:rFonts w:ascii="宋体" w:hAnsi="宋体" w:cs="宋体"/>
                <w:color w:val="000000"/>
                <w:kern w:val="0"/>
                <w:sz w:val="20"/>
                <w:szCs w:val="20"/>
              </w:rPr>
              <w:t xml:space="preserve"> </w:t>
            </w:r>
            <w:r>
              <w:rPr>
                <w:rFonts w:hint="eastAsia" w:ascii="宋体" w:hAnsi="宋体" w:cs="宋体"/>
                <w:color w:val="000000"/>
                <w:kern w:val="0"/>
                <w:sz w:val="20"/>
                <w:szCs w:val="20"/>
              </w:rPr>
              <w:t>烘炒类、油炸类、其他类）</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开心果、松仁（松子、松籽）、杏仁（杏核）、葵花子（葵花籽）等</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8</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铅（以</w:t>
            </w:r>
            <w:r>
              <w:rPr>
                <w:rFonts w:ascii="宋体" w:hAnsi="宋体" w:cs="宋体"/>
                <w:color w:val="000000"/>
                <w:kern w:val="0"/>
                <w:sz w:val="20"/>
                <w:szCs w:val="20"/>
              </w:rPr>
              <w:t xml:space="preserve"> Pb </w:t>
            </w:r>
            <w:r>
              <w:rPr>
                <w:rFonts w:hint="eastAsia" w:ascii="宋体" w:hAnsi="宋体" w:cs="宋体"/>
                <w:color w:val="000000"/>
                <w:kern w:val="0"/>
                <w:sz w:val="20"/>
                <w:szCs w:val="20"/>
              </w:rPr>
              <w:t>计）、过氧化值（以脂肪计）、糖精钠（以糖精计）</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11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速冻食品</w:t>
            </w:r>
          </w:p>
        </w:tc>
        <w:tc>
          <w:tcPr>
            <w:tcW w:w="1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速冻面米食品</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速冻面米食品</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水饺、元宵等生制品</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5</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铅、糖精钠</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12</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食用农产品</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畜禽肉及副产品</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畜肉</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猪肉</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恩诺沙星、氧氟沙星、诺氟沙星</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牛肉</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恩诺沙星、氧氟沙星、诺氟沙星</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鲜蛋</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鲜蛋</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鸡蛋</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5</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氧氟沙星、恩诺沙星、诺氟沙星</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蔬菜</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叶菜类蔬菜</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普通白菜（小白菜、青菜）</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5</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毒死蜱、氯氰菊酯和高效氯氰菊酯、甲拌磷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vMerge w:val="continue"/>
            <w:tcBorders>
              <w:top w:val="single" w:color="000000" w:sz="4" w:space="0"/>
              <w:left w:val="single" w:color="000000" w:sz="4" w:space="0"/>
              <w:bottom w:val="single" w:color="auto" w:sz="4" w:space="0"/>
              <w:right w:val="single" w:color="000000" w:sz="4" w:space="0"/>
            </w:tcBorders>
            <w:shd w:val="clear" w:color="auto" w:fill="FFFFFF"/>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芹菜</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4</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甲拌磷、毒死蜱、敌敌畏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tcBorders>
              <w:top w:val="single" w:color="auto"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spacing w:line="240" w:lineRule="exact"/>
              <w:jc w:val="center"/>
              <w:textAlignment w:val="center"/>
              <w:rPr>
                <w:rFonts w:ascii="宋体" w:cs="宋体"/>
                <w:color w:val="000000"/>
                <w:sz w:val="18"/>
                <w:szCs w:val="18"/>
              </w:rPr>
            </w:pPr>
            <w:r>
              <w:rPr>
                <w:rFonts w:hint="eastAsia" w:ascii="宋体" w:cs="宋体"/>
                <w:color w:val="000000"/>
                <w:sz w:val="18"/>
                <w:szCs w:val="18"/>
              </w:rPr>
              <w:t>茄果类蔬菜</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kern w:val="0"/>
                <w:sz w:val="20"/>
                <w:szCs w:val="20"/>
              </w:rPr>
            </w:pPr>
            <w:r>
              <w:rPr>
                <w:rFonts w:hint="eastAsia" w:ascii="宋体" w:hAnsi="宋体" w:cs="宋体"/>
                <w:color w:val="000000"/>
                <w:kern w:val="0"/>
                <w:sz w:val="20"/>
                <w:szCs w:val="20"/>
              </w:rPr>
              <w:t>干辣椒</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cs="宋体"/>
                <w:color w:val="000000"/>
                <w:sz w:val="20"/>
                <w:szCs w:val="20"/>
              </w:rPr>
              <w:t>5</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kern w:val="0"/>
                <w:sz w:val="20"/>
                <w:szCs w:val="20"/>
              </w:rPr>
            </w:pPr>
            <w:r>
              <w:rPr>
                <w:rFonts w:hint="eastAsia" w:ascii="宋体" w:hAnsi="宋体" w:cs="宋体"/>
                <w:color w:val="000000"/>
                <w:kern w:val="0"/>
                <w:sz w:val="20"/>
                <w:szCs w:val="20"/>
              </w:rPr>
              <w:t>二氧化硫、苯甲酸及其钠盐、山梨酸及其钾盐</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kern w:val="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tcBorders>
              <w:top w:val="single" w:color="auto"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spacing w:line="240" w:lineRule="exact"/>
              <w:jc w:val="center"/>
              <w:textAlignment w:val="center"/>
              <w:rPr>
                <w:rFonts w:ascii="宋体" w:cs="宋体"/>
                <w:color w:val="000000"/>
                <w:sz w:val="18"/>
                <w:szCs w:val="18"/>
              </w:rPr>
            </w:pPr>
            <w:r>
              <w:rPr>
                <w:rFonts w:hint="eastAsia" w:ascii="宋体" w:cs="宋体"/>
                <w:color w:val="000000"/>
                <w:sz w:val="18"/>
                <w:szCs w:val="18"/>
              </w:rPr>
              <w:t>根茎类和薯芋类蔬菜</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姜</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cs="宋体"/>
                <w:color w:val="00000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铅（以</w:t>
            </w:r>
            <w:r>
              <w:rPr>
                <w:rFonts w:ascii="宋体" w:hAnsi="宋体" w:cs="宋体"/>
                <w:color w:val="000000"/>
                <w:kern w:val="0"/>
                <w:sz w:val="20"/>
                <w:szCs w:val="20"/>
              </w:rPr>
              <w:t xml:space="preserve"> Pb </w:t>
            </w:r>
            <w:r>
              <w:rPr>
                <w:rFonts w:hint="eastAsia" w:ascii="宋体" w:hAnsi="宋体" w:cs="宋体"/>
                <w:color w:val="000000"/>
                <w:kern w:val="0"/>
                <w:sz w:val="20"/>
                <w:szCs w:val="20"/>
              </w:rPr>
              <w:t>计）、</w:t>
            </w:r>
            <w:r>
              <w:rPr>
                <w:rFonts w:hint="eastAsia" w:ascii="宋体" w:hAnsi="宋体" w:cs="宋体"/>
                <w:color w:val="000000"/>
                <w:kern w:val="0"/>
                <w:sz w:val="20"/>
                <w:szCs w:val="22"/>
              </w:rPr>
              <w:t>镉（以</w:t>
            </w:r>
            <w:r>
              <w:rPr>
                <w:rFonts w:ascii="宋体" w:hAnsi="宋体" w:cs="宋体"/>
                <w:color w:val="000000"/>
                <w:kern w:val="0"/>
                <w:sz w:val="20"/>
                <w:szCs w:val="22"/>
              </w:rPr>
              <w:t>Cd</w:t>
            </w:r>
            <w:r>
              <w:rPr>
                <w:rFonts w:hint="eastAsia" w:ascii="宋体" w:hAnsi="宋体" w:cs="宋体"/>
                <w:color w:val="000000"/>
                <w:kern w:val="0"/>
                <w:sz w:val="20"/>
                <w:szCs w:val="22"/>
              </w:rPr>
              <w:t>计）、噻虫嗪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水果类</w:t>
            </w:r>
          </w:p>
        </w:tc>
        <w:tc>
          <w:tcPr>
            <w:tcW w:w="1155"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仁果类水果</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梨子</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毒死蜱、敌敌畏、甲拌磷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柑橘类水果</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桔、橘</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丙溴磷、氯氟氰菊酯和高效氯氟氰菊酯、甲拌磷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水产品</w:t>
            </w:r>
          </w:p>
        </w:tc>
        <w:tc>
          <w:tcPr>
            <w:tcW w:w="11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淡水产品</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淡水鱼</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4</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氧氟沙星、恩诺沙星、诺氟沙星</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r>
        <w:tblPrEx>
          <w:tblCellMar>
            <w:top w:w="0" w:type="dxa"/>
            <w:left w:w="0" w:type="dxa"/>
            <w:bottom w:w="0" w:type="dxa"/>
            <w:right w:w="0" w:type="dxa"/>
          </w:tblCellMar>
        </w:tblPrEx>
        <w:trPr>
          <w:trHeight w:val="340" w:hRule="atLeast"/>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1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ascii="宋体" w:cs="宋体"/>
                <w:color w:val="000000"/>
                <w:sz w:val="20"/>
                <w:szCs w:val="20"/>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淡水虾</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ascii="宋体" w:hAnsi="宋体" w:cs="宋体"/>
                <w:color w:val="000000"/>
                <w:kern w:val="0"/>
                <w:sz w:val="20"/>
                <w:szCs w:val="20"/>
              </w:rPr>
              <w:t>2</w:t>
            </w:r>
          </w:p>
        </w:tc>
        <w:tc>
          <w:tcPr>
            <w:tcW w:w="16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氧氟沙星、恩诺沙星、诺氟沙星</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第三方机构</w:t>
            </w:r>
          </w:p>
        </w:tc>
      </w:tr>
    </w:tbl>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cs="宋体"/>
          <w:b/>
          <w:color w:val="000000"/>
        </w:rPr>
      </w:pPr>
      <w:r>
        <w:rPr>
          <w:rFonts w:hint="eastAsia"/>
          <w:color w:val="auto"/>
          <w:sz w:val="21"/>
          <w:szCs w:val="21"/>
        </w:rPr>
        <w:t>备注</w:t>
      </w:r>
      <w:r>
        <w:rPr>
          <w:rFonts w:hint="eastAsia" w:ascii="宋体" w:hAnsi="宋体" w:cs="宋体"/>
          <w:b/>
          <w:color w:val="000000"/>
        </w:rPr>
        <w:t>：</w:t>
      </w:r>
      <w:r>
        <w:rPr>
          <w:rFonts w:hint="eastAsia" w:cs="宋体"/>
          <w:b/>
          <w:color w:val="000000"/>
          <w:lang w:val="en-US" w:eastAsia="zh-CN"/>
        </w:rPr>
        <w:t>1、</w:t>
      </w:r>
      <w:r>
        <w:rPr>
          <w:rFonts w:hint="eastAsia" w:cs="宋体"/>
          <w:b/>
          <w:color w:val="000000"/>
          <w:lang w:eastAsia="zh-CN"/>
        </w:rPr>
        <w:t>服务</w:t>
      </w:r>
      <w:r>
        <w:rPr>
          <w:rFonts w:hint="eastAsia" w:ascii="宋体" w:hAnsi="宋体" w:cs="宋体"/>
          <w:b/>
          <w:color w:val="000000"/>
        </w:rPr>
        <w:t>需求如有参考品牌，仅作为说明，没有限制性，投标人在投标中可以选用替代标准，但这些替代标准要优于或相当于采购单位要求的标准并提供证明材料，以满足采购人的需要。</w:t>
      </w: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宋体"/>
          <w:b/>
          <w:color w:val="auto"/>
          <w:kern w:val="0"/>
          <w:sz w:val="32"/>
          <w:szCs w:val="32"/>
          <w:lang w:val="en-US" w:eastAsia="zh-CN" w:bidi="ar-SA"/>
        </w:rPr>
      </w:pPr>
      <w:r>
        <w:rPr>
          <w:rFonts w:hint="eastAsia"/>
          <w:color w:val="auto"/>
          <w:sz w:val="21"/>
          <w:szCs w:val="21"/>
          <w:lang w:val="en-US" w:eastAsia="zh-CN"/>
        </w:rPr>
        <w:t>2</w:t>
      </w:r>
      <w:r>
        <w:rPr>
          <w:rFonts w:hint="eastAsia"/>
          <w:color w:val="auto"/>
          <w:sz w:val="21"/>
          <w:szCs w:val="21"/>
        </w:rPr>
        <w:t>、本项目报价采用“总价报价”，响应报价应含有所投</w:t>
      </w:r>
      <w:r>
        <w:rPr>
          <w:rFonts w:hint="eastAsia"/>
          <w:color w:val="auto"/>
          <w:sz w:val="21"/>
          <w:szCs w:val="21"/>
          <w:lang w:eastAsia="zh-CN"/>
        </w:rPr>
        <w:t>服务</w:t>
      </w:r>
      <w:r>
        <w:rPr>
          <w:rFonts w:hint="eastAsia"/>
          <w:color w:val="auto"/>
          <w:sz w:val="21"/>
          <w:szCs w:val="21"/>
        </w:rPr>
        <w:t>的税费（如关税、进口</w:t>
      </w:r>
      <w:r>
        <w:rPr>
          <w:rFonts w:hint="eastAsia"/>
          <w:color w:val="auto"/>
          <w:sz w:val="21"/>
          <w:szCs w:val="21"/>
          <w:lang w:eastAsia="zh-CN"/>
        </w:rPr>
        <w:t>服务</w:t>
      </w:r>
      <w:r>
        <w:rPr>
          <w:rFonts w:hint="eastAsia"/>
          <w:color w:val="auto"/>
          <w:sz w:val="21"/>
          <w:szCs w:val="21"/>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
        <w:keepNext/>
        <w:keepLines/>
        <w:widowControl w:val="0"/>
        <w:numPr>
          <w:ilvl w:val="0"/>
          <w:numId w:val="0"/>
        </w:numPr>
        <w:adjustRightInd w:val="0"/>
        <w:spacing w:before="260" w:after="260" w:line="416" w:lineRule="atLeast"/>
        <w:jc w:val="left"/>
        <w:textAlignment w:val="baseline"/>
        <w:outlineLvl w:val="1"/>
        <w:rPr>
          <w:rFonts w:hint="eastAsia"/>
          <w:lang w:val="en-US" w:eastAsia="zh-CN"/>
        </w:rPr>
      </w:pPr>
    </w:p>
    <w:p>
      <w:pPr>
        <w:rPr>
          <w:rFonts w:hint="eastAsia"/>
          <w:lang w:val="en-US" w:eastAsia="zh-CN"/>
        </w:rPr>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pPr>
    </w:p>
    <w:p>
      <w:pPr>
        <w:pStyle w:val="2"/>
        <w:jc w:val="center"/>
        <w:rPr>
          <w:rFonts w:hint="eastAsia"/>
        </w:rPr>
      </w:pPr>
      <w:bookmarkStart w:id="37" w:name="_Toc11297"/>
      <w:bookmarkStart w:id="38" w:name="_Toc4288_WPSOffice_Level1"/>
      <w:r>
        <w:rPr>
          <w:rFonts w:hint="eastAsia" w:ascii="宋体" w:hAnsi="宋体" w:eastAsia="宋体" w:cs="宋体"/>
          <w:b/>
          <w:color w:val="auto"/>
          <w:kern w:val="0"/>
          <w:sz w:val="32"/>
          <w:szCs w:val="32"/>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6"/>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eastAsia="zh-CN"/>
              </w:rPr>
              <w:t>服务</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5"/>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4" w:name="_Toc31656"/>
      <w:bookmarkStart w:id="55" w:name="_Toc471299104"/>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516969098"/>
      <w:bookmarkStart w:id="60" w:name="_Toc148501698"/>
      <w:bookmarkStart w:id="61" w:name="_Toc3858_WPSOffice_Level1"/>
      <w:r>
        <w:rPr>
          <w:rFonts w:hint="eastAsia"/>
          <w:b/>
          <w:bCs/>
          <w:color w:val="auto"/>
          <w:sz w:val="28"/>
          <w:szCs w:val="28"/>
        </w:rPr>
        <w:t>响应函</w:t>
      </w:r>
      <w:bookmarkEnd w:id="59"/>
      <w:bookmarkEnd w:id="60"/>
      <w:bookmarkEnd w:id="61"/>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eastAsia="zh-CN"/>
        </w:rPr>
        <w:t>服务</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62" w:name="_Toc30711"/>
      <w:bookmarkStart w:id="63" w:name="_Toc471299106"/>
      <w:bookmarkStart w:id="64" w:name="_Toc417045478"/>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服务内容</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付款响应</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服务响应</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eastAsia="zh-CN"/>
        </w:rPr>
        <w:t>服务</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471299110"/>
      <w:bookmarkStart w:id="72" w:name="_Toc27567"/>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服务</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5" w:name="_Toc32017"/>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服务、安装、售后服务承诺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jc w:val="both"/>
        <w:rPr>
          <w:rFonts w:hint="eastAsia" w:ascii="宋体" w:hAnsi="宋体" w:cs="宋体"/>
          <w:b/>
          <w:bCs/>
          <w:color w:val="auto"/>
          <w:sz w:val="32"/>
          <w:szCs w:val="32"/>
        </w:rPr>
      </w:pPr>
      <w:bookmarkStart w:id="79" w:name="_Toc3085"/>
      <w:bookmarkStart w:id="80"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w:t>
      </w:r>
      <w:r>
        <w:rPr>
          <w:rFonts w:hint="eastAsia" w:ascii="宋体" w:hAnsi="宋体" w:cs="宋体"/>
          <w:color w:val="auto"/>
          <w:sz w:val="24"/>
          <w:lang w:eastAsia="zh-CN"/>
        </w:rPr>
        <w:t>服务</w:t>
      </w:r>
      <w:r>
        <w:rPr>
          <w:rFonts w:hint="eastAsia" w:ascii="宋体" w:hAnsi="宋体" w:cs="宋体"/>
          <w:color w:val="auto"/>
          <w:sz w:val="24"/>
        </w:rPr>
        <w:t>、承担的工程或者服务，或者提供其他中小企业制造的</w:t>
      </w:r>
      <w:r>
        <w:rPr>
          <w:rFonts w:hint="eastAsia" w:ascii="宋体" w:hAnsi="宋体" w:cs="宋体"/>
          <w:color w:val="auto"/>
          <w:sz w:val="24"/>
          <w:lang w:eastAsia="zh-CN"/>
        </w:rPr>
        <w:t>服务</w:t>
      </w:r>
      <w:r>
        <w:rPr>
          <w:rFonts w:hint="eastAsia" w:ascii="宋体" w:hAnsi="宋体" w:cs="宋体"/>
          <w:color w:val="auto"/>
          <w:sz w:val="24"/>
        </w:rPr>
        <w:t>。本项所称</w:t>
      </w:r>
      <w:r>
        <w:rPr>
          <w:rFonts w:hint="eastAsia" w:ascii="宋体" w:hAnsi="宋体" w:cs="宋体"/>
          <w:color w:val="auto"/>
          <w:sz w:val="24"/>
          <w:lang w:eastAsia="zh-CN"/>
        </w:rPr>
        <w:t>服务</w:t>
      </w:r>
      <w:r>
        <w:rPr>
          <w:rFonts w:hint="eastAsia" w:ascii="宋体" w:hAnsi="宋体" w:cs="宋体"/>
          <w:color w:val="auto"/>
          <w:sz w:val="24"/>
        </w:rPr>
        <w:t>不包括使用大型企业注册商标的</w:t>
      </w:r>
      <w:r>
        <w:rPr>
          <w:rFonts w:hint="eastAsia" w:ascii="宋体" w:hAnsi="宋体" w:cs="宋体"/>
          <w:color w:val="auto"/>
          <w:sz w:val="24"/>
          <w:lang w:eastAsia="zh-CN"/>
        </w:rPr>
        <w:t>服务</w:t>
      </w:r>
      <w:r>
        <w:rPr>
          <w:rFonts w:hint="eastAsia" w:ascii="宋体" w:hAnsi="宋体" w:cs="宋体"/>
          <w:color w:val="auto"/>
          <w:sz w:val="24"/>
        </w:rPr>
        <w:t>。</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0947_WPSOffice_Level1"/>
      <w:r>
        <w:rPr>
          <w:rFonts w:hint="eastAsia" w:ascii="宋体" w:hAnsi="宋体" w:cs="宋体"/>
          <w:b/>
          <w:bCs/>
          <w:color w:val="auto"/>
          <w:sz w:val="24"/>
        </w:rPr>
        <w:t>注：</w:t>
      </w:r>
      <w:bookmarkEnd w:id="8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jc w:val="right"/>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27363_WPSOffice_Level1"/>
      <w:r>
        <w:rPr>
          <w:rFonts w:hint="eastAsia" w:ascii="宋体" w:hAnsi="宋体" w:cs="宋体"/>
          <w:b/>
          <w:bCs/>
          <w:color w:val="auto"/>
          <w:sz w:val="24"/>
        </w:rPr>
        <w:t>注：</w:t>
      </w:r>
      <w:bookmarkEnd w:id="8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（由本单位承担工程/提供服务），或者提供其他残疾人福利性单位制造的</w:t>
      </w:r>
      <w:r>
        <w:rPr>
          <w:rFonts w:hint="eastAsia" w:ascii="宋体" w:hAnsi="宋体" w:cs="宋体"/>
          <w:color w:val="auto"/>
          <w:kern w:val="0"/>
          <w:sz w:val="24"/>
          <w:lang w:eastAsia="zh-CN"/>
        </w:rPr>
        <w:t>服务</w:t>
      </w:r>
      <w:r>
        <w:rPr>
          <w:rFonts w:hint="eastAsia" w:ascii="宋体" w:hAnsi="宋体" w:cs="宋体"/>
          <w:color w:val="auto"/>
          <w:kern w:val="0"/>
          <w:sz w:val="24"/>
        </w:rPr>
        <w:t>（不包括使用非残疾人福利性单位注册商标的</w:t>
      </w:r>
      <w:r>
        <w:rPr>
          <w:rFonts w:hint="eastAsia" w:ascii="宋体" w:hAnsi="宋体" w:cs="宋体"/>
          <w:color w:val="auto"/>
          <w:kern w:val="0"/>
          <w:sz w:val="24"/>
          <w:lang w:eastAsia="zh-CN"/>
        </w:rPr>
        <w:t>服务</w:t>
      </w:r>
      <w:r>
        <w:rPr>
          <w:rFonts w:hint="eastAsia" w:ascii="宋体" w:hAnsi="宋体" w:cs="宋体"/>
          <w:color w:val="auto"/>
          <w:kern w:val="0"/>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13534_WPSOffice_Level1"/>
      <w:r>
        <w:rPr>
          <w:rFonts w:hint="eastAsia" w:ascii="宋体" w:hAnsi="宋体" w:cs="宋体"/>
          <w:b/>
          <w:bCs/>
          <w:color w:val="auto"/>
          <w:sz w:val="24"/>
        </w:rPr>
        <w:t>注：</w:t>
      </w:r>
      <w:bookmarkEnd w:id="8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5"/>
        <w:rPr>
          <w:rFonts w:hint="eastAsia" w:ascii="宋体" w:hAnsi="宋体" w:cs="宋体"/>
          <w:b/>
          <w:bCs/>
          <w:color w:val="auto"/>
          <w:sz w:val="24"/>
          <w:szCs w:val="24"/>
        </w:rPr>
      </w:pPr>
      <w:bookmarkStart w:id="84"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4"/>
    </w:p>
    <w:p>
      <w:pPr>
        <w:spacing w:line="400" w:lineRule="exact"/>
        <w:jc w:val="center"/>
        <w:rPr>
          <w:rFonts w:hint="eastAsia" w:ascii="宋体" w:hAnsi="宋体" w:cs="宋体"/>
          <w:b/>
          <w:color w:val="auto"/>
          <w:sz w:val="28"/>
          <w:szCs w:val="28"/>
          <w:shd w:val="clear" w:color="auto" w:fill="FFFFFF"/>
        </w:rPr>
      </w:pPr>
      <w:bookmarkStart w:id="85"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5"/>
    </w:p>
    <w:p>
      <w:pPr>
        <w:adjustRightInd w:val="0"/>
        <w:snapToGrid w:val="0"/>
        <w:spacing w:line="360" w:lineRule="exact"/>
        <w:ind w:right="15" w:rightChars="7"/>
        <w:rPr>
          <w:rFonts w:hint="eastAsia" w:ascii="宋体" w:hAnsi="宋体" w:cs="宋体"/>
          <w:bCs/>
          <w:color w:val="auto"/>
          <w:shd w:val="clear" w:color="auto" w:fill="FFFFFF"/>
        </w:rPr>
      </w:pPr>
      <w:bookmarkStart w:id="86" w:name="_Toc3059_WPSOffice_Level1"/>
      <w:r>
        <w:rPr>
          <w:rFonts w:hint="eastAsia" w:ascii="宋体" w:hAnsi="宋体" w:cs="宋体"/>
          <w:bCs/>
          <w:color w:val="auto"/>
          <w:shd w:val="clear" w:color="auto" w:fill="FFFFFF"/>
        </w:rPr>
        <w:t>一、项目相关情况</w:t>
      </w:r>
      <w:bookmarkEnd w:id="86"/>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霍山县技工学校</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7" w:name="_Toc21327_WPSOffice_Level1"/>
      <w:r>
        <w:rPr>
          <w:rFonts w:hint="eastAsia" w:ascii="宋体" w:hAnsi="宋体" w:cs="宋体"/>
          <w:bCs/>
          <w:color w:val="auto"/>
          <w:shd w:val="clear" w:color="auto" w:fill="FFFFFF"/>
        </w:rPr>
        <w:t>二、质疑提起的条件及不予受理的情形</w:t>
      </w:r>
      <w:bookmarkEnd w:id="87"/>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8" w:name="_Toc17685_WPSOffice_Level1"/>
      <w:r>
        <w:rPr>
          <w:rFonts w:hint="eastAsia" w:ascii="宋体" w:hAnsi="宋体" w:cs="宋体"/>
          <w:bCs/>
          <w:color w:val="auto"/>
          <w:shd w:val="clear" w:color="auto" w:fill="FFFFFF"/>
        </w:rPr>
        <w:t>三、其他</w:t>
      </w:r>
      <w:bookmarkEnd w:id="88"/>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9"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r>
        <w:rPr>
          <w:rFonts w:hint="eastAsia" w:ascii="宋体" w:hAnsi="宋体"/>
          <w:b/>
          <w:color w:val="auto"/>
          <w:sz w:val="24"/>
          <w:szCs w:val="28"/>
          <w:lang w:val="en-US" w:eastAsia="zh-CN"/>
        </w:rPr>
        <w:t>附件十</w:t>
      </w:r>
      <w:bookmarkEnd w:id="89"/>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B28983"/>
    <w:multiLevelType w:val="singleLevel"/>
    <w:tmpl w:val="D8B28983"/>
    <w:lvl w:ilvl="0" w:tentative="0">
      <w:start w:val="4"/>
      <w:numFmt w:val="chineseCounting"/>
      <w:suff w:val="nothing"/>
      <w:lvlText w:val="%1、"/>
      <w:lvlJc w:val="left"/>
      <w:rPr>
        <w:rFonts w:hint="eastAsia"/>
      </w:rPr>
    </w:lvl>
  </w:abstractNum>
  <w:abstractNum w:abstractNumId="1">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14B2EB2"/>
    <w:rsid w:val="021B0238"/>
    <w:rsid w:val="02AA1EE6"/>
    <w:rsid w:val="03150F8F"/>
    <w:rsid w:val="04407AAC"/>
    <w:rsid w:val="049E2DCE"/>
    <w:rsid w:val="05035E23"/>
    <w:rsid w:val="059C0CBD"/>
    <w:rsid w:val="0644344B"/>
    <w:rsid w:val="065734CB"/>
    <w:rsid w:val="066160FD"/>
    <w:rsid w:val="06BE48F4"/>
    <w:rsid w:val="07500CD8"/>
    <w:rsid w:val="07640C17"/>
    <w:rsid w:val="088902E8"/>
    <w:rsid w:val="095B3C4E"/>
    <w:rsid w:val="09F429FB"/>
    <w:rsid w:val="0A967446"/>
    <w:rsid w:val="0AD92462"/>
    <w:rsid w:val="0ADA7309"/>
    <w:rsid w:val="0C1C1BA2"/>
    <w:rsid w:val="0C5D10F3"/>
    <w:rsid w:val="0C8B3F0F"/>
    <w:rsid w:val="0CE51BA4"/>
    <w:rsid w:val="0D4A538B"/>
    <w:rsid w:val="0E7B6D74"/>
    <w:rsid w:val="0EB23F58"/>
    <w:rsid w:val="0EC811A0"/>
    <w:rsid w:val="0F2B7E44"/>
    <w:rsid w:val="11013491"/>
    <w:rsid w:val="12186AEC"/>
    <w:rsid w:val="12256160"/>
    <w:rsid w:val="13592465"/>
    <w:rsid w:val="14051CA6"/>
    <w:rsid w:val="1414601F"/>
    <w:rsid w:val="147737A7"/>
    <w:rsid w:val="14827BCA"/>
    <w:rsid w:val="15055C7F"/>
    <w:rsid w:val="15081ED3"/>
    <w:rsid w:val="159267B6"/>
    <w:rsid w:val="161D1882"/>
    <w:rsid w:val="16471DF4"/>
    <w:rsid w:val="166C672E"/>
    <w:rsid w:val="16C41FE1"/>
    <w:rsid w:val="16E90795"/>
    <w:rsid w:val="174F1F7C"/>
    <w:rsid w:val="183B2786"/>
    <w:rsid w:val="18B06CB8"/>
    <w:rsid w:val="18FB5F6E"/>
    <w:rsid w:val="191D49AE"/>
    <w:rsid w:val="19E22D40"/>
    <w:rsid w:val="1A15278D"/>
    <w:rsid w:val="1A1D00D5"/>
    <w:rsid w:val="1A331B52"/>
    <w:rsid w:val="1A423C53"/>
    <w:rsid w:val="1B8850A8"/>
    <w:rsid w:val="1BD82076"/>
    <w:rsid w:val="1C230B2D"/>
    <w:rsid w:val="1C7C7A5C"/>
    <w:rsid w:val="1C7E28A8"/>
    <w:rsid w:val="1C996F6B"/>
    <w:rsid w:val="1D16290A"/>
    <w:rsid w:val="1D217AE8"/>
    <w:rsid w:val="1DC0444F"/>
    <w:rsid w:val="215167E4"/>
    <w:rsid w:val="21EA62EB"/>
    <w:rsid w:val="221377C9"/>
    <w:rsid w:val="221A7232"/>
    <w:rsid w:val="221B322D"/>
    <w:rsid w:val="22316A8B"/>
    <w:rsid w:val="22BE48E0"/>
    <w:rsid w:val="23146CA5"/>
    <w:rsid w:val="234A74A5"/>
    <w:rsid w:val="236C589C"/>
    <w:rsid w:val="239E41EA"/>
    <w:rsid w:val="249C4D10"/>
    <w:rsid w:val="252F4627"/>
    <w:rsid w:val="25656A25"/>
    <w:rsid w:val="25991012"/>
    <w:rsid w:val="25DF344B"/>
    <w:rsid w:val="260D2BCC"/>
    <w:rsid w:val="2756117E"/>
    <w:rsid w:val="282C5FBE"/>
    <w:rsid w:val="283956A8"/>
    <w:rsid w:val="28B95567"/>
    <w:rsid w:val="29D81534"/>
    <w:rsid w:val="2A987BB9"/>
    <w:rsid w:val="2AAD5454"/>
    <w:rsid w:val="2ABD1FEA"/>
    <w:rsid w:val="2AE476F0"/>
    <w:rsid w:val="2B1C14C3"/>
    <w:rsid w:val="2BA25F45"/>
    <w:rsid w:val="2BB052E5"/>
    <w:rsid w:val="2C19051B"/>
    <w:rsid w:val="2D254D25"/>
    <w:rsid w:val="2DD57ECD"/>
    <w:rsid w:val="2E485C02"/>
    <w:rsid w:val="2E812FF3"/>
    <w:rsid w:val="2ED51A6E"/>
    <w:rsid w:val="2F1C57A5"/>
    <w:rsid w:val="2FA7707A"/>
    <w:rsid w:val="30091271"/>
    <w:rsid w:val="30E913A6"/>
    <w:rsid w:val="31AB79A4"/>
    <w:rsid w:val="31F9233C"/>
    <w:rsid w:val="32661595"/>
    <w:rsid w:val="340E6C58"/>
    <w:rsid w:val="34D536C4"/>
    <w:rsid w:val="35680E1A"/>
    <w:rsid w:val="35F61F92"/>
    <w:rsid w:val="36667B27"/>
    <w:rsid w:val="37BA0AA2"/>
    <w:rsid w:val="38312E6C"/>
    <w:rsid w:val="38323C03"/>
    <w:rsid w:val="38B45EFC"/>
    <w:rsid w:val="38D036A4"/>
    <w:rsid w:val="39792C93"/>
    <w:rsid w:val="398D0AC5"/>
    <w:rsid w:val="39B24690"/>
    <w:rsid w:val="3AE97D6B"/>
    <w:rsid w:val="3B8E3C6C"/>
    <w:rsid w:val="3C1C5FDB"/>
    <w:rsid w:val="3C2B0B89"/>
    <w:rsid w:val="3C422011"/>
    <w:rsid w:val="3C967255"/>
    <w:rsid w:val="3D457CC8"/>
    <w:rsid w:val="3D5C50E1"/>
    <w:rsid w:val="3DA8210D"/>
    <w:rsid w:val="3E046DF3"/>
    <w:rsid w:val="3E9D780F"/>
    <w:rsid w:val="3FE111C3"/>
    <w:rsid w:val="40B4502A"/>
    <w:rsid w:val="40FE59B1"/>
    <w:rsid w:val="41666DD5"/>
    <w:rsid w:val="41DD49C0"/>
    <w:rsid w:val="42B2150D"/>
    <w:rsid w:val="431D644D"/>
    <w:rsid w:val="44595EFE"/>
    <w:rsid w:val="44A83992"/>
    <w:rsid w:val="45FC1F89"/>
    <w:rsid w:val="46447AD0"/>
    <w:rsid w:val="4667667C"/>
    <w:rsid w:val="46FE1966"/>
    <w:rsid w:val="47783F53"/>
    <w:rsid w:val="47A049ED"/>
    <w:rsid w:val="47AD1197"/>
    <w:rsid w:val="47ED349E"/>
    <w:rsid w:val="48D30C8F"/>
    <w:rsid w:val="48F93679"/>
    <w:rsid w:val="49151A34"/>
    <w:rsid w:val="493E0515"/>
    <w:rsid w:val="49665DCB"/>
    <w:rsid w:val="49974E74"/>
    <w:rsid w:val="4A405D23"/>
    <w:rsid w:val="4A4D2829"/>
    <w:rsid w:val="4A7A4BEE"/>
    <w:rsid w:val="4D18297E"/>
    <w:rsid w:val="4D757618"/>
    <w:rsid w:val="4DD8672F"/>
    <w:rsid w:val="4DEC6549"/>
    <w:rsid w:val="4E126F73"/>
    <w:rsid w:val="4F1C43FC"/>
    <w:rsid w:val="4F490783"/>
    <w:rsid w:val="4F833E54"/>
    <w:rsid w:val="4F9010E9"/>
    <w:rsid w:val="50345C2D"/>
    <w:rsid w:val="50980E52"/>
    <w:rsid w:val="51373F3D"/>
    <w:rsid w:val="53A51F4E"/>
    <w:rsid w:val="54A309A3"/>
    <w:rsid w:val="54B56A54"/>
    <w:rsid w:val="552175DB"/>
    <w:rsid w:val="558001AF"/>
    <w:rsid w:val="558F5E0C"/>
    <w:rsid w:val="559C563E"/>
    <w:rsid w:val="55FB7588"/>
    <w:rsid w:val="57562B24"/>
    <w:rsid w:val="57A8439A"/>
    <w:rsid w:val="58115CD7"/>
    <w:rsid w:val="581B40F7"/>
    <w:rsid w:val="58565344"/>
    <w:rsid w:val="58695F8B"/>
    <w:rsid w:val="589543F5"/>
    <w:rsid w:val="589B2E3D"/>
    <w:rsid w:val="58E46E08"/>
    <w:rsid w:val="5A9B3313"/>
    <w:rsid w:val="5AF22F7E"/>
    <w:rsid w:val="5BA07BB6"/>
    <w:rsid w:val="5BBE35F6"/>
    <w:rsid w:val="5BDE299D"/>
    <w:rsid w:val="5C3E5A4E"/>
    <w:rsid w:val="5CA4442A"/>
    <w:rsid w:val="5CFA0810"/>
    <w:rsid w:val="5D273630"/>
    <w:rsid w:val="5D603CFB"/>
    <w:rsid w:val="5E375B30"/>
    <w:rsid w:val="5EB3743D"/>
    <w:rsid w:val="5EFB6C0F"/>
    <w:rsid w:val="5F2B66BC"/>
    <w:rsid w:val="5FF34315"/>
    <w:rsid w:val="61755069"/>
    <w:rsid w:val="618D0E1A"/>
    <w:rsid w:val="619C1CA6"/>
    <w:rsid w:val="629D1B22"/>
    <w:rsid w:val="62A125B3"/>
    <w:rsid w:val="630E6F66"/>
    <w:rsid w:val="63637DD7"/>
    <w:rsid w:val="639C65AB"/>
    <w:rsid w:val="63CE30A4"/>
    <w:rsid w:val="64247F61"/>
    <w:rsid w:val="65502555"/>
    <w:rsid w:val="65771F5A"/>
    <w:rsid w:val="661A5F10"/>
    <w:rsid w:val="66357CC3"/>
    <w:rsid w:val="66F918C9"/>
    <w:rsid w:val="678154B0"/>
    <w:rsid w:val="68560087"/>
    <w:rsid w:val="68BA3798"/>
    <w:rsid w:val="690D0368"/>
    <w:rsid w:val="692F6410"/>
    <w:rsid w:val="69925448"/>
    <w:rsid w:val="69FF7CBD"/>
    <w:rsid w:val="6A47529D"/>
    <w:rsid w:val="6A5A6DA2"/>
    <w:rsid w:val="6AF61310"/>
    <w:rsid w:val="6B1B2D44"/>
    <w:rsid w:val="6B225547"/>
    <w:rsid w:val="6B413A50"/>
    <w:rsid w:val="6BDF7E4A"/>
    <w:rsid w:val="6C0040EC"/>
    <w:rsid w:val="6C640C01"/>
    <w:rsid w:val="6C645874"/>
    <w:rsid w:val="6C7E515A"/>
    <w:rsid w:val="6CD771B7"/>
    <w:rsid w:val="6CE168A0"/>
    <w:rsid w:val="6DA52666"/>
    <w:rsid w:val="6DB0368A"/>
    <w:rsid w:val="6F5632F9"/>
    <w:rsid w:val="6FB45A58"/>
    <w:rsid w:val="70A41EB5"/>
    <w:rsid w:val="72746E18"/>
    <w:rsid w:val="73762DED"/>
    <w:rsid w:val="73D81B5D"/>
    <w:rsid w:val="741719F8"/>
    <w:rsid w:val="74832F2C"/>
    <w:rsid w:val="74ED267A"/>
    <w:rsid w:val="74ED3367"/>
    <w:rsid w:val="7557332E"/>
    <w:rsid w:val="76A1003E"/>
    <w:rsid w:val="78397A44"/>
    <w:rsid w:val="789C2226"/>
    <w:rsid w:val="78F92F7D"/>
    <w:rsid w:val="795B2256"/>
    <w:rsid w:val="79F628A4"/>
    <w:rsid w:val="7A1A522E"/>
    <w:rsid w:val="7A686D7F"/>
    <w:rsid w:val="7AA81F8D"/>
    <w:rsid w:val="7B253BF0"/>
    <w:rsid w:val="7BA04A01"/>
    <w:rsid w:val="7C1203A8"/>
    <w:rsid w:val="7C427AFC"/>
    <w:rsid w:val="7C47062B"/>
    <w:rsid w:val="7C9D43D8"/>
    <w:rsid w:val="7D196BB9"/>
    <w:rsid w:val="7D6A6C42"/>
    <w:rsid w:val="7D8F0802"/>
    <w:rsid w:val="7D9E6832"/>
    <w:rsid w:val="7DBC3B87"/>
    <w:rsid w:val="7E456548"/>
    <w:rsid w:val="7EF1633B"/>
    <w:rsid w:val="7F3917C3"/>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2"/>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4"/>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2020-09-15T00:34:00Z</cp:lastPrinted>
  <dcterms:modified xsi:type="dcterms:W3CDTF">2021-01-12T09:31:07Z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