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jc w:val="center"/>
        <w:rPr>
          <w:rFonts w:hint="eastAsia" w:ascii="宋体" w:hAnsi="宋体"/>
          <w:b/>
          <w:bCs/>
          <w:color w:val="auto"/>
          <w:sz w:val="52"/>
          <w:szCs w:val="52"/>
          <w:lang w:val="en-US" w:eastAsia="zh-CN"/>
        </w:rPr>
      </w:pPr>
    </w:p>
    <w:p>
      <w:pPr>
        <w:pStyle w:val="15"/>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集团</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5"/>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5"/>
        <w:ind w:left="0" w:leftChars="0" w:firstLine="0" w:firstLineChars="0"/>
        <w:jc w:val="center"/>
        <w:rPr>
          <w:rFonts w:hint="eastAsia" w:ascii="宋体" w:hAnsi="宋体"/>
          <w:b/>
          <w:bCs/>
          <w:color w:val="auto"/>
          <w:sz w:val="52"/>
          <w:szCs w:val="52"/>
          <w:lang w:eastAsia="zh-CN"/>
        </w:rPr>
      </w:pPr>
    </w:p>
    <w:p>
      <w:pPr>
        <w:pStyle w:val="15"/>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rPr>
          <w:color w:val="auto"/>
        </w:rPr>
      </w:pPr>
      <w:r>
        <w:rPr>
          <w:rFonts w:ascii="宋体" w:hAnsi="宋体" w:eastAsia="宋体" w:cs="宋体"/>
          <w:color w:val="auto"/>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5"/>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5"/>
        <w:jc w:val="center"/>
        <w:rPr>
          <w:rFonts w:hint="eastAsia" w:ascii="宋体" w:hAnsi="宋体"/>
          <w:b/>
          <w:bCs/>
          <w:color w:val="auto"/>
          <w:sz w:val="52"/>
          <w:szCs w:val="52"/>
          <w:lang w:eastAsia="zh-CN"/>
        </w:rPr>
      </w:pPr>
    </w:p>
    <w:p>
      <w:pPr>
        <w:pStyle w:val="15"/>
        <w:keepNext w:val="0"/>
        <w:keepLines w:val="0"/>
        <w:pageBreakBefore w:val="0"/>
        <w:widowControl w:val="0"/>
        <w:kinsoku/>
        <w:wordWrap/>
        <w:overflowPunct/>
        <w:topLinePunct w:val="0"/>
        <w:autoSpaceDE/>
        <w:autoSpaceDN/>
        <w:bidi w:val="0"/>
        <w:adjustRightInd/>
        <w:snapToGrid/>
        <w:spacing w:after="0"/>
        <w:ind w:firstLine="425"/>
        <w:jc w:val="center"/>
        <w:textAlignment w:val="auto"/>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606" w:right="0" w:rightChars="0" w:hanging="1606" w:hangingChars="500"/>
        <w:jc w:val="both"/>
        <w:textAlignment w:val="auto"/>
        <w:outlineLvl w:val="9"/>
        <w:rPr>
          <w:rFonts w:hint="eastAsia"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名称：高桥湾石料加工点控制室采购</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等线" w:cs="Times New Roman"/>
          <w:b/>
          <w:bCs/>
          <w:color w:val="auto"/>
          <w:spacing w:val="34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357"/>
          <w:kern w:val="0"/>
          <w:sz w:val="32"/>
          <w:szCs w:val="32"/>
          <w:lang w:eastAsia="zh-CN"/>
        </w:rPr>
        <w:t>DBSCG-2021-</w:t>
      </w:r>
      <w:r>
        <w:rPr>
          <w:rFonts w:hint="eastAsia" w:ascii="宋体" w:hAnsi="等线" w:cs="Times New Roman"/>
          <w:b/>
          <w:bCs/>
          <w:color w:val="auto"/>
          <w:spacing w:val="357"/>
          <w:kern w:val="0"/>
          <w:sz w:val="32"/>
          <w:szCs w:val="32"/>
          <w:lang w:val="en-US" w:eastAsia="zh-CN"/>
        </w:rPr>
        <w:t>004</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68"/>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74"/>
          <w:kern w:val="0"/>
          <w:sz w:val="32"/>
          <w:szCs w:val="32"/>
          <w:lang w:val="en-US" w:eastAsia="zh-CN"/>
        </w:rPr>
        <w:t>霍山县矿产资源开发有限责任公司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96"/>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113"/>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color w:val="auto"/>
          <w:spacing w:val="340"/>
        </w:rPr>
      </w:pPr>
      <w:r>
        <w:rPr>
          <w:rFonts w:hint="eastAsia" w:ascii="宋体" w:hAnsi="宋体" w:eastAsia="宋体" w:cs="宋体"/>
          <w:b/>
          <w:color w:val="auto"/>
          <w:spacing w:val="0"/>
          <w:kern w:val="0"/>
          <w:sz w:val="32"/>
          <w:szCs w:val="32"/>
        </w:rPr>
        <w:t>采购时间：</w:t>
      </w:r>
      <w:r>
        <w:rPr>
          <w:rFonts w:hint="eastAsia" w:ascii="宋体" w:hAnsi="宋体" w:cs="宋体"/>
          <w:b/>
          <w:color w:val="auto"/>
          <w:spacing w:val="0"/>
          <w:kern w:val="0"/>
          <w:sz w:val="32"/>
          <w:szCs w:val="32"/>
          <w:lang w:val="en-US" w:eastAsia="zh-CN"/>
        </w:rPr>
        <w:t xml:space="preserve">     </w:t>
      </w:r>
      <w:r>
        <w:rPr>
          <w:rFonts w:hint="eastAsia" w:ascii="宋体" w:hAnsi="宋体" w:eastAsia="宋体" w:cs="宋体"/>
          <w:b/>
          <w:color w:val="auto"/>
          <w:spacing w:val="283"/>
          <w:kern w:val="0"/>
          <w:sz w:val="32"/>
          <w:szCs w:val="32"/>
          <w:u w:val="none"/>
        </w:rPr>
        <w:t>二0</w:t>
      </w:r>
      <w:r>
        <w:rPr>
          <w:rFonts w:hint="eastAsia" w:ascii="宋体" w:hAnsi="宋体" w:cs="宋体"/>
          <w:b/>
          <w:color w:val="auto"/>
          <w:spacing w:val="283"/>
          <w:kern w:val="0"/>
          <w:sz w:val="32"/>
          <w:szCs w:val="32"/>
          <w:u w:val="none"/>
          <w:lang w:val="en-US" w:eastAsia="zh-CN"/>
        </w:rPr>
        <w:t>二一</w:t>
      </w:r>
      <w:r>
        <w:rPr>
          <w:rFonts w:hint="eastAsia" w:ascii="宋体" w:hAnsi="宋体" w:eastAsia="宋体" w:cs="宋体"/>
          <w:b/>
          <w:color w:val="auto"/>
          <w:spacing w:val="283"/>
          <w:kern w:val="0"/>
          <w:sz w:val="32"/>
          <w:szCs w:val="32"/>
          <w:u w:val="none"/>
        </w:rPr>
        <w:t>年</w:t>
      </w:r>
      <w:r>
        <w:rPr>
          <w:rFonts w:hint="eastAsia" w:ascii="宋体" w:hAnsi="宋体" w:cs="宋体"/>
          <w:b/>
          <w:color w:val="auto"/>
          <w:spacing w:val="283"/>
          <w:kern w:val="0"/>
          <w:sz w:val="32"/>
          <w:szCs w:val="32"/>
          <w:u w:val="none"/>
          <w:lang w:eastAsia="zh-CN"/>
        </w:rPr>
        <w:t>一</w:t>
      </w:r>
      <w:r>
        <w:rPr>
          <w:rFonts w:hint="eastAsia" w:ascii="宋体" w:hAnsi="宋体" w:eastAsia="宋体" w:cs="宋体"/>
          <w:b/>
          <w:color w:val="auto"/>
          <w:spacing w:val="283"/>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auto"/>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36"/>
          <w:szCs w:val="36"/>
          <w:lang w:eastAsia="zh-CN"/>
        </w:rPr>
        <w:t>安徽大别山工程咨询有限公司</w:t>
      </w:r>
      <w:r>
        <w:rPr>
          <w:rFonts w:hint="eastAsia" w:ascii="宋体" w:hAnsi="宋体" w:eastAsia="宋体" w:cs="宋体"/>
          <w:b/>
          <w:bCs/>
          <w:color w:val="auto"/>
          <w:sz w:val="36"/>
          <w:szCs w:val="36"/>
        </w:rPr>
        <w:t>善意提醒</w:t>
      </w:r>
    </w:p>
    <w:p>
      <w:pPr>
        <w:pStyle w:val="49"/>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一、请各</w:t>
      </w:r>
      <w:r>
        <w:rPr>
          <w:rFonts w:hint="eastAsia" w:ascii="宋体" w:hAnsi="宋体" w:cs="宋体"/>
          <w:color w:val="auto"/>
          <w:szCs w:val="21"/>
          <w:lang w:eastAsia="zh-CN"/>
        </w:rPr>
        <w:t>供应商</w:t>
      </w:r>
      <w:r>
        <w:rPr>
          <w:rFonts w:hint="eastAsia" w:ascii="宋体" w:hAnsi="宋体" w:eastAsia="宋体" w:cs="宋体"/>
          <w:color w:val="auto"/>
          <w:szCs w:val="21"/>
        </w:rPr>
        <w:t>接到本</w:t>
      </w:r>
      <w:r>
        <w:rPr>
          <w:rFonts w:hint="eastAsia" w:ascii="宋体" w:hAnsi="宋体" w:cs="宋体"/>
          <w:color w:val="auto"/>
          <w:szCs w:val="21"/>
          <w:lang w:val="en-US" w:eastAsia="zh-CN"/>
        </w:rPr>
        <w:t>询价文件</w:t>
      </w:r>
      <w:r>
        <w:rPr>
          <w:rFonts w:hint="eastAsia" w:ascii="宋体" w:hAnsi="宋体" w:eastAsia="宋体" w:cs="宋体"/>
          <w:color w:val="auto"/>
          <w:szCs w:val="21"/>
        </w:rPr>
        <w:t>后,认真审阅和全面理解</w:t>
      </w:r>
      <w:r>
        <w:rPr>
          <w:rFonts w:hint="eastAsia" w:ascii="宋体" w:hAnsi="宋体" w:cs="宋体"/>
          <w:color w:val="auto"/>
          <w:szCs w:val="21"/>
          <w:lang w:val="en-US" w:eastAsia="zh-CN"/>
        </w:rPr>
        <w:t>询价文件</w:t>
      </w:r>
      <w:r>
        <w:rPr>
          <w:rFonts w:hint="eastAsia" w:ascii="宋体" w:hAnsi="宋体" w:eastAsia="宋体" w:cs="宋体"/>
          <w:color w:val="auto"/>
          <w:szCs w:val="21"/>
        </w:rPr>
        <w:t>所有内容，包括补疑、控制价等内容，严格按照</w:t>
      </w:r>
      <w:r>
        <w:rPr>
          <w:rFonts w:hint="eastAsia" w:ascii="宋体" w:hAnsi="宋体" w:cs="宋体"/>
          <w:color w:val="auto"/>
          <w:szCs w:val="21"/>
          <w:lang w:val="en-US" w:eastAsia="zh-CN"/>
        </w:rPr>
        <w:t>询价文件</w:t>
      </w:r>
      <w:r>
        <w:rPr>
          <w:rFonts w:hint="eastAsia" w:ascii="宋体" w:hAnsi="宋体" w:eastAsia="宋体" w:cs="宋体"/>
          <w:color w:val="auto"/>
          <w:szCs w:val="21"/>
        </w:rPr>
        <w:t>要求编制、封装、标记</w:t>
      </w:r>
      <w:r>
        <w:rPr>
          <w:rFonts w:hint="eastAsia" w:ascii="宋体" w:hAnsi="宋体" w:cs="宋体"/>
          <w:color w:val="auto"/>
          <w:szCs w:val="21"/>
          <w:lang w:eastAsia="zh-CN"/>
        </w:rPr>
        <w:t>响应文件</w:t>
      </w:r>
      <w:r>
        <w:rPr>
          <w:rFonts w:hint="eastAsia" w:ascii="宋体" w:hAnsi="宋体" w:eastAsia="宋体" w:cs="宋体"/>
          <w:color w:val="auto"/>
          <w:szCs w:val="21"/>
        </w:rPr>
        <w:t>，投标时，请按</w:t>
      </w:r>
      <w:r>
        <w:rPr>
          <w:rFonts w:hint="eastAsia" w:ascii="宋体" w:hAnsi="宋体" w:cs="宋体"/>
          <w:color w:val="auto"/>
          <w:szCs w:val="21"/>
          <w:lang w:val="en-US" w:eastAsia="zh-CN"/>
        </w:rPr>
        <w:t>询价文件</w:t>
      </w:r>
      <w:r>
        <w:rPr>
          <w:rFonts w:hint="eastAsia" w:ascii="宋体" w:hAnsi="宋体" w:eastAsia="宋体" w:cs="宋体"/>
          <w:color w:val="auto"/>
          <w:szCs w:val="21"/>
        </w:rPr>
        <w:t>要求携带好开标及资格审查须提交的证书原件、相关资料等，防止</w:t>
      </w:r>
      <w:r>
        <w:rPr>
          <w:rFonts w:hint="eastAsia" w:ascii="宋体" w:hAnsi="宋体" w:cs="宋体"/>
          <w:color w:val="auto"/>
          <w:szCs w:val="21"/>
          <w:lang w:eastAsia="zh-CN"/>
        </w:rPr>
        <w:t>响应文件</w:t>
      </w:r>
      <w:r>
        <w:rPr>
          <w:rFonts w:hint="eastAsia" w:ascii="宋体" w:hAnsi="宋体" w:eastAsia="宋体" w:cs="宋体"/>
          <w:color w:val="auto"/>
          <w:szCs w:val="21"/>
        </w:rPr>
        <w:t>因不符合</w:t>
      </w:r>
      <w:r>
        <w:rPr>
          <w:rFonts w:hint="eastAsia" w:ascii="宋体" w:hAnsi="宋体" w:cs="宋体"/>
          <w:color w:val="auto"/>
          <w:szCs w:val="21"/>
          <w:lang w:eastAsia="zh-CN"/>
        </w:rPr>
        <w:t>询价文件</w:t>
      </w:r>
      <w:r>
        <w:rPr>
          <w:rFonts w:hint="eastAsia" w:ascii="宋体" w:hAnsi="宋体" w:eastAsia="宋体" w:cs="宋体"/>
          <w:color w:val="auto"/>
          <w:szCs w:val="21"/>
        </w:rPr>
        <w:t>要求被拒绝接收或被评为无效标，避免不必要的损失。</w:t>
      </w:r>
    </w:p>
    <w:p>
      <w:pPr>
        <w:pStyle w:val="49"/>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二、请</w:t>
      </w:r>
      <w:r>
        <w:rPr>
          <w:rFonts w:hint="eastAsia" w:ascii="宋体" w:hAnsi="宋体" w:cs="宋体"/>
          <w:color w:val="auto"/>
          <w:szCs w:val="21"/>
          <w:lang w:eastAsia="zh-CN"/>
        </w:rPr>
        <w:t>供应商</w:t>
      </w:r>
      <w:r>
        <w:rPr>
          <w:rFonts w:hint="eastAsia" w:ascii="宋体" w:hAnsi="宋体" w:eastAsia="宋体" w:cs="宋体"/>
          <w:color w:val="auto"/>
          <w:szCs w:val="21"/>
        </w:rPr>
        <w:t>慎重作出投标报价，防止因报价超过控制价（采购预算价）而造成无效标。</w:t>
      </w:r>
    </w:p>
    <w:p>
      <w:pPr>
        <w:pStyle w:val="49"/>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三、</w:t>
      </w:r>
      <w:r>
        <w:rPr>
          <w:rFonts w:hint="eastAsia" w:ascii="宋体" w:hAnsi="宋体" w:cs="宋体"/>
          <w:color w:val="auto"/>
          <w:szCs w:val="21"/>
          <w:lang w:eastAsia="zh-CN"/>
        </w:rPr>
        <w:t>供应商</w:t>
      </w:r>
      <w:r>
        <w:rPr>
          <w:rFonts w:hint="eastAsia" w:ascii="宋体" w:hAnsi="宋体" w:eastAsia="宋体" w:cs="宋体"/>
          <w:color w:val="auto"/>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9"/>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四、本项目将严格按照</w:t>
      </w:r>
      <w:r>
        <w:rPr>
          <w:rFonts w:hint="eastAsia" w:ascii="宋体" w:hAnsi="宋体" w:cs="宋体"/>
          <w:color w:val="auto"/>
          <w:szCs w:val="21"/>
          <w:lang w:val="en-US" w:eastAsia="zh-CN"/>
        </w:rPr>
        <w:t>询价文件</w:t>
      </w:r>
      <w:r>
        <w:rPr>
          <w:rFonts w:hint="eastAsia" w:ascii="宋体" w:hAnsi="宋体" w:eastAsia="宋体" w:cs="宋体"/>
          <w:color w:val="auto"/>
          <w:szCs w:val="21"/>
        </w:rPr>
        <w:t>、合同等要求进行验收，决不允许出现降低质量标准及要求、拖延</w:t>
      </w:r>
      <w:r>
        <w:rPr>
          <w:rFonts w:hint="eastAsia" w:ascii="宋体" w:hAnsi="宋体" w:cs="宋体"/>
          <w:color w:val="auto"/>
          <w:szCs w:val="21"/>
          <w:lang w:eastAsia="zh-CN"/>
        </w:rPr>
        <w:t>服务</w:t>
      </w:r>
      <w:r>
        <w:rPr>
          <w:rFonts w:hint="eastAsia" w:ascii="宋体" w:hAnsi="宋体" w:eastAsia="宋体" w:cs="宋体"/>
          <w:color w:val="auto"/>
          <w:szCs w:val="21"/>
        </w:rPr>
        <w:t>等违约行为，否则将按照合同有关条款及有关法律法规规定追究责任。</w:t>
      </w:r>
    </w:p>
    <w:p>
      <w:pPr>
        <w:pStyle w:val="49"/>
        <w:adjustRightInd w:val="0"/>
        <w:snapToGrid w:val="0"/>
        <w:spacing w:line="480" w:lineRule="exact"/>
        <w:ind w:firstLine="420" w:firstLineChars="200"/>
        <w:jc w:val="left"/>
        <w:rPr>
          <w:rFonts w:hint="eastAsia" w:ascii="宋体" w:hAnsi="宋体" w:eastAsia="宋体" w:cs="宋体"/>
          <w:color w:val="auto"/>
          <w:spacing w:val="0"/>
          <w:szCs w:val="21"/>
        </w:rPr>
      </w:pPr>
      <w:r>
        <w:rPr>
          <w:rFonts w:hint="eastAsia" w:ascii="宋体" w:hAnsi="宋体" w:eastAsia="宋体" w:cs="宋体"/>
          <w:color w:val="auto"/>
          <w:spacing w:val="0"/>
          <w:szCs w:val="21"/>
        </w:rPr>
        <w:t>五、</w:t>
      </w:r>
      <w:r>
        <w:rPr>
          <w:rFonts w:hint="eastAsia" w:ascii="宋体" w:hAnsi="宋体" w:cs="宋体"/>
          <w:color w:val="auto"/>
          <w:spacing w:val="0"/>
          <w:szCs w:val="21"/>
          <w:lang w:eastAsia="zh-CN"/>
        </w:rPr>
        <w:t>询价保证金</w:t>
      </w:r>
      <w:r>
        <w:rPr>
          <w:rFonts w:hint="eastAsia" w:ascii="宋体" w:hAnsi="宋体" w:eastAsia="宋体" w:cs="宋体"/>
          <w:color w:val="auto"/>
          <w:spacing w:val="0"/>
          <w:szCs w:val="21"/>
        </w:rPr>
        <w:t>(若有)应尽量提前汇入</w:t>
      </w:r>
      <w:r>
        <w:rPr>
          <w:rFonts w:hint="eastAsia" w:ascii="宋体" w:hAnsi="宋体" w:eastAsia="宋体" w:cs="宋体"/>
          <w:color w:val="auto"/>
          <w:spacing w:val="0"/>
          <w:szCs w:val="21"/>
          <w:lang w:eastAsia="zh-CN"/>
        </w:rPr>
        <w:t>安徽大别山工程咨询有限公司</w:t>
      </w:r>
      <w:r>
        <w:rPr>
          <w:rFonts w:hint="eastAsia" w:ascii="宋体" w:hAnsi="宋体" w:eastAsia="宋体" w:cs="宋体"/>
          <w:color w:val="auto"/>
          <w:spacing w:val="0"/>
          <w:szCs w:val="21"/>
        </w:rPr>
        <w:t>指定</w:t>
      </w:r>
      <w:r>
        <w:rPr>
          <w:rFonts w:hint="eastAsia" w:ascii="宋体" w:hAnsi="宋体" w:cs="宋体"/>
          <w:color w:val="auto"/>
          <w:spacing w:val="0"/>
          <w:szCs w:val="21"/>
          <w:lang w:eastAsia="zh-CN"/>
        </w:rPr>
        <w:t>账户</w:t>
      </w:r>
      <w:r>
        <w:rPr>
          <w:rFonts w:hint="eastAsia" w:ascii="宋体" w:hAnsi="宋体" w:eastAsia="宋体" w:cs="宋体"/>
          <w:color w:val="auto"/>
          <w:spacing w:val="0"/>
          <w:szCs w:val="21"/>
        </w:rPr>
        <w:t>，以保证开标前款能到达</w:t>
      </w:r>
      <w:r>
        <w:rPr>
          <w:rFonts w:hint="eastAsia" w:ascii="宋体" w:hAnsi="宋体" w:cs="宋体"/>
          <w:color w:val="auto"/>
          <w:spacing w:val="0"/>
          <w:szCs w:val="21"/>
          <w:lang w:eastAsia="zh-CN"/>
        </w:rPr>
        <w:t>账户</w:t>
      </w:r>
      <w:r>
        <w:rPr>
          <w:rFonts w:hint="eastAsia" w:ascii="宋体" w:hAnsi="宋体" w:eastAsia="宋体" w:cs="宋体"/>
          <w:color w:val="auto"/>
          <w:spacing w:val="0"/>
          <w:szCs w:val="21"/>
        </w:rPr>
        <w:t>，否则将影响投标。</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六、</w:t>
      </w:r>
      <w:r>
        <w:rPr>
          <w:rFonts w:hint="eastAsia" w:ascii="宋体" w:hAnsi="宋体" w:cs="宋体"/>
          <w:color w:val="auto"/>
          <w:szCs w:val="21"/>
          <w:lang w:eastAsia="zh-CN"/>
        </w:rPr>
        <w:t>供应商</w:t>
      </w:r>
      <w:r>
        <w:rPr>
          <w:rFonts w:hint="eastAsia" w:ascii="宋体" w:hAnsi="宋体" w:eastAsia="宋体" w:cs="宋体"/>
          <w:color w:val="auto"/>
          <w:szCs w:val="21"/>
        </w:rPr>
        <w:t>对截止时间及开标时间等安排如有异议，请在</w:t>
      </w:r>
      <w:r>
        <w:rPr>
          <w:rFonts w:hint="eastAsia" w:ascii="宋体" w:hAnsi="宋体" w:cs="宋体"/>
          <w:color w:val="auto"/>
          <w:szCs w:val="21"/>
          <w:lang w:eastAsia="zh-CN"/>
        </w:rPr>
        <w:t>响应文件递交截止时间</w:t>
      </w:r>
      <w:r>
        <w:rPr>
          <w:rFonts w:hint="eastAsia" w:ascii="宋体" w:hAnsi="宋体" w:eastAsia="宋体" w:cs="宋体"/>
          <w:color w:val="auto"/>
          <w:szCs w:val="21"/>
        </w:rPr>
        <w:t>3天前，以书面形式告知</w:t>
      </w:r>
      <w:r>
        <w:rPr>
          <w:rFonts w:hint="eastAsia" w:ascii="宋体" w:hAnsi="宋体" w:eastAsia="宋体" w:cs="宋体"/>
          <w:color w:val="auto"/>
          <w:szCs w:val="21"/>
          <w:lang w:eastAsia="zh-CN"/>
        </w:rPr>
        <w:t>本公司</w:t>
      </w:r>
      <w:r>
        <w:rPr>
          <w:rFonts w:hint="eastAsia" w:ascii="宋体" w:hAnsi="宋体" w:eastAsia="宋体" w:cs="宋体"/>
          <w:color w:val="auto"/>
          <w:szCs w:val="21"/>
        </w:rPr>
        <w:t>并说明原因，如未提出异议的，视同默认</w:t>
      </w:r>
      <w:r>
        <w:rPr>
          <w:rFonts w:hint="eastAsia" w:ascii="宋体" w:hAnsi="宋体" w:cs="宋体"/>
          <w:color w:val="auto"/>
          <w:szCs w:val="21"/>
          <w:lang w:eastAsia="zh-CN"/>
        </w:rPr>
        <w:t>询价文件</w:t>
      </w:r>
      <w:r>
        <w:rPr>
          <w:rFonts w:hint="eastAsia" w:ascii="宋体" w:hAnsi="宋体" w:eastAsia="宋体" w:cs="宋体"/>
          <w:color w:val="auto"/>
          <w:szCs w:val="21"/>
        </w:rPr>
        <w:t>的时间安排。</w:t>
      </w:r>
    </w:p>
    <w:p>
      <w:pPr>
        <w:pStyle w:val="49"/>
        <w:tabs>
          <w:tab w:val="left" w:pos="3472"/>
          <w:tab w:val="left" w:pos="5940"/>
        </w:tabs>
        <w:adjustRightInd w:val="0"/>
        <w:snapToGrid w:val="0"/>
        <w:spacing w:line="480" w:lineRule="exact"/>
        <w:ind w:firstLine="420" w:firstLineChars="200"/>
        <w:jc w:val="left"/>
        <w:rPr>
          <w:rFonts w:hint="eastAsia" w:ascii="宋体" w:hAnsi="宋体" w:eastAsia="宋体" w:cs="宋体"/>
          <w:color w:val="auto"/>
          <w:szCs w:val="21"/>
        </w:rPr>
      </w:pPr>
      <w:r>
        <w:rPr>
          <w:rFonts w:hint="eastAsia" w:ascii="宋体" w:hAnsi="宋体" w:eastAsia="宋体" w:cs="宋体"/>
          <w:color w:val="auto"/>
          <w:szCs w:val="21"/>
        </w:rPr>
        <w:t>七、请</w:t>
      </w:r>
      <w:r>
        <w:rPr>
          <w:rFonts w:hint="eastAsia" w:ascii="宋体" w:hAnsi="宋体" w:cs="宋体"/>
          <w:color w:val="auto"/>
          <w:szCs w:val="21"/>
          <w:lang w:eastAsia="zh-CN"/>
        </w:rPr>
        <w:t>供应商</w:t>
      </w:r>
      <w:r>
        <w:rPr>
          <w:rFonts w:hint="eastAsia" w:ascii="宋体" w:hAnsi="宋体" w:eastAsia="宋体" w:cs="宋体"/>
          <w:color w:val="auto"/>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auto"/>
        </w:rPr>
      </w:pPr>
      <w:r>
        <w:rPr>
          <w:rFonts w:hint="eastAsia" w:ascii="宋体" w:hAnsi="宋体" w:eastAsia="宋体" w:cs="宋体"/>
          <w:b/>
          <w:color w:val="auto"/>
        </w:rPr>
        <w:t>八、</w:t>
      </w:r>
      <w:r>
        <w:rPr>
          <w:rFonts w:hint="eastAsia" w:ascii="宋体" w:hAnsi="宋体" w:eastAsia="宋体" w:cs="宋体"/>
          <w:b/>
          <w:color w:val="auto"/>
          <w:lang w:val="en-US" w:eastAsia="zh-CN"/>
        </w:rPr>
        <w:t>成交</w:t>
      </w:r>
      <w:r>
        <w:rPr>
          <w:rFonts w:hint="eastAsia" w:ascii="宋体" w:hAnsi="宋体" w:eastAsia="宋体" w:cs="宋体"/>
          <w:b/>
          <w:color w:val="auto"/>
        </w:rPr>
        <w:t>单位在领取</w:t>
      </w:r>
      <w:r>
        <w:rPr>
          <w:rFonts w:hint="eastAsia" w:ascii="宋体" w:hAnsi="宋体" w:cs="宋体"/>
          <w:b/>
          <w:color w:val="auto"/>
          <w:lang w:eastAsia="zh-CN"/>
        </w:rPr>
        <w:t>成交</w:t>
      </w:r>
      <w:r>
        <w:rPr>
          <w:rFonts w:hint="eastAsia" w:ascii="宋体" w:hAnsi="宋体" w:eastAsia="宋体" w:cs="宋体"/>
          <w:b/>
          <w:color w:val="auto"/>
        </w:rPr>
        <w:t>通知书后，凭</w:t>
      </w:r>
      <w:r>
        <w:rPr>
          <w:rFonts w:hint="eastAsia" w:ascii="宋体" w:hAnsi="宋体" w:eastAsia="宋体" w:cs="宋体"/>
          <w:b/>
          <w:color w:val="auto"/>
          <w:lang w:val="en-US" w:eastAsia="zh-CN"/>
        </w:rPr>
        <w:t>成交</w:t>
      </w:r>
      <w:r>
        <w:rPr>
          <w:rFonts w:hint="eastAsia" w:ascii="宋体" w:hAnsi="宋体" w:eastAsia="宋体" w:cs="宋体"/>
          <w:b/>
          <w:color w:val="auto"/>
        </w:rPr>
        <w:t>通知书与采购人签订合同。采购人应当自合同签订之日起2个工作日内，依据《中华人民共和国政府采购法实施条例》第五十条予以公示。</w:t>
      </w:r>
      <w:r>
        <w:rPr>
          <w:rFonts w:hint="eastAsia" w:ascii="宋体" w:hAnsi="宋体" w:eastAsia="宋体" w:cs="宋体"/>
          <w:b/>
          <w:color w:val="auto"/>
          <w:lang w:val="en-US" w:eastAsia="zh-CN"/>
        </w:rPr>
        <w:t>成交</w:t>
      </w:r>
      <w:r>
        <w:rPr>
          <w:rFonts w:hint="eastAsia" w:ascii="宋体" w:hAnsi="宋体" w:eastAsia="宋体" w:cs="宋体"/>
          <w:b/>
          <w:color w:val="auto"/>
        </w:rPr>
        <w:t>单位的</w:t>
      </w:r>
      <w:r>
        <w:rPr>
          <w:rFonts w:hint="eastAsia" w:ascii="宋体" w:hAnsi="宋体" w:cs="宋体"/>
          <w:b/>
          <w:color w:val="auto"/>
          <w:lang w:eastAsia="zh-CN"/>
        </w:rPr>
        <w:t>询价保证金</w:t>
      </w:r>
      <w:r>
        <w:rPr>
          <w:rFonts w:hint="eastAsia" w:ascii="宋体" w:hAnsi="宋体" w:eastAsia="宋体" w:cs="宋体"/>
          <w:b/>
          <w:color w:val="auto"/>
        </w:rPr>
        <w:t>(若有)凭其与采购人签订的合同全额退至其账户，其他单位的</w:t>
      </w:r>
      <w:r>
        <w:rPr>
          <w:rFonts w:hint="eastAsia" w:ascii="宋体" w:hAnsi="宋体" w:cs="宋体"/>
          <w:b/>
          <w:color w:val="auto"/>
          <w:lang w:eastAsia="zh-CN"/>
        </w:rPr>
        <w:t>询价保证金</w:t>
      </w:r>
      <w:r>
        <w:rPr>
          <w:rFonts w:hint="eastAsia" w:ascii="宋体" w:hAnsi="宋体" w:eastAsia="宋体" w:cs="宋体"/>
          <w:b/>
          <w:color w:val="auto"/>
        </w:rPr>
        <w:t>(若有)在确定</w:t>
      </w:r>
      <w:r>
        <w:rPr>
          <w:rFonts w:hint="eastAsia" w:ascii="宋体" w:hAnsi="宋体" w:eastAsia="宋体" w:cs="宋体"/>
          <w:b/>
          <w:color w:val="auto"/>
          <w:lang w:val="en-US" w:eastAsia="zh-CN"/>
        </w:rPr>
        <w:t>成交</w:t>
      </w:r>
      <w:r>
        <w:rPr>
          <w:rFonts w:hint="eastAsia" w:ascii="宋体" w:hAnsi="宋体" w:eastAsia="宋体" w:cs="宋体"/>
          <w:b/>
          <w:color w:val="auto"/>
        </w:rPr>
        <w:t>单位后5个工作日内退至其</w:t>
      </w:r>
      <w:r>
        <w:rPr>
          <w:rFonts w:hint="eastAsia" w:ascii="宋体" w:hAnsi="宋体" w:cs="宋体"/>
          <w:b/>
          <w:color w:val="auto"/>
          <w:lang w:eastAsia="zh-CN"/>
        </w:rPr>
        <w:t>账户</w:t>
      </w:r>
      <w:r>
        <w:rPr>
          <w:rFonts w:hint="eastAsia" w:ascii="宋体" w:hAnsi="宋体" w:eastAsia="宋体" w:cs="宋体"/>
          <w:b/>
          <w:color w:val="auto"/>
        </w:rPr>
        <w:t>。</w:t>
      </w:r>
    </w:p>
    <w:p>
      <w:pPr>
        <w:pStyle w:val="49"/>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auto"/>
          <w:szCs w:val="21"/>
        </w:rPr>
      </w:pPr>
      <w:r>
        <w:rPr>
          <w:rFonts w:hint="eastAsia" w:ascii="宋体" w:hAnsi="宋体" w:eastAsia="宋体" w:cs="宋体"/>
          <w:b/>
          <w:bCs/>
          <w:color w:val="auto"/>
          <w:szCs w:val="21"/>
        </w:rPr>
        <w:t>九、本</w:t>
      </w:r>
      <w:r>
        <w:rPr>
          <w:rFonts w:hint="eastAsia" w:ascii="宋体" w:hAnsi="宋体" w:cs="宋体"/>
          <w:b/>
          <w:bCs/>
          <w:color w:val="auto"/>
          <w:szCs w:val="21"/>
          <w:lang w:val="en-US" w:eastAsia="zh-CN"/>
        </w:rPr>
        <w:t>询价文件</w:t>
      </w:r>
      <w:r>
        <w:rPr>
          <w:rFonts w:hint="eastAsia" w:ascii="宋体" w:hAnsi="宋体" w:eastAsia="宋体" w:cs="宋体"/>
          <w:b/>
          <w:bCs/>
          <w:color w:val="auto"/>
          <w:szCs w:val="21"/>
        </w:rPr>
        <w:t>最终解释权归</w:t>
      </w:r>
      <w:r>
        <w:rPr>
          <w:rFonts w:hint="eastAsia" w:ascii="宋体" w:hAnsi="宋体" w:eastAsia="宋体" w:cs="宋体"/>
          <w:b/>
          <w:bCs/>
          <w:color w:val="auto"/>
          <w:szCs w:val="21"/>
          <w:lang w:eastAsia="zh-CN"/>
        </w:rPr>
        <w:t>采购人</w:t>
      </w:r>
      <w:r>
        <w:rPr>
          <w:rFonts w:hint="eastAsia" w:ascii="宋体" w:hAnsi="宋体" w:eastAsia="宋体" w:cs="宋体"/>
          <w:b/>
          <w:bCs/>
          <w:color w:val="auto"/>
          <w:szCs w:val="21"/>
        </w:rPr>
        <w:t>和</w:t>
      </w:r>
      <w:r>
        <w:rPr>
          <w:rFonts w:hint="eastAsia" w:ascii="宋体" w:hAnsi="宋体" w:eastAsia="宋体" w:cs="宋体"/>
          <w:b/>
          <w:bCs/>
          <w:color w:val="auto"/>
          <w:szCs w:val="21"/>
          <w:lang w:eastAsia="zh-CN"/>
        </w:rPr>
        <w:t>安徽大别山工程咨询有限公司</w:t>
      </w:r>
      <w:r>
        <w:rPr>
          <w:rFonts w:hint="eastAsia" w:ascii="宋体" w:hAnsi="宋体" w:eastAsia="宋体" w:cs="宋体"/>
          <w:b/>
          <w:bCs/>
          <w:color w:val="auto"/>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1"/>
        <w:ind w:left="0" w:leftChars="0" w:firstLine="0" w:firstLineChars="0"/>
        <w:rPr>
          <w:rFonts w:hint="eastAsia"/>
          <w:color w:val="auto"/>
        </w:rPr>
      </w:pPr>
    </w:p>
    <w:p>
      <w:pPr>
        <w:rPr>
          <w:rFonts w:hint="eastAsia"/>
          <w:color w:val="auto"/>
        </w:rPr>
      </w:pPr>
    </w:p>
    <w:p>
      <w:pPr>
        <w:rPr>
          <w:rFonts w:hint="eastAsia"/>
          <w:color w:val="auto"/>
        </w:rPr>
      </w:pPr>
    </w:p>
    <w:p>
      <w:pPr>
        <w:rPr>
          <w:rFonts w:hint="eastAsia"/>
          <w:color w:val="auto"/>
        </w:rPr>
      </w:pPr>
      <w:r>
        <w:rPr>
          <w:rFonts w:hint="eastAsia"/>
          <w:color w:val="auto"/>
        </w:rPr>
        <w:br w:type="page"/>
      </w:r>
    </w:p>
    <w:p>
      <w:pPr>
        <w:rPr>
          <w:rFonts w:hint="eastAsia"/>
          <w:color w:val="auto"/>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2"/>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2"/>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2"/>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7</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DBSCG-2021-004高桥湾石料加工点控制室采购项目</w:t>
      </w:r>
      <w:r>
        <w:rPr>
          <w:rFonts w:hint="eastAsia" w:ascii="宋体" w:hAnsi="宋体" w:eastAsia="宋体" w:cs="宋体"/>
          <w:b/>
          <w:bCs/>
          <w:color w:val="auto"/>
          <w:kern w:val="0"/>
          <w:sz w:val="30"/>
          <w:szCs w:val="30"/>
          <w:lang w:val="en-US" w:eastAsia="zh-CN" w:bidi="ar-SA"/>
        </w:rPr>
        <w:t>询价公告</w:t>
      </w:r>
      <w:bookmarkEnd w:id="5"/>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bCs/>
          <w:i w:val="0"/>
          <w:caps w:val="0"/>
          <w:color w:val="auto"/>
          <w:spacing w:val="0"/>
          <w:sz w:val="21"/>
          <w:szCs w:val="21"/>
        </w:rPr>
      </w:pPr>
      <w:r>
        <w:rPr>
          <w:rFonts w:hint="eastAsia" w:ascii="宋体" w:hAnsi="宋体" w:cs="宋体"/>
          <w:b w:val="0"/>
          <w:bCs w:val="0"/>
          <w:color w:val="auto"/>
          <w:kern w:val="2"/>
          <w:sz w:val="21"/>
          <w:szCs w:val="21"/>
          <w:u w:val="single"/>
          <w:lang w:val="en-US" w:eastAsia="zh-CN" w:bidi="ar-SA"/>
        </w:rPr>
        <w:t>高桥湾石料加工点控制室采购项目</w:t>
      </w:r>
      <w:r>
        <w:rPr>
          <w:rFonts w:hint="eastAsia" w:ascii="宋体" w:hAnsi="宋体" w:eastAsia="宋体" w:cs="宋体"/>
          <w:b w:val="0"/>
          <w:bCs w:val="0"/>
          <w:color w:val="auto"/>
          <w:kern w:val="2"/>
          <w:sz w:val="21"/>
          <w:szCs w:val="21"/>
          <w:lang w:val="en-US" w:eastAsia="zh-CN" w:bidi="ar-SA"/>
        </w:rPr>
        <w:t>经</w:t>
      </w:r>
      <w:r>
        <w:rPr>
          <w:rFonts w:hint="eastAsia" w:ascii="宋体" w:hAnsi="宋体" w:cs="宋体"/>
          <w:b w:val="0"/>
          <w:bCs w:val="0"/>
          <w:color w:val="auto"/>
          <w:kern w:val="2"/>
          <w:sz w:val="21"/>
          <w:szCs w:val="21"/>
          <w:u w:val="single"/>
          <w:lang w:val="en-US" w:eastAsia="zh-CN" w:bidi="ar-SA"/>
        </w:rPr>
        <w:t>安徽大别山国投集团</w:t>
      </w:r>
      <w:r>
        <w:rPr>
          <w:rFonts w:hint="eastAsia" w:ascii="宋体" w:hAnsi="宋体" w:cs="宋体"/>
          <w:b w:val="0"/>
          <w:bCs w:val="0"/>
          <w:color w:val="auto"/>
          <w:kern w:val="2"/>
          <w:sz w:val="21"/>
          <w:szCs w:val="21"/>
          <w:lang w:val="en-US" w:eastAsia="zh-CN" w:bidi="ar-SA"/>
        </w:rPr>
        <w:t>审批，</w:t>
      </w:r>
      <w:r>
        <w:rPr>
          <w:rFonts w:hint="eastAsia" w:ascii="宋体" w:hAnsi="宋体" w:eastAsia="宋体" w:cs="宋体"/>
          <w:b w:val="0"/>
          <w:bCs w:val="0"/>
          <w:color w:val="auto"/>
          <w:kern w:val="2"/>
          <w:sz w:val="21"/>
          <w:szCs w:val="21"/>
          <w:lang w:val="en-US" w:eastAsia="zh-CN" w:bidi="ar-SA"/>
        </w:rPr>
        <w:t>采取询价方式采购。</w:t>
      </w: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b w:val="0"/>
          <w:bCs w:val="0"/>
          <w:i w:val="0"/>
          <w:caps w:val="0"/>
          <w:color w:val="auto"/>
          <w:spacing w:val="0"/>
          <w:sz w:val="21"/>
          <w:szCs w:val="21"/>
          <w:shd w:val="clear" w:color="auto" w:fill="FFFFFF"/>
        </w:rPr>
        <w:t>的委托，现对</w:t>
      </w:r>
      <w:r>
        <w:rPr>
          <w:rFonts w:hint="eastAsia" w:ascii="宋体" w:hAnsi="宋体" w:cs="宋体"/>
          <w:b w:val="0"/>
          <w:bCs w:val="0"/>
          <w:color w:val="auto"/>
          <w:kern w:val="2"/>
          <w:sz w:val="21"/>
          <w:szCs w:val="21"/>
          <w:u w:val="single"/>
          <w:lang w:val="en-US" w:eastAsia="zh-CN" w:bidi="ar-SA"/>
        </w:rPr>
        <w:t>高桥湾石料加工点控制室采购项目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高桥湾石料加工点控制室采购项目</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DBSCG-2021-004</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shd w:val="clear" w:color="auto" w:fill="FFFFFF"/>
          <w:lang w:val="en-US" w:eastAsia="zh-CN"/>
        </w:rPr>
        <w:t>13万元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7、最高限价：13万元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 w:val="21"/>
          <w:szCs w:val="21"/>
        </w:rPr>
        <w:t>标段（包别）划分：</w:t>
      </w:r>
      <w:r>
        <w:rPr>
          <w:rFonts w:hint="eastAsia" w:ascii="宋体" w:hAnsi="宋体"/>
          <w:color w:val="auto"/>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9、项目概况：高桥湾石料加工点控制室采购项目，主要内容为高桥湾石料加工点设备控制采用集中化控制，需设置控制室一座，拟采购采用二层结构，单层尺寸6米</w:t>
      </w:r>
      <w:r>
        <w:rPr>
          <w:rFonts w:hint="default" w:ascii="Arial" w:hAnsi="Arial" w:cs="Arial"/>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8米，一层用于设备备品备件存放仓库，二层为控制室，装配式办公房结构。（详见采购需求及图纸）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1、</w:t>
      </w:r>
      <w:r>
        <w:rPr>
          <w:rFonts w:hint="eastAsia" w:ascii="宋体" w:hAnsi="宋体" w:eastAsia="宋体" w:cs="宋体"/>
          <w:i w:val="0"/>
          <w:caps w:val="0"/>
          <w:color w:val="auto"/>
          <w:spacing w:val="0"/>
          <w:sz w:val="21"/>
          <w:szCs w:val="21"/>
          <w:shd w:val="clear" w:fill="FFFFFF"/>
          <w:lang w:val="en-US" w:eastAsia="zh-CN"/>
        </w:rPr>
        <w:t>参照</w:t>
      </w:r>
      <w:r>
        <w:rPr>
          <w:rFonts w:hint="eastAsia" w:ascii="宋体" w:hAnsi="宋体" w:eastAsia="宋体" w:cs="宋体"/>
          <w:i w:val="0"/>
          <w:caps w:val="0"/>
          <w:color w:val="auto"/>
          <w:spacing w:val="0"/>
          <w:sz w:val="21"/>
          <w:szCs w:val="21"/>
          <w:shd w:val="clear" w:fill="FFFFFF"/>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cs="宋体"/>
          <w:i w:val="0"/>
          <w:caps w:val="0"/>
          <w:color w:val="auto"/>
          <w:spacing w:val="0"/>
          <w:sz w:val="21"/>
          <w:szCs w:val="21"/>
          <w:shd w:val="clear" w:fill="FFFFFF"/>
          <w:lang w:val="en-US" w:eastAsia="zh-CN"/>
        </w:rPr>
        <w:t>2</w:t>
      </w:r>
      <w:r>
        <w:rPr>
          <w:rFonts w:hint="eastAsia" w:ascii="宋体" w:hAnsi="宋体" w:eastAsia="宋体" w:cs="宋体"/>
          <w:i w:val="0"/>
          <w:caps w:val="0"/>
          <w:color w:val="auto"/>
          <w:spacing w:val="0"/>
          <w:sz w:val="21"/>
          <w:szCs w:val="21"/>
          <w:shd w:val="clear" w:fill="FFFFFF"/>
        </w:rPr>
        <w:t>、本项目不接受联合体；</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cs="宋体"/>
          <w:i w:val="0"/>
          <w:caps w:val="0"/>
          <w:color w:val="auto"/>
          <w:spacing w:val="0"/>
          <w:sz w:val="21"/>
          <w:szCs w:val="21"/>
          <w:shd w:val="clear" w:fill="FFFFFF"/>
          <w:lang w:val="en-US" w:eastAsia="zh-CN"/>
        </w:rPr>
        <w:t>3</w:t>
      </w:r>
      <w:r>
        <w:rPr>
          <w:rFonts w:hint="eastAsia" w:ascii="宋体" w:hAnsi="宋体" w:eastAsia="宋体" w:cs="宋体"/>
          <w:i w:val="0"/>
          <w:caps w:val="0"/>
          <w:color w:val="auto"/>
          <w:spacing w:val="0"/>
          <w:sz w:val="21"/>
          <w:szCs w:val="21"/>
          <w:shd w:val="clear" w:fill="FFFFFF"/>
        </w:rPr>
        <w:t>、供应商存在以下不良信用记录情形之一的，不得推荐为中标候选供应商，不得确定为中标供应商（仅以下述渠道查询结果为准，其他网站无效）：</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(1）供应商被人民法院列入失信被执行人的，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信用中国官（www.creditchina.gov.cn）；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(2）供应商被工商行政管理部门列入企业经营异常名录的，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(3）供应商被税务部门列入重大税收违法案件当事人名单的，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信用中国官网（www.creditchina.gov.cn）；</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auto"/>
          <w:spacing w:val="0"/>
          <w:sz w:val="24"/>
          <w:szCs w:val="24"/>
        </w:rPr>
      </w:pPr>
      <w:r>
        <w:rPr>
          <w:rFonts w:hint="eastAsia" w:ascii="宋体" w:hAnsi="宋体" w:eastAsia="宋体" w:cs="宋体"/>
          <w:i w:val="0"/>
          <w:caps w:val="0"/>
          <w:color w:val="auto"/>
          <w:spacing w:val="0"/>
          <w:sz w:val="21"/>
          <w:szCs w:val="21"/>
          <w:shd w:val="clear" w:fill="FFFFFF"/>
        </w:rPr>
        <w:t>(4）供应商被政府采购监管部门列入政府采购严重违法失信行为记录名单的，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fill="FFFFFF"/>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1月8日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1月12日。</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6"/>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1</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12</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9</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30</w:t>
      </w:r>
      <w:r>
        <w:rPr>
          <w:rFonts w:hint="eastAsia" w:ascii="宋体" w:hAnsi="宋体" w:cs="宋体"/>
          <w:i w:val="0"/>
          <w:caps w:val="0"/>
          <w:color w:val="auto"/>
          <w:spacing w:val="0"/>
          <w:sz w:val="21"/>
          <w:szCs w:val="21"/>
          <w:u w:val="none"/>
          <w:shd w:val="clear" w:color="auto" w:fill="FFFFFF"/>
          <w:lang w:val="en-US" w:eastAsia="zh-CN"/>
        </w:rPr>
        <w:t>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val="en-US" w:eastAsia="zh-CN"/>
        </w:rPr>
        <w:t xml:space="preserve"> </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王女士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yellow"/>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13515643230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20033，15305645253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（三）监督部门：安徽大别山国投集团监察办公室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地址：安徽霍山经济开发区高桥湾路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default" w:ascii="宋体" w:hAnsi="宋体" w:eastAsia="宋体" w:cs="宋体"/>
          <w:i w:val="0"/>
          <w:caps w:val="0"/>
          <w:color w:val="auto"/>
          <w:spacing w:val="0"/>
          <w:sz w:val="21"/>
          <w:szCs w:val="21"/>
          <w:shd w:val="clear" w:color="auto" w:fill="FFFFFF"/>
          <w:lang w:val="en-US" w:eastAsia="zh-CN"/>
        </w:rPr>
        <w:t>电话：0564-5020180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贰仟陆佰元整</w:t>
      </w:r>
      <w:r>
        <w:rPr>
          <w:rFonts w:hint="eastAsia" w:asciiTheme="majorEastAsia" w:hAnsiTheme="majorEastAsia" w:eastAsiaTheme="majorEastAsia" w:cstheme="majorEastAsia"/>
          <w:i w:val="0"/>
          <w:caps w:val="0"/>
          <w:color w:val="auto"/>
          <w:spacing w:val="0"/>
          <w:sz w:val="21"/>
          <w:szCs w:val="21"/>
          <w:shd w:val="clear" w:color="auto" w:fill="FFFFFF"/>
          <w:lang w:val="en-US" w:eastAsia="zh-CN"/>
        </w:rPr>
        <w:t>(¥2600.00</w:t>
      </w:r>
      <w:r>
        <w:rPr>
          <w:rFonts w:hint="eastAsia" w:ascii="宋体" w:hAnsi="宋体" w:cs="宋体"/>
          <w:i w:val="0"/>
          <w:caps w:val="0"/>
          <w:color w:val="auto"/>
          <w:spacing w:val="0"/>
          <w:sz w:val="21"/>
          <w:szCs w:val="21"/>
          <w:shd w:val="clear" w:color="auto" w:fill="FFFFFF"/>
          <w:lang w:val="en-US" w:eastAsia="zh-CN"/>
        </w:rPr>
        <w:t>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1月8日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3"/>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霍山县矿产资源开发有限责任公司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w:t>
            </w:r>
            <w:r>
              <w:rPr>
                <w:rFonts w:hint="default" w:ascii="宋体" w:hAnsi="宋体" w:cs="宋体"/>
                <w:i w:val="0"/>
                <w:caps w:val="0"/>
                <w:color w:val="auto"/>
                <w:spacing w:val="0"/>
                <w:sz w:val="21"/>
                <w:szCs w:val="21"/>
                <w:highlight w:val="none"/>
                <w:shd w:val="clear" w:color="auto" w:fill="FFFFFF"/>
                <w:lang w:val="en-US" w:eastAsia="zh-CN"/>
              </w:rPr>
              <w:t>衡山镇南岳西路8号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王女士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13515643230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徐女士</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高桥湾石料加工点控制室采购项目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3"/>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4"/>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4"/>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壹拾叁万元整</w:t>
            </w:r>
            <w:r>
              <w:rPr>
                <w:rFonts w:hint="eastAsia" w:ascii="宋体" w:hAnsi="宋体" w:eastAsia="宋体" w:cs="宋体"/>
                <w:b w:val="0"/>
                <w:bCs w:val="0"/>
                <w:color w:val="auto"/>
                <w:spacing w:val="0"/>
                <w:kern w:val="2"/>
                <w:sz w:val="21"/>
                <w:szCs w:val="21"/>
                <w:highlight w:val="none"/>
                <w:lang w:val="en-US" w:eastAsia="zh-CN" w:bidi="ar-SA"/>
              </w:rPr>
              <w:t>（￥</w:t>
            </w:r>
            <w:r>
              <w:rPr>
                <w:rFonts w:hint="eastAsia" w:cs="宋体"/>
                <w:b w:val="0"/>
                <w:bCs w:val="0"/>
                <w:color w:val="auto"/>
                <w:spacing w:val="0"/>
                <w:kern w:val="2"/>
                <w:sz w:val="21"/>
                <w:szCs w:val="21"/>
                <w:highlight w:val="none"/>
                <w:lang w:val="en-US" w:eastAsia="zh-CN" w:bidi="ar-SA"/>
              </w:rPr>
              <w:t>130000</w:t>
            </w:r>
            <w:r>
              <w:rPr>
                <w:rFonts w:hint="eastAsia" w:ascii="宋体" w:hAnsi="宋体" w:eastAsia="宋体" w:cs="宋体"/>
                <w:b w:val="0"/>
                <w:bCs w:val="0"/>
                <w:color w:val="auto"/>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4"/>
                <w:kern w:val="2"/>
                <w:sz w:val="21"/>
                <w:szCs w:val="21"/>
                <w:highlight w:val="none"/>
                <w:lang w:val="en-US" w:eastAsia="zh-CN" w:bidi="ar-SA"/>
              </w:rPr>
              <w:t>货到安装后验收合格并开具13%增值税发票付至合同总金额的95%，余款5%质保金一年后无息付清。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4"/>
                <w:kern w:val="2"/>
                <w:sz w:val="21"/>
                <w:szCs w:val="21"/>
                <w:highlight w:val="none"/>
                <w:lang w:val="en-US" w:eastAsia="zh-CN" w:bidi="ar-SA"/>
              </w:rPr>
              <w:t>合同签订后，十日内完成安装调试。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zh-CN" w:eastAsia="zh-CN" w:bidi="ar-SA"/>
              </w:rPr>
              <w:t>验收合格之日起</w:t>
            </w:r>
            <w:r>
              <w:rPr>
                <w:rFonts w:hint="eastAsia" w:ascii="宋体" w:hAnsi="宋体" w:eastAsia="宋体" w:cs="宋体"/>
                <w:b w:val="0"/>
                <w:bCs w:val="0"/>
                <w:color w:val="auto"/>
                <w:spacing w:val="-4"/>
                <w:kern w:val="2"/>
                <w:sz w:val="21"/>
                <w:szCs w:val="21"/>
                <w:highlight w:val="none"/>
                <w:lang w:val="en-US" w:eastAsia="zh-CN" w:bidi="ar-SA"/>
              </w:rPr>
              <w:t>一年</w:t>
            </w:r>
            <w:r>
              <w:rPr>
                <w:rFonts w:hint="eastAsia" w:ascii="宋体" w:hAnsi="宋体" w:eastAsia="宋体" w:cs="宋体"/>
                <w:b w:val="0"/>
                <w:bCs w:val="0"/>
                <w:color w:val="auto"/>
                <w:spacing w:val="-4"/>
                <w:kern w:val="2"/>
                <w:sz w:val="21"/>
                <w:szCs w:val="21"/>
                <w:highlight w:val="none"/>
                <w:lang w:val="zh-CN"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本项目无需报名，</w:t>
            </w:r>
            <w:r>
              <w:rPr>
                <w:rFonts w:hint="eastAsia" w:ascii="宋体" w:hAnsi="宋体"/>
                <w:color w:val="auto"/>
                <w:spacing w:val="0"/>
                <w:szCs w:val="21"/>
                <w:highlight w:val="none"/>
              </w:rPr>
              <w:t>有意参加投标的投标企业在投标截止时间前将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6"/>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eastAsia="宋体" w:cs="宋体"/>
                <w:color w:val="auto"/>
                <w:spacing w:val="0"/>
                <w:sz w:val="21"/>
                <w:szCs w:val="21"/>
                <w:highlight w:val="none"/>
              </w:rPr>
              <w:t>合同价的</w:t>
            </w:r>
            <w:r>
              <w:rPr>
                <w:rFonts w:hint="eastAsia" w:ascii="宋体" w:hAnsi="宋体" w:cs="宋体"/>
                <w:color w:val="auto"/>
                <w:spacing w:val="0"/>
                <w:sz w:val="21"/>
                <w:szCs w:val="21"/>
                <w:highlight w:val="none"/>
                <w:u w:val="single"/>
                <w:lang w:val="en-US" w:eastAsia="zh-CN"/>
              </w:rPr>
              <w:t>5</w:t>
            </w:r>
            <w:r>
              <w:rPr>
                <w:rFonts w:hint="eastAsia" w:ascii="宋体" w:hAnsi="宋体" w:eastAsia="宋体" w:cs="宋体"/>
                <w:color w:val="auto"/>
                <w:spacing w:val="0"/>
                <w:sz w:val="21"/>
                <w:szCs w:val="21"/>
                <w:highlight w:val="none"/>
              </w:rPr>
              <w:t>%，期限：</w:t>
            </w:r>
            <w:r>
              <w:rPr>
                <w:rFonts w:hint="eastAsia" w:ascii="宋体" w:hAnsi="宋体" w:cs="宋体"/>
                <w:color w:val="auto"/>
                <w:spacing w:val="0"/>
                <w:sz w:val="21"/>
                <w:szCs w:val="21"/>
                <w:highlight w:val="none"/>
                <w:lang w:eastAsia="zh-CN"/>
              </w:rPr>
              <w:t>产品到达指定现场后，全额退还全部履约保证金</w:t>
            </w:r>
            <w:r>
              <w:rPr>
                <w:rFonts w:hint="eastAsia" w:ascii="宋体" w:hAnsi="宋体" w:eastAsia="宋体" w:cs="宋体"/>
                <w:color w:val="auto"/>
                <w:spacing w:val="0"/>
                <w:sz w:val="21"/>
                <w:szCs w:val="21"/>
                <w:highlight w:val="none"/>
              </w:rPr>
              <w:t>。收受方式为：</w:t>
            </w:r>
            <w:r>
              <w:rPr>
                <w:rFonts w:hint="eastAsia" w:ascii="宋体" w:hAnsi="宋体" w:eastAsia="宋体" w:cs="宋体"/>
                <w:color w:val="auto"/>
                <w:spacing w:val="0"/>
                <w:sz w:val="21"/>
                <w:szCs w:val="21"/>
                <w:highlight w:val="none"/>
                <w:shd w:val="clear" w:color="auto" w:fill="FFFFFF"/>
              </w:rPr>
              <w:t>☑</w:t>
            </w:r>
            <w:r>
              <w:rPr>
                <w:rFonts w:hint="eastAsia" w:ascii="宋体" w:hAnsi="宋体" w:eastAsia="宋体" w:cs="宋体"/>
                <w:color w:val="auto"/>
                <w:spacing w:val="0"/>
                <w:sz w:val="21"/>
                <w:szCs w:val="21"/>
                <w:highlight w:val="none"/>
                <w:u w:val="single"/>
              </w:rPr>
              <w:t>转账/电汇、□保函</w:t>
            </w:r>
            <w:r>
              <w:rPr>
                <w:rFonts w:hint="eastAsia" w:ascii="宋体" w:hAnsi="宋体" w:eastAsia="宋体" w:cs="宋体"/>
                <w:color w:val="auto"/>
                <w:spacing w:val="0"/>
                <w:sz w:val="21"/>
                <w:szCs w:val="21"/>
                <w:highlight w:val="none"/>
              </w:rPr>
              <w:t>，收受人为</w:t>
            </w:r>
            <w:r>
              <w:rPr>
                <w:rFonts w:hint="eastAsia" w:ascii="宋体" w:hAnsi="宋体" w:cs="宋体"/>
                <w:color w:val="auto"/>
                <w:spacing w:val="0"/>
                <w:sz w:val="21"/>
                <w:szCs w:val="21"/>
                <w:highlight w:val="none"/>
                <w:shd w:val="clear" w:color="auto" w:fill="FFFFFF"/>
                <w:lang w:eastAsia="zh-CN"/>
              </w:rPr>
              <w:t>☑</w:t>
            </w:r>
            <w:r>
              <w:rPr>
                <w:rFonts w:hint="eastAsia" w:ascii="宋体" w:hAnsi="宋体" w:eastAsia="宋体" w:cs="宋体"/>
                <w:color w:val="auto"/>
                <w:spacing w:val="0"/>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备注一</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5"/>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p>
            <w:pPr>
              <w:pStyle w:val="35"/>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eastAsia="宋体" w:cs="宋体"/>
                <w:b/>
                <w:bCs/>
                <w:color w:val="auto"/>
                <w:spacing w:val="0"/>
                <w:sz w:val="21"/>
                <w:szCs w:val="21"/>
                <w:highlight w:val="none"/>
              </w:rPr>
              <w:t>如有虚假，将取消成交资格并上报</w:t>
            </w:r>
            <w:r>
              <w:rPr>
                <w:rFonts w:hint="eastAsia" w:ascii="宋体" w:hAnsi="宋体" w:cs="宋体"/>
                <w:b/>
                <w:bCs/>
                <w:color w:val="auto"/>
                <w:spacing w:val="0"/>
                <w:sz w:val="21"/>
                <w:szCs w:val="21"/>
                <w:highlight w:val="none"/>
                <w:lang w:val="en-US" w:eastAsia="zh-CN"/>
              </w:rPr>
              <w:t>安徽大别山国投集团</w:t>
            </w:r>
            <w:r>
              <w:rPr>
                <w:rFonts w:hint="eastAsia" w:ascii="宋体" w:hAnsi="宋体" w:eastAsia="宋体" w:cs="宋体"/>
                <w:b/>
                <w:bCs/>
                <w:color w:val="auto"/>
                <w:spacing w:val="0"/>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5"/>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w:t>
            </w:r>
            <w:r>
              <w:rPr>
                <w:rFonts w:hint="eastAsia" w:ascii="宋体" w:hAnsi="宋体" w:eastAsia="宋体" w:cs="宋体"/>
                <w:b/>
                <w:bCs/>
                <w:color w:val="auto"/>
                <w:spacing w:val="0"/>
                <w:szCs w:val="22"/>
                <w:highlight w:val="none"/>
                <w:lang w:val="en-US" w:eastAsia="zh-CN"/>
              </w:rPr>
              <w:t>人支付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6"/>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216158625"/>
      <w:bookmarkStart w:id="13" w:name="_Toc12806"/>
      <w:bookmarkStart w:id="14" w:name="_Toc363199266"/>
      <w:bookmarkStart w:id="15" w:name="_Toc438648662"/>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安徽</w:t>
      </w:r>
      <w:r>
        <w:rPr>
          <w:rFonts w:hint="eastAsia" w:ascii="宋体" w:hAnsi="宋体" w:cs="宋体"/>
          <w:color w:val="auto"/>
          <w:szCs w:val="21"/>
          <w:lang w:val="en-US" w:eastAsia="zh-CN"/>
        </w:rPr>
        <w:t>大别山</w:t>
      </w:r>
      <w:r>
        <w:rPr>
          <w:rFonts w:hint="eastAsia" w:ascii="宋体" w:hAnsi="宋体" w:cs="宋体"/>
          <w:color w:val="auto"/>
          <w:szCs w:val="21"/>
          <w:lang w:eastAsia="zh-CN"/>
        </w:rPr>
        <w:t>国投集团监察办公室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0"/>
    <w:bookmarkEnd w:id="11"/>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谈判或向安徽大别山国投集团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31686"/>
      <w:bookmarkStart w:id="22" w:name="_Toc471299093"/>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2天将质疑电子版及纸质版（需加盖供应商公章）提交至327960289@qq.com，质疑纸质版需送至安徽大别山工程咨询有限公司207办公室。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6"/>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8300_WPSOffice_Level1"/>
      <w:bookmarkStart w:id="32" w:name="_Toc25805"/>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5"/>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color w:val="auto"/>
          <w:sz w:val="28"/>
          <w:szCs w:val="28"/>
          <w:lang w:eastAsia="zh-CN"/>
        </w:rPr>
      </w:pPr>
      <w:r>
        <w:rPr>
          <w:rFonts w:hint="eastAsia" w:ascii="宋体" w:hAnsi="宋体" w:eastAsia="宋体" w:cs="宋体"/>
          <w:b/>
          <w:color w:val="auto"/>
          <w:kern w:val="0"/>
          <w:sz w:val="30"/>
          <w:szCs w:val="30"/>
          <w:lang w:val="en-US" w:eastAsia="zh-CN" w:bidi="ar-SA"/>
        </w:rPr>
        <w:t>采购需求</w:t>
      </w:r>
      <w:bookmarkStart w:id="36" w:name="_Toc4288_WPSOffice_Level1"/>
      <w:bookmarkStart w:id="37" w:name="_Toc11297"/>
    </w:p>
    <w:tbl>
      <w:tblPr>
        <w:tblW w:w="9580" w:type="dxa"/>
        <w:tblInd w:w="0" w:type="dxa"/>
        <w:shd w:val="clear"/>
        <w:tblLayout w:type="autofit"/>
        <w:tblCellMar>
          <w:top w:w="0" w:type="dxa"/>
          <w:left w:w="0" w:type="dxa"/>
          <w:bottom w:w="0" w:type="dxa"/>
          <w:right w:w="0" w:type="dxa"/>
        </w:tblCellMar>
      </w:tblPr>
      <w:tblGrid>
        <w:gridCol w:w="1530"/>
        <w:gridCol w:w="4620"/>
        <w:gridCol w:w="1650"/>
        <w:gridCol w:w="1785"/>
      </w:tblGrid>
      <w:tr>
        <w:tblPrEx>
          <w:tblCellMar>
            <w:top w:w="0" w:type="dxa"/>
            <w:left w:w="0" w:type="dxa"/>
            <w:bottom w:w="0" w:type="dxa"/>
            <w:right w:w="0" w:type="dxa"/>
          </w:tblCellMar>
        </w:tblPrEx>
        <w:trPr>
          <w:trHeight w:val="780" w:hRule="atLeast"/>
        </w:trPr>
        <w:tc>
          <w:tcPr>
            <w:tcW w:w="9585" w:type="dxa"/>
            <w:gridSpan w:val="4"/>
            <w:tcBorders>
              <w:top w:val="single" w:color="000000" w:sz="4" w:space="0"/>
              <w:left w:val="single" w:color="000000" w:sz="4" w:space="0"/>
              <w:bottom w:val="single" w:color="000000" w:sz="4" w:space="0"/>
              <w:right w:val="single" w:color="000000" w:sz="4" w:space="0"/>
            </w:tcBorders>
            <w:shd w:val="clear"/>
            <w:noWrap/>
            <w:tcMar>
              <w:top w:w="10" w:type="dxa"/>
              <w:left w:w="10" w:type="dxa"/>
              <w:right w:w="10" w:type="dxa"/>
            </w:tcMar>
            <w:vAlign w:val="center"/>
          </w:tcPr>
          <w:p>
            <w:pPr>
              <w:keepNext w:val="0"/>
              <w:keepLines w:val="0"/>
              <w:widowControl/>
              <w:suppressLineNumbers w:val="0"/>
              <w:jc w:val="center"/>
              <w:textAlignment w:val="center"/>
              <w:rPr>
                <w:rFonts w:ascii="方正仿宋简体" w:hAnsi="方正仿宋简体" w:eastAsia="方正仿宋简体" w:cs="方正仿宋简体"/>
                <w:b/>
                <w:i w:val="0"/>
                <w:color w:val="000000"/>
                <w:sz w:val="44"/>
                <w:szCs w:val="44"/>
                <w:u w:val="none"/>
              </w:rPr>
            </w:pPr>
            <w:r>
              <w:rPr>
                <w:rFonts w:hint="default" w:ascii="方正仿宋简体" w:hAnsi="方正仿宋简体" w:eastAsia="方正仿宋简体" w:cs="方正仿宋简体"/>
                <w:b/>
                <w:i w:val="0"/>
                <w:color w:val="000000"/>
                <w:kern w:val="0"/>
                <w:sz w:val="44"/>
                <w:szCs w:val="44"/>
                <w:u w:val="none"/>
                <w:bdr w:val="none" w:color="auto" w:sz="0" w:space="0"/>
                <w:lang w:val="en-US" w:eastAsia="zh-CN" w:bidi="ar"/>
              </w:rPr>
              <w:t>模块化箱房配置单</w:t>
            </w:r>
          </w:p>
        </w:tc>
      </w:tr>
      <w:tr>
        <w:tblPrEx>
          <w:shd w:val="clear"/>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bottom"/>
          </w:tcPr>
          <w:p>
            <w:pPr>
              <w:rPr>
                <w:rFonts w:hint="eastAsia" w:ascii="Tahoma" w:hAnsi="Tahoma" w:eastAsia="Tahoma" w:cs="Tahoma"/>
                <w:i w:val="0"/>
                <w:color w:val="000000"/>
                <w:sz w:val="22"/>
                <w:szCs w:val="2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名称</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单位</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数量</w:t>
            </w:r>
          </w:p>
        </w:tc>
      </w:tr>
      <w:tr>
        <w:tblPrEx>
          <w:shd w:val="clear"/>
          <w:tblCellMar>
            <w:top w:w="0" w:type="dxa"/>
            <w:left w:w="0" w:type="dxa"/>
            <w:bottom w:w="0" w:type="dxa"/>
            <w:right w:w="0" w:type="dxa"/>
          </w:tblCellMar>
        </w:tblPrEx>
        <w:trPr>
          <w:trHeight w:val="680" w:hRule="atLeast"/>
        </w:trPr>
        <w:tc>
          <w:tcPr>
            <w:tcW w:w="1530" w:type="dxa"/>
            <w:vMerge w:val="restart"/>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32"/>
                <w:szCs w:val="32"/>
                <w:u w:val="none"/>
              </w:rPr>
            </w:pP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顶</w:t>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框</w:t>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架</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3.0mm镀锌成型横梁，镀锌含量80g/㎡，160宽7633mm长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shd w:val="clear"/>
          <w:tblCellMar>
            <w:top w:w="0" w:type="dxa"/>
            <w:left w:w="0" w:type="dxa"/>
            <w:bottom w:w="0" w:type="dxa"/>
            <w:right w:w="0" w:type="dxa"/>
          </w:tblCellMar>
        </w:tblPrEx>
        <w:trPr>
          <w:trHeight w:val="8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3.0mm镀锌成型横梁，镀锌含量80g/㎡，160宽2688mm长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shd w:val="clear"/>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镀锌C90*1.3mm横撑，镀锌含量80g/㎡</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7.00 </w:t>
            </w:r>
          </w:p>
        </w:tc>
      </w:tr>
      <w:tr>
        <w:tblPrEx>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20*20*1.0mm镀锌方管，镀锌含量80g/㎡</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shd w:val="clear"/>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W挡水板，镀锌含量80g/㎡</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个</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4.00 </w:t>
            </w:r>
          </w:p>
        </w:tc>
      </w:tr>
      <w:tr>
        <w:tblPrEx>
          <w:tblCellMar>
            <w:top w:w="0" w:type="dxa"/>
            <w:left w:w="0" w:type="dxa"/>
            <w:bottom w:w="0" w:type="dxa"/>
            <w:right w:w="0" w:type="dxa"/>
          </w:tblCellMar>
        </w:tblPrEx>
        <w:trPr>
          <w:trHeight w:val="660" w:hRule="atLeast"/>
        </w:trPr>
        <w:tc>
          <w:tcPr>
            <w:tcW w:w="1530" w:type="dxa"/>
            <w:vMerge w:val="restart"/>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32"/>
                <w:szCs w:val="32"/>
                <w:u w:val="none"/>
              </w:rPr>
            </w:pP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底</w:t>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框</w:t>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架</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3.0mm镀锌成型横梁，镀锌含量80g/㎡，160宽7633mm长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tblCellMar>
            <w:top w:w="0" w:type="dxa"/>
            <w:left w:w="0" w:type="dxa"/>
            <w:bottom w:w="0" w:type="dxa"/>
            <w:right w:w="0" w:type="dxa"/>
          </w:tblCellMar>
        </w:tblPrEx>
        <w:trPr>
          <w:trHeight w:val="66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3.0mm镀锌成型横梁，镀锌含量80g/㎡，160宽2688mm长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shd w:val="clear"/>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下横梁角钢泛水,7633mm</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shd w:val="clear"/>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下横梁角钢泛水，2688mm</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shd w:val="clear"/>
          <w:tblCellMar>
            <w:top w:w="0" w:type="dxa"/>
            <w:left w:w="0" w:type="dxa"/>
            <w:bottom w:w="0" w:type="dxa"/>
            <w:right w:w="0" w:type="dxa"/>
          </w:tblCellMar>
        </w:tblPrEx>
        <w:trPr>
          <w:trHeight w:val="64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镀锌50#*2.0mm镀锌横撑，镀锌含量80g/㎡</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5.00 </w:t>
            </w:r>
          </w:p>
        </w:tc>
      </w:tr>
      <w:tr>
        <w:tblPrEx>
          <w:shd w:val="clear"/>
          <w:tblCellMar>
            <w:top w:w="0" w:type="dxa"/>
            <w:left w:w="0" w:type="dxa"/>
            <w:bottom w:w="0" w:type="dxa"/>
            <w:right w:w="0" w:type="dxa"/>
          </w:tblCellMar>
        </w:tblPrEx>
        <w:trPr>
          <w:trHeight w:val="66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镀锌方管50*100*1.2mm镀锌横撑，镀锌含量80g/㎡</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4.00 </w:t>
            </w:r>
          </w:p>
        </w:tc>
      </w:tr>
      <w:tr>
        <w:tblPrEx>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泛水槽一体件，L7633mm</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泛水槽一体件，L2688mm</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tblCellMar>
            <w:top w:w="0" w:type="dxa"/>
            <w:left w:w="0" w:type="dxa"/>
            <w:bottom w:w="0" w:type="dxa"/>
            <w:right w:w="0" w:type="dxa"/>
          </w:tblCellMar>
        </w:tblPrEx>
        <w:trPr>
          <w:trHeight w:val="660" w:hRule="atLeast"/>
        </w:trPr>
        <w:tc>
          <w:tcPr>
            <w:tcW w:w="1530" w:type="dxa"/>
            <w:vMerge w:val="restart"/>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32"/>
                <w:szCs w:val="32"/>
                <w:u w:val="none"/>
              </w:rPr>
            </w:pP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立</w:t>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32"/>
                <w:szCs w:val="32"/>
                <w:u w:val="none"/>
                <w:bdr w:val="none" w:color="auto" w:sz="0" w:space="0"/>
                <w:lang w:val="en-US" w:eastAsia="zh-CN" w:bidi="ar"/>
              </w:rPr>
              <w:t>柱</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3.0mm镀锌立柱，镀锌含量80g/㎡  210宽，150宽</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4.00 </w:t>
            </w:r>
          </w:p>
        </w:tc>
      </w:tr>
      <w:tr>
        <w:tblPrEx>
          <w:shd w:val="clear"/>
          <w:tblCellMar>
            <w:top w:w="0" w:type="dxa"/>
            <w:left w:w="0" w:type="dxa"/>
            <w:bottom w:w="0" w:type="dxa"/>
            <w:right w:w="0" w:type="dxa"/>
          </w:tblCellMar>
        </w:tblPrEx>
        <w:trPr>
          <w:trHeight w:val="5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32"/>
                <w:szCs w:val="32"/>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连接件8.0mm，镀锌含量80g/㎡</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8.00 </w:t>
            </w:r>
          </w:p>
        </w:tc>
      </w:tr>
      <w:tr>
        <w:tblPrEx>
          <w:shd w:val="clear"/>
          <w:tblCellMar>
            <w:top w:w="0" w:type="dxa"/>
            <w:left w:w="0" w:type="dxa"/>
            <w:bottom w:w="0" w:type="dxa"/>
            <w:right w:w="0" w:type="dxa"/>
          </w:tblCellMar>
        </w:tblPrEx>
        <w:trPr>
          <w:trHeight w:val="720" w:hRule="atLeast"/>
        </w:trPr>
        <w:tc>
          <w:tcPr>
            <w:tcW w:w="1530" w:type="dxa"/>
            <w:vMerge w:val="restart"/>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镀</w:t>
            </w: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锌</w:t>
            </w: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角</w:t>
            </w: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br w:type="textWrapping"/>
            </w: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件</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3.5mm  上角件，镀锌含量80g/㎡ 210*150*210mm</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个</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4.00 </w:t>
            </w:r>
          </w:p>
        </w:tc>
      </w:tr>
      <w:tr>
        <w:tblPrEx>
          <w:tblCellMar>
            <w:top w:w="0" w:type="dxa"/>
            <w:left w:w="0" w:type="dxa"/>
            <w:bottom w:w="0" w:type="dxa"/>
            <w:right w:w="0" w:type="dxa"/>
          </w:tblCellMar>
        </w:tblPrEx>
        <w:trPr>
          <w:trHeight w:val="700" w:hRule="atLeast"/>
        </w:trPr>
        <w:tc>
          <w:tcPr>
            <w:tcW w:w="1530" w:type="dxa"/>
            <w:vMerge w:val="continue"/>
            <w:tcBorders>
              <w:top w:val="single" w:color="000000" w:sz="4" w:space="0"/>
              <w:left w:val="single" w:color="000000" w:sz="4" w:space="0"/>
              <w:bottom w:val="single" w:color="000000" w:sz="4" w:space="0"/>
              <w:right w:val="nil"/>
            </w:tcBorders>
            <w:shd w:val="clear"/>
            <w:tcMar>
              <w:top w:w="10" w:type="dxa"/>
              <w:left w:w="10" w:type="dxa"/>
              <w:right w:w="10" w:type="dxa"/>
            </w:tcMar>
            <w:vAlign w:val="center"/>
          </w:tcPr>
          <w:p>
            <w:pPr>
              <w:jc w:val="center"/>
              <w:rPr>
                <w:rFonts w:hint="default" w:ascii="方正仿宋简体" w:hAnsi="方正仿宋简体" w:eastAsia="方正仿宋简体" w:cs="方正仿宋简体"/>
                <w:b/>
                <w:i w:val="0"/>
                <w:color w:val="000000"/>
                <w:sz w:val="24"/>
                <w:szCs w:val="24"/>
                <w:u w:val="none"/>
              </w:rPr>
            </w:pP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3.5mm  下角件，镀锌含量80g/㎡ 210*150*160mm</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个</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4.00 </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单瓦封顶</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0.4mm彩钢单瓦，360度咬合，特殊防水方法</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shd w:val="clear"/>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防潮</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防潮膜，PE树脂薄膜1.0mm</w:t>
            </w:r>
          </w:p>
        </w:tc>
        <w:tc>
          <w:tcPr>
            <w:tcW w:w="1650" w:type="dxa"/>
            <w:vMerge w:val="restart"/>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vMerge w:val="restart"/>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75</w:t>
            </w:r>
            <w:r>
              <w:rPr>
                <w:rStyle w:val="51"/>
                <w:bdr w:val="none" w:color="auto" w:sz="0" w:space="0"/>
                <w:lang w:val="en-US" w:eastAsia="zh-CN" w:bidi="ar"/>
              </w:rPr>
              <w:t>玻璃棉</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Style w:val="52"/>
                <w:bdr w:val="none" w:color="auto" w:sz="0" w:space="0"/>
                <w:lang w:val="en-US" w:eastAsia="zh-CN" w:bidi="ar"/>
              </w:rPr>
              <w:t>75mm玻璃丝绵保温棉被14kg/m</w:t>
            </w:r>
            <w:r>
              <w:rPr>
                <w:rStyle w:val="53"/>
                <w:bdr w:val="none" w:color="auto" w:sz="0" w:space="0"/>
                <w:lang w:val="en-US" w:eastAsia="zh-CN" w:bidi="ar"/>
              </w:rPr>
              <w:t>³</w:t>
            </w:r>
          </w:p>
        </w:tc>
        <w:tc>
          <w:tcPr>
            <w:tcW w:w="1650" w:type="dxa"/>
            <w:vMerge w:val="continue"/>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jc w:val="center"/>
              <w:rPr>
                <w:rFonts w:hint="default" w:ascii="方正仿宋简体" w:hAnsi="方正仿宋简体" w:eastAsia="方正仿宋简体" w:cs="方正仿宋简体"/>
                <w:i w:val="0"/>
                <w:color w:val="000000"/>
                <w:sz w:val="22"/>
                <w:szCs w:val="22"/>
                <w:u w:val="none"/>
              </w:rPr>
            </w:pPr>
          </w:p>
        </w:tc>
        <w:tc>
          <w:tcPr>
            <w:tcW w:w="1785" w:type="dxa"/>
            <w:vMerge w:val="continue"/>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jc w:val="center"/>
              <w:rPr>
                <w:rFonts w:hint="default" w:ascii="方正仿宋简体" w:hAnsi="方正仿宋简体" w:eastAsia="方正仿宋简体" w:cs="方正仿宋简体"/>
                <w:i w:val="0"/>
                <w:color w:val="000000"/>
                <w:sz w:val="22"/>
                <w:szCs w:val="22"/>
                <w:u w:val="none"/>
              </w:rPr>
            </w:pPr>
          </w:p>
        </w:tc>
      </w:tr>
      <w:tr>
        <w:tblPrEx>
          <w:shd w:val="clear"/>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颜色</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静电喷涂室外专用涂料，烤漆工艺，珍珠白</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螺栓</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内六角(镀锌）</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个</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48.00 </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落水管</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50落水管</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4.00 </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吊顶瓦</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0.4mm，831彩钢集成吊顶板，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shd w:val="clear"/>
          <w:tblCellMar>
            <w:top w:w="0" w:type="dxa"/>
            <w:left w:w="0" w:type="dxa"/>
            <w:bottom w:w="0" w:type="dxa"/>
            <w:right w:w="0" w:type="dxa"/>
          </w:tblCellMar>
        </w:tblPrEx>
        <w:trPr>
          <w:trHeight w:val="66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水泥纤维板</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18mm厚，1177*2820mm</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张</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5.00 </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塑胶地板</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1.6mm，防磨防滑塑胶</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shd w:val="clear"/>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踢脚线</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PVC材质，含固定配件，7.8m/支</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3.00 </w:t>
            </w:r>
          </w:p>
        </w:tc>
      </w:tr>
      <w:tr>
        <w:tblPrEx>
          <w:shd w:val="clear"/>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阴角线</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PVC材质，含固定配件，7.8m/支</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支</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4.00 </w:t>
            </w:r>
          </w:p>
        </w:tc>
      </w:tr>
      <w:tr>
        <w:tblPrEx>
          <w:tblCellMar>
            <w:top w:w="0" w:type="dxa"/>
            <w:left w:w="0" w:type="dxa"/>
            <w:bottom w:w="0" w:type="dxa"/>
            <w:right w:w="0" w:type="dxa"/>
          </w:tblCellMar>
        </w:tblPrEx>
        <w:trPr>
          <w:trHeight w:val="58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高档钢质门</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840*2035mm.（1150型墙板）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tblCellMar>
            <w:top w:w="0" w:type="dxa"/>
            <w:left w:w="0" w:type="dxa"/>
            <w:bottom w:w="0" w:type="dxa"/>
            <w:right w:w="0" w:type="dxa"/>
          </w:tblCellMar>
        </w:tblPrEx>
        <w:trPr>
          <w:trHeight w:val="72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塑钢防盗窗</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 1130*1130 双玻双推  （1150型墙板）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2.00 </w:t>
            </w:r>
          </w:p>
        </w:tc>
      </w:tr>
      <w:tr>
        <w:tblPrEx>
          <w:tblCellMar>
            <w:top w:w="0" w:type="dxa"/>
            <w:left w:w="0" w:type="dxa"/>
            <w:bottom w:w="0" w:type="dxa"/>
            <w:right w:w="0" w:type="dxa"/>
          </w:tblCellMar>
        </w:tblPrEx>
        <w:trPr>
          <w:trHeight w:val="5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辅材</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螺钉，密封胶，内部箱体连接件。</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shd w:val="clear"/>
          <w:tblCellMar>
            <w:top w:w="0" w:type="dxa"/>
            <w:left w:w="0" w:type="dxa"/>
            <w:bottom w:w="0" w:type="dxa"/>
            <w:right w:w="0" w:type="dxa"/>
          </w:tblCellMar>
        </w:tblPrEx>
        <w:trPr>
          <w:trHeight w:val="240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高级电配</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Style w:val="52"/>
                <w:bdr w:val="none" w:color="auto" w:sz="0" w:space="0"/>
                <w:lang w:val="en-US" w:eastAsia="zh-CN" w:bidi="ar"/>
              </w:rPr>
              <w:t>工业插座盒+工业插座（1套） 配电箱J-6 （1个），1个漏保（32A），1个断路器（2P32A)，断路器（1P16A)。4个五孔插座(10A)，单开开关1个，1个三孔插座（16A)，长型灯2个,主线3*6m</w:t>
            </w:r>
            <w:r>
              <w:rPr>
                <w:rStyle w:val="53"/>
                <w:bdr w:val="none" w:color="auto" w:sz="0" w:space="0"/>
                <w:lang w:val="en-US" w:eastAsia="zh-CN" w:bidi="ar"/>
              </w:rPr>
              <w:t>²</w:t>
            </w:r>
            <w:r>
              <w:rPr>
                <w:rStyle w:val="52"/>
                <w:bdr w:val="none" w:color="auto" w:sz="0" w:space="0"/>
                <w:lang w:val="en-US" w:eastAsia="zh-CN" w:bidi="ar"/>
              </w:rPr>
              <w:t>,三孔插座线（空调用）3*4m</w:t>
            </w:r>
            <w:r>
              <w:rPr>
                <w:rStyle w:val="53"/>
                <w:bdr w:val="none" w:color="auto" w:sz="0" w:space="0"/>
                <w:lang w:val="en-US" w:eastAsia="zh-CN" w:bidi="ar"/>
              </w:rPr>
              <w:t>²</w:t>
            </w:r>
            <w:r>
              <w:rPr>
                <w:rStyle w:val="52"/>
                <w:bdr w:val="none" w:color="auto" w:sz="0" w:space="0"/>
                <w:lang w:val="en-US" w:eastAsia="zh-CN" w:bidi="ar"/>
              </w:rPr>
              <w:t>。五孔插座线3*2.5m</w:t>
            </w:r>
            <w:r>
              <w:rPr>
                <w:rStyle w:val="53"/>
                <w:bdr w:val="none" w:color="auto" w:sz="0" w:space="0"/>
                <w:lang w:val="en-US" w:eastAsia="zh-CN" w:bidi="ar"/>
              </w:rPr>
              <w:t>²</w:t>
            </w:r>
            <w:r>
              <w:rPr>
                <w:rStyle w:val="52"/>
                <w:bdr w:val="none" w:color="auto" w:sz="0" w:space="0"/>
                <w:lang w:val="en-US" w:eastAsia="zh-CN" w:bidi="ar"/>
              </w:rPr>
              <w:t>.开关线2*1.5m</w:t>
            </w:r>
            <w:r>
              <w:rPr>
                <w:rStyle w:val="53"/>
                <w:bdr w:val="none" w:color="auto" w:sz="0" w:space="0"/>
                <w:lang w:val="en-US" w:eastAsia="zh-CN" w:bidi="ar"/>
              </w:rPr>
              <w:t>²</w:t>
            </w:r>
            <w:r>
              <w:rPr>
                <w:rStyle w:val="52"/>
                <w:bdr w:val="none" w:color="auto" w:sz="0" w:space="0"/>
                <w:lang w:val="en-US" w:eastAsia="zh-CN" w:bidi="ar"/>
              </w:rPr>
              <w:t>。均为暗线</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r>
        <w:tblPrEx>
          <w:shd w:val="clear"/>
          <w:tblCellMar>
            <w:top w:w="0" w:type="dxa"/>
            <w:left w:w="0" w:type="dxa"/>
            <w:bottom w:w="0" w:type="dxa"/>
            <w:right w:w="0" w:type="dxa"/>
          </w:tblCellMar>
        </w:tblPrEx>
        <w:trPr>
          <w:trHeight w:val="740" w:hRule="atLeast"/>
        </w:trPr>
        <w:tc>
          <w:tcPr>
            <w:tcW w:w="0" w:type="auto"/>
            <w:tcBorders>
              <w:top w:val="single" w:color="000000" w:sz="4" w:space="0"/>
              <w:left w:val="single" w:color="000000" w:sz="4" w:space="0"/>
              <w:bottom w:val="single" w:color="000000" w:sz="4" w:space="0"/>
              <w:right w:val="nil"/>
            </w:tcBorders>
            <w:shd w:val="clear"/>
            <w:noWrap/>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b/>
                <w:i w:val="0"/>
                <w:color w:val="000000"/>
                <w:sz w:val="24"/>
                <w:szCs w:val="24"/>
                <w:u w:val="none"/>
              </w:rPr>
            </w:pPr>
            <w:r>
              <w:rPr>
                <w:rFonts w:hint="default" w:ascii="方正仿宋简体" w:hAnsi="方正仿宋简体" w:eastAsia="方正仿宋简体" w:cs="方正仿宋简体"/>
                <w:b/>
                <w:i w:val="0"/>
                <w:color w:val="000000"/>
                <w:kern w:val="0"/>
                <w:sz w:val="24"/>
                <w:szCs w:val="24"/>
                <w:u w:val="none"/>
                <w:bdr w:val="none" w:color="auto" w:sz="0" w:space="0"/>
                <w:lang w:val="en-US" w:eastAsia="zh-CN" w:bidi="ar"/>
              </w:rPr>
              <w:t>1150型</w:t>
            </w:r>
          </w:p>
        </w:tc>
        <w:tc>
          <w:tcPr>
            <w:tcW w:w="462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Style w:val="52"/>
                <w:bdr w:val="none" w:color="auto" w:sz="0" w:space="0"/>
                <w:lang w:val="en-US" w:eastAsia="zh-CN" w:bidi="ar"/>
              </w:rPr>
              <w:t>75mm岩棉复合板,双面铁皮0.35/0.35mm 容重50kg/m</w:t>
            </w:r>
            <w:r>
              <w:rPr>
                <w:rStyle w:val="53"/>
                <w:bdr w:val="none" w:color="auto" w:sz="0" w:space="0"/>
                <w:lang w:val="en-US" w:eastAsia="zh-CN" w:bidi="ar"/>
              </w:rPr>
              <w:t>³</w:t>
            </w:r>
            <w:r>
              <w:rPr>
                <w:rStyle w:val="52"/>
                <w:bdr w:val="none" w:color="auto" w:sz="0" w:space="0"/>
                <w:lang w:val="en-US" w:eastAsia="zh-CN" w:bidi="ar"/>
              </w:rPr>
              <w:t>双面覆膜</w:t>
            </w:r>
          </w:p>
        </w:tc>
        <w:tc>
          <w:tcPr>
            <w:tcW w:w="1650"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套</w:t>
            </w:r>
          </w:p>
        </w:tc>
        <w:tc>
          <w:tcPr>
            <w:tcW w:w="1785" w:type="dxa"/>
            <w:tcBorders>
              <w:top w:val="single" w:color="000000" w:sz="4" w:space="0"/>
              <w:left w:val="single" w:color="000000" w:sz="4" w:space="0"/>
              <w:bottom w:val="single" w:color="000000" w:sz="4" w:space="0"/>
              <w:right w:val="single" w:color="000000" w:sz="4" w:space="0"/>
            </w:tcBorders>
            <w:shd w:val="clear"/>
            <w:tcMar>
              <w:top w:w="10" w:type="dxa"/>
              <w:left w:w="10" w:type="dxa"/>
              <w:right w:w="10" w:type="dxa"/>
            </w:tcMar>
            <w:vAlign w:val="center"/>
          </w:tcPr>
          <w:p>
            <w:pPr>
              <w:keepNext w:val="0"/>
              <w:keepLines w:val="0"/>
              <w:widowControl/>
              <w:suppressLineNumbers w:val="0"/>
              <w:jc w:val="center"/>
              <w:textAlignment w:val="center"/>
              <w:rPr>
                <w:rFonts w:hint="default" w:ascii="方正仿宋简体" w:hAnsi="方正仿宋简体" w:eastAsia="方正仿宋简体" w:cs="方正仿宋简体"/>
                <w:i w:val="0"/>
                <w:color w:val="000000"/>
                <w:sz w:val="22"/>
                <w:szCs w:val="22"/>
                <w:u w:val="none"/>
              </w:rPr>
            </w:pPr>
            <w:r>
              <w:rPr>
                <w:rFonts w:hint="default" w:ascii="方正仿宋简体" w:hAnsi="方正仿宋简体" w:eastAsia="方正仿宋简体" w:cs="方正仿宋简体"/>
                <w:i w:val="0"/>
                <w:color w:val="000000"/>
                <w:kern w:val="0"/>
                <w:sz w:val="22"/>
                <w:szCs w:val="22"/>
                <w:u w:val="none"/>
                <w:bdr w:val="none" w:color="auto" w:sz="0" w:space="0"/>
                <w:lang w:val="en-US" w:eastAsia="zh-CN" w:bidi="ar"/>
              </w:rPr>
              <w:t xml:space="preserve">1.00 </w:t>
            </w:r>
          </w:p>
        </w:tc>
      </w:tr>
    </w:tbl>
    <w:p>
      <w:pPr>
        <w:pStyle w:val="36"/>
        <w:adjustRightInd w:val="0"/>
        <w:spacing w:before="0" w:after="0" w:line="500" w:lineRule="exact"/>
        <w:jc w:val="both"/>
        <w:textAlignment w:val="baseline"/>
        <w:outlineLvl w:val="9"/>
        <w:rPr>
          <w:rFonts w:hint="eastAsia" w:cs="宋体"/>
          <w:color w:val="000000"/>
          <w:szCs w:val="22"/>
        </w:rPr>
      </w:pPr>
      <w:r>
        <w:rPr>
          <w:rFonts w:hint="eastAsia" w:cs="宋体"/>
          <w:color w:val="000000"/>
          <w:szCs w:val="22"/>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rPr>
          <w:rFonts w:hint="eastAsia" w:cs="宋体"/>
          <w:color w:val="000000"/>
          <w:szCs w:val="22"/>
        </w:rPr>
      </w:pPr>
      <w:r>
        <w:rPr>
          <w:rFonts w:hint="eastAsia" w:cs="宋体"/>
          <w:color w:val="000000"/>
          <w:szCs w:val="22"/>
        </w:rPr>
        <w:br w:type="page"/>
      </w:r>
    </w:p>
    <w:p>
      <w:pPr>
        <w:jc w:val="center"/>
        <w:rPr>
          <w:rFonts w:hint="eastAsia" w:ascii="宋体" w:hAnsi="宋体" w:eastAsia="宋体" w:cs="宋体"/>
          <w:color w:val="auto"/>
          <w:sz w:val="28"/>
          <w:szCs w:val="28"/>
        </w:rPr>
      </w:pPr>
      <w:bookmarkStart w:id="101" w:name="_GoBack"/>
      <w:bookmarkEnd w:id="10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6"/>
      <w:bookmarkEnd w:id="37"/>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38"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8"/>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9" w:name="_Toc12631_WPSOffice_Level1"/>
      <w:r>
        <w:rPr>
          <w:rFonts w:hint="eastAsia" w:ascii="宋体" w:hAnsi="宋体" w:eastAsia="宋体" w:cs="宋体"/>
          <w:b/>
          <w:color w:val="auto"/>
          <w:sz w:val="44"/>
          <w:szCs w:val="44"/>
        </w:rPr>
        <w:t>响</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13194_WPSOffice_Level1"/>
      <w:r>
        <w:rPr>
          <w:rFonts w:hint="eastAsia" w:ascii="宋体" w:hAnsi="宋体" w:eastAsia="宋体" w:cs="宋体"/>
          <w:b/>
          <w:color w:val="auto"/>
          <w:sz w:val="44"/>
          <w:szCs w:val="44"/>
        </w:rPr>
        <w:t>应</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28638_WPSOffice_Level1"/>
      <w:r>
        <w:rPr>
          <w:rFonts w:hint="eastAsia" w:ascii="宋体" w:hAnsi="宋体" w:eastAsia="宋体" w:cs="宋体"/>
          <w:b/>
          <w:color w:val="auto"/>
          <w:sz w:val="44"/>
          <w:szCs w:val="44"/>
        </w:rPr>
        <w:t>文</w:t>
      </w:r>
      <w:bookmarkEnd w:id="41"/>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2" w:name="_Toc21450_WPSOffice_Level1"/>
      <w:r>
        <w:rPr>
          <w:rFonts w:hint="eastAsia" w:ascii="宋体" w:hAnsi="宋体" w:eastAsia="宋体" w:cs="宋体"/>
          <w:b/>
          <w:color w:val="auto"/>
          <w:sz w:val="44"/>
          <w:szCs w:val="44"/>
        </w:rPr>
        <w:t>件</w:t>
      </w:r>
      <w:bookmarkEnd w:id="42"/>
    </w:p>
    <w:p>
      <w:pPr>
        <w:pStyle w:val="6"/>
        <w:jc w:val="center"/>
        <w:rPr>
          <w:rFonts w:ascii="黑体"/>
          <w:color w:val="auto"/>
          <w:sz w:val="44"/>
          <w:u w:val="single"/>
        </w:rPr>
      </w:pPr>
      <w:bookmarkStart w:id="43" w:name="_Toc30778_WPSOffice_Level1"/>
      <w:r>
        <w:rPr>
          <w:rFonts w:hint="eastAsia" w:ascii="黑体" w:hAnsi="Times New Roman" w:eastAsia="黑体"/>
          <w:color w:val="auto"/>
          <w:kern w:val="2"/>
          <w:sz w:val="32"/>
          <w:szCs w:val="22"/>
          <w:u w:val="single"/>
        </w:rPr>
        <w:t>正本（副本）</w:t>
      </w:r>
      <w:bookmarkEnd w:id="43"/>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4"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4"/>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45"/>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46"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46"/>
    </w:p>
    <w:p>
      <w:pPr>
        <w:spacing w:afterLines="50" w:line="500" w:lineRule="exact"/>
        <w:ind w:firstLine="1605" w:firstLineChars="500"/>
        <w:rPr>
          <w:rFonts w:hint="eastAsia" w:ascii="宋体" w:hAnsi="宋体" w:eastAsia="宋体" w:cs="宋体"/>
          <w:b/>
          <w:color w:val="auto"/>
          <w:spacing w:val="20"/>
          <w:kern w:val="0"/>
          <w:sz w:val="28"/>
          <w:szCs w:val="28"/>
        </w:rPr>
      </w:pPr>
      <w:bookmarkStart w:id="47"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47"/>
    </w:p>
    <w:p>
      <w:pPr>
        <w:jc w:val="center"/>
        <w:rPr>
          <w:rFonts w:hint="eastAsia"/>
          <w:b/>
          <w:bCs/>
          <w:color w:val="auto"/>
          <w:sz w:val="28"/>
          <w:szCs w:val="28"/>
        </w:rPr>
      </w:pPr>
      <w:bookmarkStart w:id="48" w:name="_Toc19469_WPSOffice_Level1"/>
    </w:p>
    <w:p>
      <w:pPr>
        <w:jc w:val="center"/>
        <w:rPr>
          <w:rFonts w:hint="eastAsia"/>
          <w:b/>
          <w:bCs/>
          <w:color w:val="auto"/>
          <w:sz w:val="28"/>
          <w:szCs w:val="28"/>
        </w:rPr>
      </w:pPr>
      <w:r>
        <w:rPr>
          <w:rFonts w:hint="eastAsia"/>
          <w:b/>
          <w:bCs/>
          <w:color w:val="auto"/>
          <w:sz w:val="28"/>
          <w:szCs w:val="28"/>
        </w:rPr>
        <w:t>响应文件资料清单</w:t>
      </w:r>
      <w:bookmarkEnd w:id="48"/>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7"/>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7"/>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rPr>
          <w:rFonts w:hint="eastAsia" w:ascii="宋体" w:hAnsi="宋体" w:eastAsia="宋体" w:cs="宋体"/>
          <w:b/>
          <w:color w:val="auto"/>
          <w:sz w:val="24"/>
        </w:rPr>
      </w:pPr>
      <w:r>
        <w:rPr>
          <w:rFonts w:hint="eastAsia" w:ascii="宋体" w:hAnsi="宋体" w:eastAsia="宋体" w:cs="宋体"/>
          <w:b/>
          <w:color w:val="auto"/>
          <w:sz w:val="24"/>
        </w:rPr>
        <w:br w:type="page"/>
      </w:r>
    </w:p>
    <w:bookmarkEnd w:id="35"/>
    <w:p>
      <w:pPr>
        <w:pStyle w:val="4"/>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49" w:name="_Toc10142_WPSOffice_Level1"/>
      <w:r>
        <w:rPr>
          <w:rFonts w:hint="eastAsia"/>
          <w:b/>
          <w:bCs/>
          <w:color w:val="auto"/>
          <w:sz w:val="28"/>
          <w:szCs w:val="28"/>
        </w:rPr>
        <w:t>供应商基本信息</w:t>
      </w:r>
      <w:bookmarkEnd w:id="49"/>
    </w:p>
    <w:p>
      <w:pPr>
        <w:jc w:val="center"/>
        <w:rPr>
          <w:rFonts w:hint="eastAsia" w:eastAsia="宋体"/>
          <w:b/>
          <w:bCs/>
          <w:color w:val="auto"/>
          <w:sz w:val="28"/>
          <w:szCs w:val="28"/>
          <w:lang w:eastAsia="zh-CN"/>
        </w:rPr>
      </w:pPr>
      <w:bookmarkStart w:id="50" w:name="_Toc5936_WPSOffice_Level1"/>
      <w:r>
        <w:rPr>
          <w:rFonts w:hint="eastAsia"/>
          <w:b/>
          <w:bCs/>
          <w:color w:val="auto"/>
          <w:sz w:val="28"/>
          <w:szCs w:val="28"/>
          <w:lang w:eastAsia="zh-CN"/>
        </w:rPr>
        <w:t>（格式自拟）</w:t>
      </w:r>
      <w:bookmarkEnd w:id="50"/>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1" w:name="_Toc31656"/>
      <w:bookmarkStart w:id="52" w:name="_Toc471299104"/>
      <w:r>
        <w:rPr>
          <w:rFonts w:hint="eastAsia" w:ascii="宋体" w:hAnsi="宋体" w:eastAsia="宋体" w:cs="宋体"/>
          <w:color w:val="auto"/>
          <w:sz w:val="21"/>
          <w:szCs w:val="21"/>
        </w:rPr>
        <w:t>附件</w:t>
      </w:r>
      <w:bookmarkEnd w:id="51"/>
      <w:bookmarkEnd w:id="52"/>
      <w:r>
        <w:rPr>
          <w:rFonts w:hint="eastAsia" w:ascii="宋体" w:hAnsi="宋体" w:cs="宋体"/>
          <w:color w:val="auto"/>
          <w:sz w:val="21"/>
          <w:szCs w:val="21"/>
          <w:lang w:eastAsia="zh-CN"/>
        </w:rPr>
        <w:t>二</w:t>
      </w:r>
    </w:p>
    <w:p>
      <w:pPr>
        <w:pStyle w:val="2"/>
        <w:spacing w:line="360" w:lineRule="auto"/>
        <w:jc w:val="center"/>
        <w:rPr>
          <w:rFonts w:hint="eastAsia" w:ascii="宋体" w:hAnsi="宋体" w:eastAsia="宋体"/>
          <w:color w:val="auto"/>
          <w:highlight w:val="none"/>
        </w:rPr>
      </w:pPr>
      <w:bookmarkStart w:id="53" w:name="_Toc30884"/>
      <w:bookmarkStart w:id="54" w:name="_Toc16469"/>
      <w:bookmarkStart w:id="55" w:name="_Toc8862_WPSOffice_Level1"/>
      <w:bookmarkStart w:id="56" w:name="_Toc471299105"/>
      <w:r>
        <w:rPr>
          <w:rFonts w:hint="eastAsia" w:ascii="宋体" w:hAnsi="宋体" w:eastAsia="宋体"/>
          <w:color w:val="auto"/>
          <w:highlight w:val="none"/>
        </w:rPr>
        <w:t>法定代表人身份证明</w:t>
      </w:r>
      <w:bookmarkEnd w:id="53"/>
      <w:bookmarkEnd w:id="54"/>
    </w:p>
    <w:p>
      <w:pPr>
        <w:spacing w:line="360" w:lineRule="auto"/>
        <w:ind w:firstLine="420" w:firstLineChars="200"/>
        <w:rPr>
          <w:rFonts w:hint="eastAsia"/>
          <w:color w:val="auto"/>
          <w:highlight w:val="none"/>
          <w:u w:val="single"/>
        </w:rPr>
      </w:pPr>
      <w:bookmarkStart w:id="57" w:name="_Toc256695502"/>
      <w:bookmarkStart w:id="58" w:name="_Toc256691626"/>
      <w:r>
        <w:rPr>
          <w:rFonts w:hint="eastAsia"/>
          <w:color w:val="auto"/>
          <w:highlight w:val="none"/>
          <w:lang w:eastAsia="zh-CN"/>
        </w:rPr>
        <w:t>承包人</w:t>
      </w:r>
      <w:r>
        <w:rPr>
          <w:rFonts w:hint="eastAsia"/>
          <w:color w:val="auto"/>
          <w:highlight w:val="none"/>
        </w:rPr>
        <w:t>名称：</w:t>
      </w:r>
      <w:bookmarkEnd w:id="57"/>
      <w:bookmarkEnd w:id="58"/>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59" w:name="_Toc256691631"/>
      <w:bookmarkStart w:id="60"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59"/>
      <w:bookmarkEnd w:id="60"/>
      <w:bookmarkStart w:id="61" w:name="_Toc256691632"/>
      <w:bookmarkStart w:id="62" w:name="_Toc256695508"/>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1"/>
      <w:bookmarkEnd w:id="62"/>
    </w:p>
    <w:p>
      <w:pPr>
        <w:spacing w:line="360" w:lineRule="auto"/>
        <w:ind w:firstLine="840" w:firstLineChars="400"/>
        <w:rPr>
          <w:rFonts w:hint="eastAsia"/>
          <w:color w:val="auto"/>
          <w:highlight w:val="none"/>
        </w:rPr>
      </w:pPr>
      <w:bookmarkStart w:id="63" w:name="_Toc256695509"/>
      <w:bookmarkStart w:id="64" w:name="_Toc256691633"/>
      <w:r>
        <w:rPr>
          <w:rFonts w:hint="eastAsia"/>
          <w:color w:val="auto"/>
          <w:highlight w:val="none"/>
        </w:rPr>
        <w:t>特此证明。</w:t>
      </w:r>
      <w:bookmarkEnd w:id="63"/>
      <w:bookmarkEnd w:id="64"/>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65" w:name="_Toc256691634"/>
      <w:bookmarkStart w:id="66" w:name="_Toc256695510"/>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65"/>
      <w:bookmarkEnd w:id="66"/>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67" w:name="_Toc256695511"/>
      <w:bookmarkStart w:id="68"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67"/>
      <w:bookmarkEnd w:id="68"/>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55"/>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69" w:name="_Toc26907"/>
      <w:r>
        <w:rPr>
          <w:rFonts w:hint="eastAsia" w:ascii="宋体" w:hAnsi="宋体" w:eastAsia="宋体" w:cs="宋体"/>
          <w:color w:val="auto"/>
          <w:sz w:val="21"/>
          <w:szCs w:val="21"/>
        </w:rPr>
        <w:br w:type="page"/>
      </w:r>
    </w:p>
    <w:p>
      <w:pPr>
        <w:pStyle w:val="4"/>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56"/>
      <w:bookmarkEnd w:id="69"/>
      <w:r>
        <w:rPr>
          <w:rFonts w:hint="eastAsia" w:ascii="宋体" w:hAnsi="宋体" w:cs="宋体"/>
          <w:color w:val="auto"/>
          <w:sz w:val="21"/>
          <w:szCs w:val="21"/>
          <w:lang w:eastAsia="zh-CN"/>
        </w:rPr>
        <w:t>三</w:t>
      </w:r>
    </w:p>
    <w:p>
      <w:pPr>
        <w:jc w:val="center"/>
        <w:rPr>
          <w:rFonts w:hint="eastAsia"/>
          <w:b/>
          <w:bCs/>
          <w:color w:val="auto"/>
          <w:sz w:val="28"/>
          <w:szCs w:val="28"/>
        </w:rPr>
      </w:pPr>
      <w:bookmarkStart w:id="70" w:name="_Toc3858_WPSOffice_Level1"/>
      <w:bookmarkStart w:id="71" w:name="_Toc516969098"/>
      <w:bookmarkStart w:id="72" w:name="_Toc148501698"/>
      <w:r>
        <w:rPr>
          <w:rFonts w:hint="eastAsia"/>
          <w:b/>
          <w:bCs/>
          <w:color w:val="auto"/>
          <w:sz w:val="28"/>
          <w:szCs w:val="28"/>
        </w:rPr>
        <w:t>响应函</w:t>
      </w:r>
      <w:bookmarkEnd w:id="70"/>
      <w:bookmarkEnd w:id="71"/>
      <w:bookmarkEnd w:id="72"/>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73" w:name="_Toc417045478"/>
      <w:bookmarkStart w:id="74" w:name="_Toc471299106"/>
      <w:bookmarkStart w:id="75" w:name="_Toc30711"/>
      <w:r>
        <w:rPr>
          <w:rFonts w:hint="eastAsia" w:ascii="宋体" w:hAnsi="宋体" w:eastAsia="宋体" w:cs="宋体"/>
          <w:color w:val="auto"/>
          <w:sz w:val="21"/>
          <w:szCs w:val="21"/>
        </w:rPr>
        <w:t>附件</w:t>
      </w:r>
      <w:bookmarkEnd w:id="73"/>
      <w:bookmarkEnd w:id="74"/>
      <w:bookmarkEnd w:id="75"/>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6" w:name="_Toc1513_WPSOffice_Level1"/>
      <w:r>
        <w:rPr>
          <w:rFonts w:hint="eastAsia"/>
          <w:b/>
          <w:bCs/>
          <w:color w:val="auto"/>
          <w:sz w:val="28"/>
          <w:szCs w:val="28"/>
          <w:lang w:val="zh-CN"/>
        </w:rPr>
        <w:t>无重大违法记录声明函</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77"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7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8"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9" w:name="_Toc3574"/>
      <w:bookmarkStart w:id="80" w:name="_Toc471299107"/>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1" w:name="_Toc24671_WPSOffice_Level1"/>
      <w:r>
        <w:rPr>
          <w:rFonts w:hint="eastAsia"/>
          <w:b/>
          <w:bCs/>
          <w:color w:val="auto"/>
          <w:sz w:val="28"/>
          <w:szCs w:val="28"/>
          <w:lang w:val="zh-CN"/>
        </w:rPr>
        <w:t>询价响应表</w:t>
      </w:r>
      <w:bookmarkEnd w:id="81"/>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16"/>
        <w:rPr>
          <w:rFonts w:hint="eastAsia"/>
          <w:color w:val="auto"/>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color w:val="auto"/>
        </w:rPr>
      </w:pPr>
      <w:bookmarkStart w:id="82" w:name="_Toc471299110"/>
      <w:bookmarkStart w:id="83" w:name="_Toc27567"/>
    </w:p>
    <w:p>
      <w:pPr>
        <w:pStyle w:val="15"/>
        <w:rPr>
          <w:rFonts w:hint="eastAsia"/>
          <w:color w:val="auto"/>
        </w:rPr>
      </w:pPr>
    </w:p>
    <w:p>
      <w:pPr>
        <w:pStyle w:val="15"/>
        <w:rPr>
          <w:rFonts w:hint="eastAsia"/>
          <w:color w:val="auto"/>
        </w:rPr>
      </w:pPr>
    </w:p>
    <w:p>
      <w:pPr>
        <w:pStyle w:val="15"/>
        <w:rPr>
          <w:rFonts w:hint="eastAsia"/>
          <w:color w:val="auto"/>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2"/>
      <w:bookmarkEnd w:id="83"/>
      <w:r>
        <w:rPr>
          <w:rFonts w:hint="eastAsia" w:ascii="宋体" w:hAnsi="宋体" w:cs="宋体"/>
          <w:color w:val="auto"/>
          <w:sz w:val="21"/>
          <w:szCs w:val="21"/>
          <w:lang w:eastAsia="zh-CN"/>
        </w:rPr>
        <w:t>六</w:t>
      </w:r>
    </w:p>
    <w:p>
      <w:pPr>
        <w:jc w:val="center"/>
        <w:rPr>
          <w:rFonts w:hint="eastAsia"/>
          <w:color w:val="auto"/>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4"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4"/>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color w:val="auto"/>
              </w:rPr>
            </w:pPr>
            <w:r>
              <w:rPr>
                <w:rFonts w:hint="eastAsia"/>
                <w:color w:val="auto"/>
              </w:rPr>
              <w:t xml:space="preserve">小写：                          元 </w:t>
            </w:r>
          </w:p>
          <w:p>
            <w:pPr>
              <w:spacing w:line="440" w:lineRule="exact"/>
              <w:ind w:right="-670"/>
              <w:rPr>
                <w:rFonts w:hint="eastAsia"/>
                <w:color w:val="auto"/>
              </w:rPr>
            </w:pPr>
            <w:r>
              <w:rPr>
                <w:rFonts w:hint="eastAsia"/>
                <w:color w:val="auto"/>
              </w:rPr>
              <w:t>大写：                          元</w:t>
            </w:r>
          </w:p>
          <w:p>
            <w:pPr>
              <w:pStyle w:val="15"/>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ind w:left="0" w:leftChars="0" w:firstLine="0" w:firstLineChars="0"/>
        <w:rPr>
          <w:rFonts w:hint="eastAsia" w:ascii="宋体" w:hAnsi="宋体" w:cs="宋体"/>
          <w:color w:val="auto"/>
          <w:szCs w:val="21"/>
        </w:rPr>
      </w:pPr>
    </w:p>
    <w:p>
      <w:pPr>
        <w:pStyle w:val="15"/>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85"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5"/>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center"/>
        <w:textAlignment w:val="auto"/>
        <w:outlineLvl w:val="2"/>
        <w:rPr>
          <w:rFonts w:hint="eastAsia" w:ascii="宋体" w:hAnsi="宋体" w:cs="宋体"/>
          <w:color w:val="auto"/>
          <w:sz w:val="21"/>
          <w:szCs w:val="21"/>
          <w:lang w:eastAsia="zh-CN"/>
        </w:rPr>
      </w:pPr>
      <w:bookmarkStart w:id="86" w:name="_Toc32017"/>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center"/>
        <w:textAlignment w:val="auto"/>
        <w:outlineLvl w:val="2"/>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按照采购需求中的清单逐项报价并汇总，表格自拟。</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86"/>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7" w:name="_Toc12025_WPSOffice_Level1"/>
      <w:r>
        <w:rPr>
          <w:rFonts w:hint="eastAsia"/>
          <w:b/>
          <w:bCs/>
          <w:color w:val="auto"/>
          <w:sz w:val="28"/>
          <w:szCs w:val="28"/>
          <w:lang w:val="zh-CN"/>
        </w:rPr>
        <w:t>供货、安装、售后服务承诺</w:t>
      </w:r>
      <w:bookmarkEnd w:id="8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8" w:name="_Toc27705"/>
      <w:r>
        <w:rPr>
          <w:rFonts w:hint="eastAsia" w:ascii="宋体" w:hAnsi="宋体" w:eastAsia="宋体" w:cs="宋体"/>
          <w:color w:val="auto"/>
          <w:sz w:val="21"/>
          <w:szCs w:val="21"/>
        </w:rPr>
        <w:t>附件</w:t>
      </w:r>
      <w:bookmarkEnd w:id="88"/>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9" w:name="_Toc1950_WPSOffice_Level1"/>
      <w:r>
        <w:rPr>
          <w:rFonts w:hint="eastAsia"/>
          <w:b/>
          <w:bCs/>
          <w:color w:val="auto"/>
          <w:sz w:val="28"/>
          <w:szCs w:val="28"/>
          <w:lang w:val="zh-CN"/>
        </w:rPr>
        <w:t>询价文件要求和供应商认为需要提供的其它说明和资料</w:t>
      </w:r>
      <w:bookmarkEnd w:id="89"/>
    </w:p>
    <w:p>
      <w:pPr>
        <w:jc w:val="both"/>
        <w:rPr>
          <w:rStyle w:val="38"/>
          <w:rFonts w:hint="eastAsia"/>
          <w:color w:val="auto"/>
          <w:sz w:val="21"/>
          <w:szCs w:val="21"/>
          <w:lang w:val="en-US" w:eastAsia="zh-CN"/>
        </w:rPr>
      </w:pPr>
      <w:bookmarkStart w:id="90" w:name="_Toc3085"/>
      <w:bookmarkStart w:id="91" w:name="_Toc19844_WPSOffice_Level1"/>
    </w:p>
    <w:p>
      <w:pPr>
        <w:jc w:val="both"/>
        <w:rPr>
          <w:rStyle w:val="38"/>
          <w:rFonts w:hint="eastAsia"/>
          <w:color w:val="auto"/>
          <w:sz w:val="21"/>
          <w:szCs w:val="21"/>
          <w:lang w:val="en-US" w:eastAsia="zh-CN"/>
        </w:rPr>
      </w:pPr>
      <w:r>
        <w:rPr>
          <w:rStyle w:val="38"/>
          <w:rFonts w:hint="eastAsia"/>
          <w:color w:val="auto"/>
          <w:sz w:val="21"/>
          <w:szCs w:val="21"/>
          <w:lang w:val="en-US" w:eastAsia="zh-CN"/>
        </w:rPr>
        <w:t>（如营业执照复印件、保证金进账单复印件以及采购需求所要求的报告复印件及承诺函原件等资料）</w:t>
      </w:r>
    </w:p>
    <w:p>
      <w:pPr>
        <w:jc w:val="both"/>
        <w:rPr>
          <w:rStyle w:val="38"/>
          <w:rFonts w:hint="eastAsia"/>
          <w:color w:val="auto"/>
          <w:sz w:val="21"/>
          <w:szCs w:val="21"/>
          <w:lang w:val="en-US" w:eastAsia="zh-CN"/>
        </w:rPr>
      </w:pPr>
    </w:p>
    <w:p>
      <w:pPr>
        <w:jc w:val="both"/>
        <w:rPr>
          <w:rStyle w:val="38"/>
          <w:rFonts w:hint="eastAsia"/>
          <w:color w:val="auto"/>
          <w:sz w:val="21"/>
          <w:szCs w:val="21"/>
          <w:lang w:val="en-US" w:eastAsia="zh-CN"/>
        </w:rPr>
      </w:pPr>
    </w:p>
    <w:p>
      <w:pPr>
        <w:jc w:val="both"/>
        <w:rPr>
          <w:rFonts w:hint="eastAsia" w:ascii="宋体" w:hAnsi="宋体" w:cs="宋体"/>
          <w:b/>
          <w:bCs/>
          <w:color w:val="auto"/>
          <w:sz w:val="32"/>
          <w:szCs w:val="32"/>
        </w:rPr>
      </w:pPr>
      <w:r>
        <w:rPr>
          <w:rStyle w:val="38"/>
          <w:rFonts w:hint="eastAsia"/>
          <w:color w:val="auto"/>
          <w:sz w:val="21"/>
          <w:szCs w:val="21"/>
          <w:lang w:val="en-US" w:eastAsia="zh-CN"/>
        </w:rPr>
        <w:t>附件九</w:t>
      </w:r>
      <w:r>
        <w:rPr>
          <w:rStyle w:val="38"/>
          <w:rFonts w:hint="eastAsia"/>
          <w:color w:val="auto"/>
          <w:sz w:val="21"/>
          <w:szCs w:val="21"/>
        </w:rPr>
        <w:t xml:space="preserve"> </w:t>
      </w:r>
      <w:bookmarkEnd w:id="90"/>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1"/>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2" w:name="_Toc10947_WPSOffice_Level1"/>
      <w:r>
        <w:rPr>
          <w:rFonts w:hint="eastAsia" w:ascii="宋体" w:hAnsi="宋体" w:cs="宋体"/>
          <w:b/>
          <w:bCs/>
          <w:color w:val="auto"/>
          <w:sz w:val="24"/>
        </w:rPr>
        <w:t>注：</w:t>
      </w:r>
      <w:bookmarkEnd w:id="92"/>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3" w:name="_Toc27363_WPSOffice_Level1"/>
      <w:r>
        <w:rPr>
          <w:rFonts w:hint="eastAsia" w:ascii="宋体" w:hAnsi="宋体" w:cs="宋体"/>
          <w:b/>
          <w:bCs/>
          <w:color w:val="auto"/>
          <w:sz w:val="24"/>
        </w:rPr>
        <w:t>注：</w:t>
      </w:r>
      <w:bookmarkEnd w:id="93"/>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4" w:name="_Toc13534_WPSOffice_Level1"/>
      <w:r>
        <w:rPr>
          <w:rFonts w:hint="eastAsia" w:ascii="宋体" w:hAnsi="宋体" w:cs="宋体"/>
          <w:b/>
          <w:bCs/>
          <w:color w:val="auto"/>
          <w:sz w:val="24"/>
        </w:rPr>
        <w:t>注：</w:t>
      </w:r>
      <w:bookmarkEnd w:id="94"/>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5"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6" w:name="_Toc11536"/>
      <w:r>
        <w:rPr>
          <w:rFonts w:hint="eastAsia" w:ascii="宋体" w:hAnsi="宋体"/>
          <w:b/>
          <w:color w:val="auto"/>
          <w:sz w:val="24"/>
          <w:szCs w:val="28"/>
          <w:lang w:val="en-US" w:eastAsia="zh-CN"/>
        </w:rPr>
        <w:t>附件十</w:t>
      </w:r>
      <w:bookmarkEnd w:id="96"/>
    </w:p>
    <w:bookmarkEnd w:id="95"/>
    <w:p>
      <w:pPr>
        <w:spacing w:line="400" w:lineRule="exact"/>
        <w:jc w:val="center"/>
        <w:rPr>
          <w:rFonts w:hint="eastAsia" w:ascii="宋体" w:hAnsi="宋体" w:cs="宋体"/>
          <w:b/>
          <w:color w:val="auto"/>
          <w:sz w:val="28"/>
          <w:szCs w:val="28"/>
          <w:shd w:val="clear" w:color="auto" w:fill="FFFFFF"/>
        </w:rPr>
      </w:pPr>
      <w:bookmarkStart w:id="97"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7"/>
    </w:p>
    <w:p>
      <w:pPr>
        <w:adjustRightInd w:val="0"/>
        <w:snapToGrid w:val="0"/>
        <w:spacing w:line="360" w:lineRule="exact"/>
        <w:ind w:right="15" w:rightChars="7"/>
        <w:rPr>
          <w:rFonts w:hint="eastAsia" w:ascii="宋体" w:hAnsi="宋体" w:cs="宋体"/>
          <w:bCs/>
          <w:color w:val="auto"/>
          <w:shd w:val="clear" w:color="auto" w:fill="FFFFFF"/>
        </w:rPr>
      </w:pPr>
      <w:bookmarkStart w:id="98" w:name="_Toc3059_WPSOffice_Level1"/>
      <w:r>
        <w:rPr>
          <w:rFonts w:hint="eastAsia" w:ascii="宋体" w:hAnsi="宋体" w:cs="宋体"/>
          <w:bCs/>
          <w:color w:val="auto"/>
          <w:shd w:val="clear" w:color="auto" w:fill="FFFFFF"/>
        </w:rPr>
        <w:t>一、项目相关情况</w:t>
      </w:r>
      <w:bookmarkEnd w:id="98"/>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安徽大别山国投集团监察</w:t>
      </w:r>
      <w:r>
        <w:rPr>
          <w:rFonts w:hint="eastAsia" w:ascii="宋体" w:hAnsi="宋体" w:cs="宋体"/>
          <w:color w:val="auto"/>
          <w:kern w:val="0"/>
          <w:szCs w:val="21"/>
          <w:shd w:val="clear" w:color="auto" w:fill="FFFFFF"/>
        </w:rPr>
        <w:t>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9" w:name="_Toc21327_WPSOffice_Level1"/>
      <w:r>
        <w:rPr>
          <w:rFonts w:hint="eastAsia" w:ascii="宋体" w:hAnsi="宋体" w:cs="宋体"/>
          <w:bCs/>
          <w:color w:val="auto"/>
          <w:shd w:val="clear" w:color="auto" w:fill="FFFFFF"/>
        </w:rPr>
        <w:t>二、质疑提起的条件及不予受理的情形</w:t>
      </w:r>
      <w:bookmarkEnd w:id="99"/>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0" w:name="_Toc17685_WPSOffice_Level1"/>
      <w:r>
        <w:rPr>
          <w:rFonts w:hint="eastAsia" w:ascii="宋体" w:hAnsi="宋体" w:cs="宋体"/>
          <w:bCs/>
          <w:color w:val="auto"/>
          <w:shd w:val="clear" w:color="auto" w:fill="FFFFFF"/>
        </w:rPr>
        <w:t>三、其他</w:t>
      </w:r>
      <w:bookmarkEnd w:id="100"/>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bCs/>
          <w:color w:val="auto"/>
          <w:shd w:val="clear" w:color="auto" w:fill="FFFFFF"/>
          <w:lang w:eastAsia="zh-CN"/>
        </w:rPr>
      </w:pPr>
      <w:r>
        <w:rPr>
          <w:rFonts w:hint="eastAsia" w:ascii="宋体" w:hAnsi="宋体" w:cs="宋体"/>
          <w:color w:val="auto"/>
          <w:kern w:val="2"/>
          <w:sz w:val="21"/>
          <w:szCs w:val="21"/>
          <w:lang w:val="en-US" w:eastAsia="zh-CN" w:bidi="ar-SA"/>
        </w:rPr>
        <w:t>霍山县矿产资源开发有限责任公司</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6"/>
        <w:rPr>
          <w:color w:val="auto"/>
        </w:rPr>
      </w:pPr>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color w:val="auto"/>
          <w:lang w:val="en-US" w:eastAsia="zh-CN"/>
        </w:rPr>
      </w:pPr>
      <w:r>
        <w:rPr>
          <w:rFonts w:hint="eastAsia"/>
          <w:b/>
          <w:bCs/>
          <w:color w:val="auto"/>
          <w:lang w:val="en-US" w:eastAsia="zh-CN"/>
        </w:rPr>
        <w:t>备注：</w:t>
      </w:r>
      <w:r>
        <w:rPr>
          <w:rFonts w:hint="eastAsia" w:ascii="宋体" w:hAnsi="宋体" w:cs="宋体"/>
          <w:b/>
          <w:bCs/>
          <w:color w:val="auto"/>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auto"/>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方正仿宋简体">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高桥湾石料加工点控制室采购项目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496DD8"/>
    <w:rsid w:val="01D72602"/>
    <w:rsid w:val="022B73BF"/>
    <w:rsid w:val="02923D0A"/>
    <w:rsid w:val="0297760C"/>
    <w:rsid w:val="02AA1EE6"/>
    <w:rsid w:val="02C17B34"/>
    <w:rsid w:val="02F85797"/>
    <w:rsid w:val="02FF3FEA"/>
    <w:rsid w:val="03150F8F"/>
    <w:rsid w:val="031838E3"/>
    <w:rsid w:val="04777FAA"/>
    <w:rsid w:val="047A1250"/>
    <w:rsid w:val="04831F83"/>
    <w:rsid w:val="04837086"/>
    <w:rsid w:val="0558683D"/>
    <w:rsid w:val="056F542D"/>
    <w:rsid w:val="059C0CBD"/>
    <w:rsid w:val="062A252A"/>
    <w:rsid w:val="0644344B"/>
    <w:rsid w:val="065734CB"/>
    <w:rsid w:val="06A80ACF"/>
    <w:rsid w:val="06BE48F4"/>
    <w:rsid w:val="0713690B"/>
    <w:rsid w:val="07500CD8"/>
    <w:rsid w:val="07550BBC"/>
    <w:rsid w:val="075F1F58"/>
    <w:rsid w:val="0784433C"/>
    <w:rsid w:val="07CA103E"/>
    <w:rsid w:val="07E42C56"/>
    <w:rsid w:val="07F727F0"/>
    <w:rsid w:val="094825C0"/>
    <w:rsid w:val="09B24D52"/>
    <w:rsid w:val="09F429FB"/>
    <w:rsid w:val="0A381ED7"/>
    <w:rsid w:val="0A6B423D"/>
    <w:rsid w:val="0A967446"/>
    <w:rsid w:val="0ADA7309"/>
    <w:rsid w:val="0B37771E"/>
    <w:rsid w:val="0B3A232A"/>
    <w:rsid w:val="0B4462CA"/>
    <w:rsid w:val="0B92029E"/>
    <w:rsid w:val="0BBD26DB"/>
    <w:rsid w:val="0C061911"/>
    <w:rsid w:val="0C37233E"/>
    <w:rsid w:val="0C717286"/>
    <w:rsid w:val="0C8B3F0F"/>
    <w:rsid w:val="0C9C3D4D"/>
    <w:rsid w:val="0D162B03"/>
    <w:rsid w:val="0D4A538B"/>
    <w:rsid w:val="0D957933"/>
    <w:rsid w:val="0E2115A1"/>
    <w:rsid w:val="0E2B3D85"/>
    <w:rsid w:val="0E7B6D74"/>
    <w:rsid w:val="0EAB242F"/>
    <w:rsid w:val="0F2A189A"/>
    <w:rsid w:val="10493F0A"/>
    <w:rsid w:val="105A6BBF"/>
    <w:rsid w:val="122B65C1"/>
    <w:rsid w:val="1264252E"/>
    <w:rsid w:val="133A7582"/>
    <w:rsid w:val="133C3075"/>
    <w:rsid w:val="13592465"/>
    <w:rsid w:val="13611A2A"/>
    <w:rsid w:val="13C606BA"/>
    <w:rsid w:val="1414601F"/>
    <w:rsid w:val="14581FA2"/>
    <w:rsid w:val="14633700"/>
    <w:rsid w:val="147737A7"/>
    <w:rsid w:val="14827BCA"/>
    <w:rsid w:val="14F04C17"/>
    <w:rsid w:val="15081ED3"/>
    <w:rsid w:val="15165EFD"/>
    <w:rsid w:val="1556562C"/>
    <w:rsid w:val="156D56CE"/>
    <w:rsid w:val="159267B6"/>
    <w:rsid w:val="161D1882"/>
    <w:rsid w:val="16C41FE1"/>
    <w:rsid w:val="16E90795"/>
    <w:rsid w:val="174961DA"/>
    <w:rsid w:val="174F1F7C"/>
    <w:rsid w:val="176349E4"/>
    <w:rsid w:val="18392471"/>
    <w:rsid w:val="186E369B"/>
    <w:rsid w:val="18951FC7"/>
    <w:rsid w:val="18B06CB8"/>
    <w:rsid w:val="18BF07B6"/>
    <w:rsid w:val="18E170E3"/>
    <w:rsid w:val="18FB5F6E"/>
    <w:rsid w:val="19080508"/>
    <w:rsid w:val="19750DD6"/>
    <w:rsid w:val="19783115"/>
    <w:rsid w:val="1A1D00D5"/>
    <w:rsid w:val="1A331B52"/>
    <w:rsid w:val="1B255937"/>
    <w:rsid w:val="1BD82076"/>
    <w:rsid w:val="1BED2EA5"/>
    <w:rsid w:val="1BF87562"/>
    <w:rsid w:val="1C230B2D"/>
    <w:rsid w:val="1C996F6B"/>
    <w:rsid w:val="1CEA6453"/>
    <w:rsid w:val="1D0105DB"/>
    <w:rsid w:val="1D217AE8"/>
    <w:rsid w:val="1D691CF6"/>
    <w:rsid w:val="1DC0444F"/>
    <w:rsid w:val="1DFA0134"/>
    <w:rsid w:val="1E3106CF"/>
    <w:rsid w:val="1E5351BE"/>
    <w:rsid w:val="1F3454C6"/>
    <w:rsid w:val="1F517E9A"/>
    <w:rsid w:val="1F5D6BC7"/>
    <w:rsid w:val="1F6C4AEE"/>
    <w:rsid w:val="1FD969FF"/>
    <w:rsid w:val="2009288A"/>
    <w:rsid w:val="202E2A41"/>
    <w:rsid w:val="209015F8"/>
    <w:rsid w:val="212E3565"/>
    <w:rsid w:val="21336370"/>
    <w:rsid w:val="2134647A"/>
    <w:rsid w:val="215167E4"/>
    <w:rsid w:val="21543BEE"/>
    <w:rsid w:val="21957187"/>
    <w:rsid w:val="21D50B53"/>
    <w:rsid w:val="21F577EF"/>
    <w:rsid w:val="22067FA4"/>
    <w:rsid w:val="221B322D"/>
    <w:rsid w:val="230509C2"/>
    <w:rsid w:val="23395C4B"/>
    <w:rsid w:val="234A74A5"/>
    <w:rsid w:val="236E7DAD"/>
    <w:rsid w:val="23CC70D4"/>
    <w:rsid w:val="24267BFD"/>
    <w:rsid w:val="249763A0"/>
    <w:rsid w:val="249C4D10"/>
    <w:rsid w:val="24D300E0"/>
    <w:rsid w:val="25273C28"/>
    <w:rsid w:val="25656A25"/>
    <w:rsid w:val="25991012"/>
    <w:rsid w:val="25ED3305"/>
    <w:rsid w:val="260D2BCC"/>
    <w:rsid w:val="262D1358"/>
    <w:rsid w:val="26943C3F"/>
    <w:rsid w:val="26A33FC0"/>
    <w:rsid w:val="27385414"/>
    <w:rsid w:val="2756117E"/>
    <w:rsid w:val="280C55E5"/>
    <w:rsid w:val="288E4477"/>
    <w:rsid w:val="28B95567"/>
    <w:rsid w:val="296C5062"/>
    <w:rsid w:val="2A9873BD"/>
    <w:rsid w:val="2A987BB9"/>
    <w:rsid w:val="2AFD66B5"/>
    <w:rsid w:val="2B1C14C3"/>
    <w:rsid w:val="2BAE2C9D"/>
    <w:rsid w:val="2BD3447D"/>
    <w:rsid w:val="2BD6049A"/>
    <w:rsid w:val="2BF44CEF"/>
    <w:rsid w:val="2C6E3168"/>
    <w:rsid w:val="2CE659D8"/>
    <w:rsid w:val="2D187A52"/>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00700E"/>
    <w:rsid w:val="32661595"/>
    <w:rsid w:val="328D671D"/>
    <w:rsid w:val="32C06DE2"/>
    <w:rsid w:val="32DB40DB"/>
    <w:rsid w:val="339B7435"/>
    <w:rsid w:val="33E1101F"/>
    <w:rsid w:val="340E6C58"/>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DE4003"/>
    <w:rsid w:val="37DF419C"/>
    <w:rsid w:val="37F90F6A"/>
    <w:rsid w:val="38B45EFC"/>
    <w:rsid w:val="38D036A4"/>
    <w:rsid w:val="38D17E87"/>
    <w:rsid w:val="38EA21D0"/>
    <w:rsid w:val="38F723B6"/>
    <w:rsid w:val="39237904"/>
    <w:rsid w:val="39792C93"/>
    <w:rsid w:val="3A4D3199"/>
    <w:rsid w:val="3A5D53A0"/>
    <w:rsid w:val="3AAE5E82"/>
    <w:rsid w:val="3ACA0E45"/>
    <w:rsid w:val="3AE97D6B"/>
    <w:rsid w:val="3B09701F"/>
    <w:rsid w:val="3B7148FD"/>
    <w:rsid w:val="3B8E3C6C"/>
    <w:rsid w:val="3B911C3B"/>
    <w:rsid w:val="3C1C5FDB"/>
    <w:rsid w:val="3C56293E"/>
    <w:rsid w:val="3C967255"/>
    <w:rsid w:val="3CD61F9A"/>
    <w:rsid w:val="3D457CC8"/>
    <w:rsid w:val="3D5C50E1"/>
    <w:rsid w:val="3E046DF3"/>
    <w:rsid w:val="3E4A7D54"/>
    <w:rsid w:val="3E50419B"/>
    <w:rsid w:val="3E9D780F"/>
    <w:rsid w:val="3F570499"/>
    <w:rsid w:val="3FDB1722"/>
    <w:rsid w:val="401940E8"/>
    <w:rsid w:val="40871F18"/>
    <w:rsid w:val="408F2C22"/>
    <w:rsid w:val="40B4201E"/>
    <w:rsid w:val="40B4502A"/>
    <w:rsid w:val="40D00173"/>
    <w:rsid w:val="41132993"/>
    <w:rsid w:val="41541A95"/>
    <w:rsid w:val="41C77480"/>
    <w:rsid w:val="41DD49C0"/>
    <w:rsid w:val="4260727A"/>
    <w:rsid w:val="42D11E1F"/>
    <w:rsid w:val="42ED6ACA"/>
    <w:rsid w:val="431D644D"/>
    <w:rsid w:val="43DD3193"/>
    <w:rsid w:val="44A83992"/>
    <w:rsid w:val="44D74C5B"/>
    <w:rsid w:val="455D4FD9"/>
    <w:rsid w:val="458F0A67"/>
    <w:rsid w:val="459044BE"/>
    <w:rsid w:val="459907ED"/>
    <w:rsid w:val="45FC1F89"/>
    <w:rsid w:val="46447AD0"/>
    <w:rsid w:val="4667667C"/>
    <w:rsid w:val="46FE1966"/>
    <w:rsid w:val="47297854"/>
    <w:rsid w:val="47820F5E"/>
    <w:rsid w:val="47AD1197"/>
    <w:rsid w:val="47BF356A"/>
    <w:rsid w:val="47ED349E"/>
    <w:rsid w:val="48127EBE"/>
    <w:rsid w:val="48C40DA6"/>
    <w:rsid w:val="48D30C8F"/>
    <w:rsid w:val="48EE5384"/>
    <w:rsid w:val="48F93679"/>
    <w:rsid w:val="493E0515"/>
    <w:rsid w:val="49665DCB"/>
    <w:rsid w:val="498C5E4B"/>
    <w:rsid w:val="49974E74"/>
    <w:rsid w:val="4A0E2871"/>
    <w:rsid w:val="4A4B552C"/>
    <w:rsid w:val="4A4D2829"/>
    <w:rsid w:val="4A785C33"/>
    <w:rsid w:val="4A7D13BA"/>
    <w:rsid w:val="4AAE72B9"/>
    <w:rsid w:val="4ADB4CD1"/>
    <w:rsid w:val="4AED40D1"/>
    <w:rsid w:val="4B613D8A"/>
    <w:rsid w:val="4BA748D0"/>
    <w:rsid w:val="4C68185E"/>
    <w:rsid w:val="4CC170FC"/>
    <w:rsid w:val="4D18297E"/>
    <w:rsid w:val="4D757618"/>
    <w:rsid w:val="4EAA6492"/>
    <w:rsid w:val="4F045EF3"/>
    <w:rsid w:val="4F9010E9"/>
    <w:rsid w:val="4FF765D1"/>
    <w:rsid w:val="50106576"/>
    <w:rsid w:val="50345C2D"/>
    <w:rsid w:val="50677BFC"/>
    <w:rsid w:val="51373F3D"/>
    <w:rsid w:val="519F44C2"/>
    <w:rsid w:val="51AD6F1E"/>
    <w:rsid w:val="523E55B6"/>
    <w:rsid w:val="527B7688"/>
    <w:rsid w:val="52AD0B16"/>
    <w:rsid w:val="52DF5542"/>
    <w:rsid w:val="52F7398F"/>
    <w:rsid w:val="5492580D"/>
    <w:rsid w:val="54A309A3"/>
    <w:rsid w:val="54B56A54"/>
    <w:rsid w:val="558001AF"/>
    <w:rsid w:val="558D66D2"/>
    <w:rsid w:val="55AE7DE8"/>
    <w:rsid w:val="55AF41F5"/>
    <w:rsid w:val="55DD401C"/>
    <w:rsid w:val="55FB7588"/>
    <w:rsid w:val="56530A5B"/>
    <w:rsid w:val="57562B24"/>
    <w:rsid w:val="57D256C3"/>
    <w:rsid w:val="57FF690C"/>
    <w:rsid w:val="581B40F7"/>
    <w:rsid w:val="58565344"/>
    <w:rsid w:val="58667ACD"/>
    <w:rsid w:val="58695F8B"/>
    <w:rsid w:val="58791FE6"/>
    <w:rsid w:val="589543F5"/>
    <w:rsid w:val="59423AF1"/>
    <w:rsid w:val="59E00D64"/>
    <w:rsid w:val="5A6D49B6"/>
    <w:rsid w:val="5A9864B3"/>
    <w:rsid w:val="5A9A03FB"/>
    <w:rsid w:val="5B261A82"/>
    <w:rsid w:val="5B282082"/>
    <w:rsid w:val="5B7075D7"/>
    <w:rsid w:val="5BA07BB6"/>
    <w:rsid w:val="5BA3057C"/>
    <w:rsid w:val="5BBE35F6"/>
    <w:rsid w:val="5C3E5A4E"/>
    <w:rsid w:val="5CFB63ED"/>
    <w:rsid w:val="5D0C73DB"/>
    <w:rsid w:val="5D1E4502"/>
    <w:rsid w:val="5D273630"/>
    <w:rsid w:val="5D603CFB"/>
    <w:rsid w:val="5D707A1D"/>
    <w:rsid w:val="5DD65B4C"/>
    <w:rsid w:val="5E812F4F"/>
    <w:rsid w:val="5EB3743D"/>
    <w:rsid w:val="5ED30E67"/>
    <w:rsid w:val="5EFB6C0F"/>
    <w:rsid w:val="5F0510AD"/>
    <w:rsid w:val="5F060FB7"/>
    <w:rsid w:val="5F2B66BC"/>
    <w:rsid w:val="5F402988"/>
    <w:rsid w:val="5F5348CD"/>
    <w:rsid w:val="5F607FA6"/>
    <w:rsid w:val="5F8418EE"/>
    <w:rsid w:val="60165A67"/>
    <w:rsid w:val="60435494"/>
    <w:rsid w:val="60AB1BEE"/>
    <w:rsid w:val="61456042"/>
    <w:rsid w:val="615E5718"/>
    <w:rsid w:val="61705B21"/>
    <w:rsid w:val="61731D75"/>
    <w:rsid w:val="61845E20"/>
    <w:rsid w:val="618D0E1A"/>
    <w:rsid w:val="619C1CA6"/>
    <w:rsid w:val="61AC4109"/>
    <w:rsid w:val="61FF653E"/>
    <w:rsid w:val="629D1B22"/>
    <w:rsid w:val="62FC7518"/>
    <w:rsid w:val="63050313"/>
    <w:rsid w:val="631D3EFA"/>
    <w:rsid w:val="63637DD7"/>
    <w:rsid w:val="639C65AB"/>
    <w:rsid w:val="63B321AB"/>
    <w:rsid w:val="63CE30A4"/>
    <w:rsid w:val="63E8055D"/>
    <w:rsid w:val="63F05C52"/>
    <w:rsid w:val="64BA0E02"/>
    <w:rsid w:val="64FC4735"/>
    <w:rsid w:val="651C46B8"/>
    <w:rsid w:val="65311886"/>
    <w:rsid w:val="65502555"/>
    <w:rsid w:val="65520F7C"/>
    <w:rsid w:val="65771F5A"/>
    <w:rsid w:val="65901E03"/>
    <w:rsid w:val="667629CA"/>
    <w:rsid w:val="66F918C9"/>
    <w:rsid w:val="676476D8"/>
    <w:rsid w:val="678154B0"/>
    <w:rsid w:val="68211B85"/>
    <w:rsid w:val="68560087"/>
    <w:rsid w:val="687F004A"/>
    <w:rsid w:val="68BA3798"/>
    <w:rsid w:val="68DC7583"/>
    <w:rsid w:val="690D0368"/>
    <w:rsid w:val="69EC2952"/>
    <w:rsid w:val="69F4791E"/>
    <w:rsid w:val="6A47529D"/>
    <w:rsid w:val="6A6A50DD"/>
    <w:rsid w:val="6AF61310"/>
    <w:rsid w:val="6AFF1193"/>
    <w:rsid w:val="6B225547"/>
    <w:rsid w:val="6B413A50"/>
    <w:rsid w:val="6B5F1F9E"/>
    <w:rsid w:val="6B6D3148"/>
    <w:rsid w:val="6BDE614C"/>
    <w:rsid w:val="6BE22727"/>
    <w:rsid w:val="6C0040EC"/>
    <w:rsid w:val="6C0A4B24"/>
    <w:rsid w:val="6C4F64A4"/>
    <w:rsid w:val="6C640C01"/>
    <w:rsid w:val="6C6831D6"/>
    <w:rsid w:val="6C810D4A"/>
    <w:rsid w:val="6CAE0116"/>
    <w:rsid w:val="6CD771B7"/>
    <w:rsid w:val="6D4122F7"/>
    <w:rsid w:val="6D574D6B"/>
    <w:rsid w:val="6D641EB9"/>
    <w:rsid w:val="6D6A3DA9"/>
    <w:rsid w:val="6D9B23AC"/>
    <w:rsid w:val="6DA52666"/>
    <w:rsid w:val="6DB0368A"/>
    <w:rsid w:val="6E442FF4"/>
    <w:rsid w:val="6E6A435F"/>
    <w:rsid w:val="6F343FCD"/>
    <w:rsid w:val="6F3E42DD"/>
    <w:rsid w:val="6F5632F9"/>
    <w:rsid w:val="6F593876"/>
    <w:rsid w:val="6F643911"/>
    <w:rsid w:val="6F6D24C1"/>
    <w:rsid w:val="6FB45A58"/>
    <w:rsid w:val="6FB71515"/>
    <w:rsid w:val="707E77DD"/>
    <w:rsid w:val="71805BCB"/>
    <w:rsid w:val="71A46547"/>
    <w:rsid w:val="72226A91"/>
    <w:rsid w:val="72815C13"/>
    <w:rsid w:val="73654805"/>
    <w:rsid w:val="73BA01A0"/>
    <w:rsid w:val="73D81B5D"/>
    <w:rsid w:val="75A769E0"/>
    <w:rsid w:val="762411EC"/>
    <w:rsid w:val="76911B4D"/>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C0F0429"/>
    <w:rsid w:val="7C7C0782"/>
    <w:rsid w:val="7D066453"/>
    <w:rsid w:val="7D196BB9"/>
    <w:rsid w:val="7D460C55"/>
    <w:rsid w:val="7D4C3F14"/>
    <w:rsid w:val="7D644142"/>
    <w:rsid w:val="7D6A6C42"/>
    <w:rsid w:val="7DC86EB2"/>
    <w:rsid w:val="7DFA334B"/>
    <w:rsid w:val="7E015CAC"/>
    <w:rsid w:val="7E456548"/>
    <w:rsid w:val="7EF1633B"/>
    <w:rsid w:val="7F335396"/>
    <w:rsid w:val="7F782E97"/>
    <w:rsid w:val="7F8B766A"/>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38"/>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6"/>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4">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5">
    <w:name w:val="Char"/>
    <w:basedOn w:val="1"/>
    <w:qFormat/>
    <w:uiPriority w:val="99"/>
    <w:rPr>
      <w:rFonts w:ascii="Tahoma" w:hAnsi="Tahoma"/>
      <w:sz w:val="24"/>
    </w:rPr>
  </w:style>
  <w:style w:type="paragraph" w:customStyle="1" w:styleId="36">
    <w:name w:val="样式 标题 2 + 宋体 五号 行距: 单倍行距"/>
    <w:basedOn w:val="2"/>
    <w:qFormat/>
    <w:uiPriority w:val="99"/>
    <w:pPr>
      <w:spacing w:line="240" w:lineRule="auto"/>
    </w:pPr>
    <w:rPr>
      <w:rFonts w:ascii="宋体" w:hAnsi="宋体" w:eastAsia="宋体"/>
      <w:sz w:val="21"/>
    </w:rPr>
  </w:style>
  <w:style w:type="paragraph" w:customStyle="1" w:styleId="37">
    <w:name w:val="Char Char Char Char Char Char Char1 Char"/>
    <w:basedOn w:val="1"/>
    <w:qFormat/>
    <w:uiPriority w:val="99"/>
    <w:rPr>
      <w:rFonts w:ascii="Tahoma" w:hAnsi="Tahoma"/>
      <w:sz w:val="24"/>
    </w:rPr>
  </w:style>
  <w:style w:type="character" w:customStyle="1" w:styleId="38">
    <w:name w:val="标题 3 Char"/>
    <w:basedOn w:val="19"/>
    <w:link w:val="4"/>
    <w:qFormat/>
    <w:locked/>
    <w:uiPriority w:val="99"/>
    <w:rPr>
      <w:b/>
      <w:bCs/>
      <w:sz w:val="32"/>
      <w:szCs w:val="32"/>
    </w:rPr>
  </w:style>
  <w:style w:type="paragraph" w:customStyle="1" w:styleId="39">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List Paragraph"/>
    <w:basedOn w:val="1"/>
    <w:unhideWhenUsed/>
    <w:qFormat/>
    <w:uiPriority w:val="99"/>
    <w:pPr>
      <w:ind w:firstLine="420" w:firstLineChars="200"/>
    </w:pPr>
    <w:rPr>
      <w:rFonts w:ascii="Calibri" w:hAnsi="Calibri"/>
      <w:szCs w:val="22"/>
    </w:rPr>
  </w:style>
  <w:style w:type="paragraph" w:customStyle="1" w:styleId="41">
    <w:name w:val="Table Paragraph"/>
    <w:basedOn w:val="1"/>
    <w:qFormat/>
    <w:uiPriority w:val="1"/>
  </w:style>
  <w:style w:type="paragraph" w:customStyle="1" w:styleId="42">
    <w:name w:val="_Style 1"/>
    <w:basedOn w:val="1"/>
    <w:qFormat/>
    <w:uiPriority w:val="0"/>
    <w:pPr>
      <w:ind w:firstLine="420" w:firstLineChars="200"/>
    </w:pPr>
    <w:rPr>
      <w:rFonts w:ascii="Calibri" w:hAnsi="Calibri"/>
      <w:szCs w:val="22"/>
    </w:rPr>
  </w:style>
  <w:style w:type="character" w:customStyle="1" w:styleId="43">
    <w:name w:val="fontborder"/>
    <w:basedOn w:val="19"/>
    <w:qFormat/>
    <w:uiPriority w:val="0"/>
    <w:rPr>
      <w:bdr w:val="single" w:color="000000" w:sz="6" w:space="0"/>
    </w:rPr>
  </w:style>
  <w:style w:type="character" w:customStyle="1" w:styleId="44">
    <w:name w:val="fontstrikethrough"/>
    <w:basedOn w:val="19"/>
    <w:qFormat/>
    <w:uiPriority w:val="0"/>
    <w:rPr>
      <w:strike/>
    </w:rPr>
  </w:style>
  <w:style w:type="character" w:customStyle="1" w:styleId="45">
    <w:name w:val="font11"/>
    <w:basedOn w:val="19"/>
    <w:qFormat/>
    <w:uiPriority w:val="0"/>
    <w:rPr>
      <w:rFonts w:hint="eastAsia" w:ascii="宋体" w:hAnsi="宋体" w:eastAsia="宋体" w:cs="宋体"/>
      <w:b/>
      <w:color w:val="000000"/>
      <w:sz w:val="18"/>
      <w:szCs w:val="18"/>
      <w:u w:val="none"/>
    </w:rPr>
  </w:style>
  <w:style w:type="character" w:customStyle="1" w:styleId="46">
    <w:name w:val="font61"/>
    <w:basedOn w:val="19"/>
    <w:qFormat/>
    <w:uiPriority w:val="0"/>
    <w:rPr>
      <w:rFonts w:hint="eastAsia" w:ascii="宋体" w:hAnsi="宋体" w:eastAsia="宋体" w:cs="宋体"/>
      <w:color w:val="000000"/>
      <w:sz w:val="18"/>
      <w:szCs w:val="18"/>
      <w:u w:val="none"/>
    </w:rPr>
  </w:style>
  <w:style w:type="character" w:customStyle="1" w:styleId="47">
    <w:name w:val="font01"/>
    <w:basedOn w:val="19"/>
    <w:qFormat/>
    <w:uiPriority w:val="0"/>
    <w:rPr>
      <w:rFonts w:hint="eastAsia" w:ascii="宋体" w:hAnsi="宋体" w:eastAsia="宋体" w:cs="宋体"/>
      <w:b/>
      <w:color w:val="000000"/>
      <w:sz w:val="18"/>
      <w:szCs w:val="18"/>
      <w:u w:val="none"/>
    </w:rPr>
  </w:style>
  <w:style w:type="character" w:customStyle="1" w:styleId="48">
    <w:name w:val="font51"/>
    <w:basedOn w:val="19"/>
    <w:qFormat/>
    <w:uiPriority w:val="0"/>
    <w:rPr>
      <w:rFonts w:hint="eastAsia" w:ascii="宋体" w:hAnsi="宋体" w:eastAsia="宋体" w:cs="宋体"/>
      <w:color w:val="000000"/>
      <w:sz w:val="18"/>
      <w:szCs w:val="18"/>
      <w:u w:val="none"/>
    </w:rPr>
  </w:style>
  <w:style w:type="paragraph" w:customStyle="1" w:styleId="49">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0">
    <w:name w:val="font71"/>
    <w:basedOn w:val="19"/>
    <w:qFormat/>
    <w:uiPriority w:val="0"/>
    <w:rPr>
      <w:rFonts w:hint="default" w:ascii="瀹嬩綋" w:hAnsi="瀹嬩綋" w:eastAsia="瀹嬩綋" w:cs="瀹嬩綋"/>
      <w:color w:val="888888"/>
      <w:sz w:val="21"/>
      <w:szCs w:val="21"/>
      <w:u w:val="none"/>
    </w:rPr>
  </w:style>
  <w:style w:type="character" w:customStyle="1" w:styleId="51">
    <w:name w:val="font81"/>
    <w:basedOn w:val="19"/>
    <w:uiPriority w:val="0"/>
    <w:rPr>
      <w:rFonts w:hint="default" w:ascii="方正仿宋简体" w:hAnsi="方正仿宋简体" w:eastAsia="方正仿宋简体" w:cs="方正仿宋简体"/>
      <w:b/>
      <w:color w:val="000000"/>
      <w:sz w:val="22"/>
      <w:szCs w:val="22"/>
      <w:u w:val="none"/>
    </w:rPr>
  </w:style>
  <w:style w:type="character" w:customStyle="1" w:styleId="52">
    <w:name w:val="font41"/>
    <w:basedOn w:val="19"/>
    <w:uiPriority w:val="0"/>
    <w:rPr>
      <w:rFonts w:hint="default" w:ascii="方正仿宋简体" w:hAnsi="方正仿宋简体" w:eastAsia="方正仿宋简体" w:cs="方正仿宋简体"/>
      <w:color w:val="000000"/>
      <w:sz w:val="22"/>
      <w:szCs w:val="22"/>
      <w:u w:val="none"/>
    </w:rPr>
  </w:style>
  <w:style w:type="character" w:customStyle="1" w:styleId="53">
    <w:name w:val="font21"/>
    <w:basedOn w:val="19"/>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2020-08-04T02:59:00Z</cp:lastPrinted>
  <dcterms:modified xsi:type="dcterms:W3CDTF">2021-01-08T04:30:39Z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