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left="0" w:leftChars="0" w:firstLine="0" w:firstLineChars="0"/>
        <w:jc w:val="center"/>
        <w:rPr>
          <w:rFonts w:hint="eastAsia" w:ascii="宋体" w:hAnsi="宋体"/>
          <w:b/>
          <w:bCs/>
          <w:color w:val="auto"/>
          <w:sz w:val="52"/>
          <w:szCs w:val="52"/>
          <w:lang w:val="en-US" w:eastAsia="zh-CN"/>
        </w:rPr>
      </w:pPr>
    </w:p>
    <w:p>
      <w:pPr>
        <w:pStyle w:val="15"/>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lang w:val="en-US" w:eastAsia="zh-CN"/>
        </w:rPr>
        <w:t>集团</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15"/>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15"/>
        <w:ind w:left="0" w:leftChars="0" w:firstLine="0" w:firstLineChars="0"/>
        <w:jc w:val="center"/>
        <w:rPr>
          <w:rFonts w:hint="eastAsia" w:ascii="宋体" w:hAnsi="宋体"/>
          <w:b/>
          <w:bCs/>
          <w:color w:val="auto"/>
          <w:sz w:val="52"/>
          <w:szCs w:val="52"/>
          <w:lang w:eastAsia="zh-CN"/>
        </w:rPr>
      </w:pPr>
    </w:p>
    <w:p>
      <w:pPr>
        <w:pStyle w:val="15"/>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15"/>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15"/>
        <w:jc w:val="center"/>
        <w:rPr>
          <w:rFonts w:hint="eastAsia" w:ascii="宋体" w:hAnsi="宋体"/>
          <w:b/>
          <w:bCs/>
          <w:color w:val="auto"/>
          <w:sz w:val="52"/>
          <w:szCs w:val="52"/>
          <w:lang w:eastAsia="zh-CN"/>
        </w:rPr>
      </w:pPr>
    </w:p>
    <w:p>
      <w:pPr>
        <w:pStyle w:val="15"/>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0"/>
          <w:kern w:val="0"/>
          <w:sz w:val="32"/>
          <w:szCs w:val="32"/>
          <w:lang w:val="en-US" w:eastAsia="zh-CN"/>
        </w:rPr>
        <w:t>霍山县顺通巴士有限公司日常业务开展用车采购</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default" w:ascii="宋体" w:hAnsi="等线" w:cs="Times New Roman"/>
          <w:b/>
          <w:bCs/>
          <w:color w:val="auto"/>
          <w:spacing w:val="34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351"/>
          <w:kern w:val="0"/>
          <w:sz w:val="32"/>
          <w:szCs w:val="32"/>
          <w:lang w:eastAsia="zh-CN"/>
        </w:rPr>
        <w:t>DBSCG-2020-135</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68"/>
          <w:kern w:val="0"/>
          <w:sz w:val="32"/>
          <w:szCs w:val="32"/>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164"/>
          <w:kern w:val="0"/>
          <w:sz w:val="32"/>
          <w:szCs w:val="32"/>
          <w:lang w:val="en-US" w:eastAsia="zh-CN"/>
        </w:rPr>
        <w:t>霍山县顺通巴士有限公司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96"/>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108"/>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spacing w:val="340"/>
        </w:rPr>
      </w:pPr>
      <w:r>
        <w:rPr>
          <w:rFonts w:hint="eastAsia" w:ascii="宋体" w:hAnsi="宋体" w:eastAsia="宋体" w:cs="宋体"/>
          <w:b/>
          <w:color w:val="auto"/>
          <w:spacing w:val="0"/>
          <w:kern w:val="0"/>
          <w:sz w:val="32"/>
          <w:szCs w:val="32"/>
        </w:rPr>
        <w:t>采购时间：</w:t>
      </w:r>
      <w:r>
        <w:rPr>
          <w:rFonts w:hint="eastAsia" w:ascii="宋体" w:hAnsi="宋体" w:cs="宋体"/>
          <w:b/>
          <w:color w:val="auto"/>
          <w:spacing w:val="0"/>
          <w:kern w:val="0"/>
          <w:sz w:val="32"/>
          <w:szCs w:val="32"/>
          <w:lang w:val="en-US" w:eastAsia="zh-CN"/>
        </w:rPr>
        <w:t xml:space="preserve">  </w:t>
      </w:r>
      <w:r>
        <w:rPr>
          <w:rFonts w:hint="eastAsia" w:ascii="宋体" w:hAnsi="宋体" w:eastAsia="宋体" w:cs="宋体"/>
          <w:b/>
          <w:color w:val="auto"/>
          <w:spacing w:val="329"/>
          <w:kern w:val="0"/>
          <w:sz w:val="32"/>
          <w:szCs w:val="32"/>
          <w:u w:val="none"/>
        </w:rPr>
        <w:t>二0</w:t>
      </w:r>
      <w:r>
        <w:rPr>
          <w:rFonts w:hint="eastAsia" w:ascii="宋体" w:hAnsi="宋体" w:cs="宋体"/>
          <w:b/>
          <w:color w:val="auto"/>
          <w:spacing w:val="329"/>
          <w:kern w:val="0"/>
          <w:sz w:val="32"/>
          <w:szCs w:val="32"/>
          <w:u w:val="none"/>
          <w:lang w:val="en-US" w:eastAsia="zh-CN"/>
        </w:rPr>
        <w:t>二0</w:t>
      </w:r>
      <w:r>
        <w:rPr>
          <w:rFonts w:hint="eastAsia" w:ascii="宋体" w:hAnsi="宋体" w:eastAsia="宋体" w:cs="宋体"/>
          <w:b/>
          <w:color w:val="auto"/>
          <w:spacing w:val="329"/>
          <w:kern w:val="0"/>
          <w:sz w:val="32"/>
          <w:szCs w:val="32"/>
          <w:u w:val="none"/>
        </w:rPr>
        <w:t>年</w:t>
      </w:r>
      <w:r>
        <w:rPr>
          <w:rFonts w:hint="eastAsia" w:ascii="宋体" w:hAnsi="宋体" w:cs="宋体"/>
          <w:b/>
          <w:color w:val="auto"/>
          <w:spacing w:val="329"/>
          <w:kern w:val="0"/>
          <w:sz w:val="32"/>
          <w:szCs w:val="32"/>
          <w:u w:val="none"/>
          <w:lang w:eastAsia="zh-CN"/>
        </w:rPr>
        <w:t>十一</w:t>
      </w:r>
      <w:r>
        <w:rPr>
          <w:rFonts w:hint="eastAsia" w:ascii="宋体" w:hAnsi="宋体" w:eastAsia="宋体" w:cs="宋体"/>
          <w:b/>
          <w:color w:val="auto"/>
          <w:spacing w:val="329"/>
          <w:kern w:val="0"/>
          <w:sz w:val="32"/>
          <w:szCs w:val="32"/>
          <w:u w:val="none"/>
        </w:rPr>
        <w:t>月</w:t>
      </w:r>
      <w:bookmarkStart w:id="0" w:name="_Toc11428_WPSOffice_Type1"/>
      <w:bookmarkStart w:id="1" w:name="_Toc363199264"/>
      <w:bookmarkStart w:id="2" w:name="_Toc216158623"/>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49"/>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49"/>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1"/>
        <w:ind w:left="0" w:leftChars="0" w:firstLine="0" w:firstLineChars="0"/>
        <w:rPr>
          <w:rFonts w:hint="eastAsia"/>
        </w:rPr>
      </w:pPr>
    </w:p>
    <w:p>
      <w:pPr>
        <w:rPr>
          <w:rFonts w:hint="eastAsia"/>
        </w:rPr>
      </w:pPr>
    </w:p>
    <w:p>
      <w:pPr>
        <w:pStyle w:val="31"/>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2"/>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2"/>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霍山县顺通巴士有限公司日常业务开展用车采购项目</w:t>
      </w:r>
      <w:r>
        <w:rPr>
          <w:rFonts w:hint="eastAsia" w:ascii="宋体" w:hAnsi="宋体" w:eastAsia="宋体" w:cs="宋体"/>
          <w:b/>
          <w:bCs/>
          <w:color w:val="auto"/>
          <w:kern w:val="0"/>
          <w:sz w:val="30"/>
          <w:szCs w:val="30"/>
          <w:lang w:val="en-US" w:eastAsia="zh-CN" w:bidi="ar-SA"/>
        </w:rPr>
        <w:t>询价公告</w:t>
      </w:r>
      <w:bookmarkEnd w:id="5"/>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s="宋体"/>
          <w:b w:val="0"/>
          <w:bCs w:val="0"/>
          <w:color w:val="auto"/>
          <w:kern w:val="2"/>
          <w:sz w:val="21"/>
          <w:szCs w:val="21"/>
          <w:u w:val="single"/>
          <w:lang w:val="en-US" w:eastAsia="zh-CN" w:bidi="ar-SA"/>
        </w:rPr>
      </w:pPr>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color w:val="auto"/>
          <w:kern w:val="2"/>
          <w:sz w:val="21"/>
          <w:szCs w:val="21"/>
          <w:u w:val="single"/>
          <w:lang w:val="en-US" w:eastAsia="zh-CN" w:bidi="ar-SA"/>
        </w:rPr>
        <w:t>霍山县顺通巴士有限公司日常业务开展用车采购项目</w:t>
      </w:r>
      <w:r>
        <w:rPr>
          <w:rFonts w:hint="eastAsia" w:ascii="宋体" w:hAnsi="宋体" w:eastAsia="宋体" w:cs="宋体"/>
          <w:b w:val="0"/>
          <w:bCs w:val="0"/>
          <w:color w:val="auto"/>
          <w:kern w:val="2"/>
          <w:sz w:val="21"/>
          <w:szCs w:val="21"/>
          <w:lang w:val="en-US" w:eastAsia="zh-CN" w:bidi="ar-SA"/>
        </w:rPr>
        <w:t>经</w:t>
      </w:r>
      <w:r>
        <w:rPr>
          <w:rFonts w:hint="eastAsia" w:ascii="宋体" w:hAnsi="宋体" w:cs="宋体"/>
          <w:b w:val="0"/>
          <w:bCs w:val="0"/>
          <w:color w:val="auto"/>
          <w:kern w:val="2"/>
          <w:sz w:val="21"/>
          <w:szCs w:val="21"/>
          <w:u w:val="single"/>
          <w:lang w:val="en-US" w:eastAsia="zh-CN" w:bidi="ar-SA"/>
        </w:rPr>
        <w:t>安徽大别山国投集团</w:t>
      </w:r>
      <w:r>
        <w:rPr>
          <w:rFonts w:hint="eastAsia" w:ascii="宋体" w:hAnsi="宋体" w:cs="宋体"/>
          <w:b w:val="0"/>
          <w:bCs w:val="0"/>
          <w:color w:val="auto"/>
          <w:kern w:val="2"/>
          <w:sz w:val="21"/>
          <w:szCs w:val="21"/>
          <w:lang w:val="en-US" w:eastAsia="zh-CN" w:bidi="ar-SA"/>
        </w:rPr>
        <w:t>审批，</w:t>
      </w:r>
      <w:r>
        <w:rPr>
          <w:rFonts w:hint="eastAsia" w:ascii="宋体" w:hAnsi="宋体" w:eastAsia="宋体" w:cs="宋体"/>
          <w:b w:val="0"/>
          <w:bCs w:val="0"/>
          <w:color w:val="auto"/>
          <w:kern w:val="2"/>
          <w:sz w:val="21"/>
          <w:szCs w:val="21"/>
          <w:lang w:val="en-US" w:eastAsia="zh-CN" w:bidi="ar-SA"/>
        </w:rPr>
        <w:t>采取询价方式采购。</w:t>
      </w: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val="en-US" w:eastAsia="zh-CN"/>
        </w:rPr>
        <w:t>霍山县顺通巴士有限公司</w:t>
      </w:r>
      <w:r>
        <w:rPr>
          <w:rFonts w:hint="eastAsia" w:ascii="宋体" w:hAnsi="宋体" w:eastAsia="宋体" w:cs="宋体"/>
          <w:b w:val="0"/>
          <w:bCs w:val="0"/>
          <w:i w:val="0"/>
          <w:caps w:val="0"/>
          <w:color w:val="auto"/>
          <w:spacing w:val="0"/>
          <w:sz w:val="21"/>
          <w:szCs w:val="21"/>
          <w:shd w:val="clear" w:color="auto" w:fill="FFFFFF"/>
        </w:rPr>
        <w:t>的委托，现对</w:t>
      </w:r>
      <w:r>
        <w:rPr>
          <w:rFonts w:hint="eastAsia" w:ascii="宋体" w:hAnsi="宋体" w:cs="宋体"/>
          <w:b w:val="0"/>
          <w:bCs w:val="0"/>
          <w:color w:val="auto"/>
          <w:kern w:val="2"/>
          <w:sz w:val="21"/>
          <w:szCs w:val="21"/>
          <w:u w:val="single"/>
          <w:lang w:val="en-US" w:eastAsia="zh-CN" w:bidi="ar-SA"/>
        </w:rPr>
        <w:t>霍山县顺通巴士有限公司日常业务开展用车采购项目</w:t>
      </w:r>
      <w:r>
        <w:rPr>
          <w:rFonts w:hint="eastAsia" w:ascii="宋体" w:hAnsi="宋体" w:eastAsia="宋体" w:cs="宋体"/>
          <w:b w:val="0"/>
          <w:bCs w:val="0"/>
          <w:i w:val="0"/>
          <w:caps w:val="0"/>
          <w:color w:val="auto"/>
          <w:spacing w:val="0"/>
          <w:sz w:val="21"/>
          <w:szCs w:val="21"/>
          <w:shd w:val="clear" w:color="auto" w:fill="FFFFFF"/>
        </w:rPr>
        <w:t>进行询价采购，欢迎具备条件的国内供应商参加询价。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霍山县顺通巴士有限公司日常业务开展用车采购项目</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DBSCG-2020-135</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霍山县顺通巴士有限公司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23万元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7、最高限价：22.6万元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9、项目概况：1辆大众探岳2020款新款 R-Line智联版380TSI四驱汽车、黑色</w:t>
      </w:r>
      <w:r>
        <w:rPr>
          <w:rFonts w:hint="eastAsia" w:ascii="宋体" w:hAnsi="宋体" w:cs="宋体"/>
          <w:i w:val="0"/>
          <w:caps w:val="0"/>
          <w:color w:val="auto"/>
          <w:spacing w:val="0"/>
          <w:sz w:val="21"/>
          <w:szCs w:val="21"/>
          <w:highlight w:val="none"/>
          <w:shd w:val="clear" w:color="auto" w:fill="FFFFFF"/>
          <w:lang w:val="en-US"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2、供应商具有车辆经营许可证或车辆代销合同；</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3、如为代理商投标，则供应商应出具所投产品制造厂家售后服务承诺书；</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4、具有本次采购货物的供货及售后服务能力；</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5、本项目不接受联合体参与投标；</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6、供应商存在以下不良信用记录情形之一的，不得推荐为中标候选供应商，不得确定为中标供应商（仅以下述渠道查询结果为准，其他网站无效）：</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11月19日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11月25日9时00分。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6"/>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11</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25</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9</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霍山县顺通巴士有限公司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霍山县衡山镇迎宾大道8号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徐先生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18555855424</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徐女士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20033，15305645253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（三）监督部门：安徽大别山国投集团监察办公室</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地址：安徽霍山经济开发区高桥湾路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联系人：</w:t>
      </w:r>
      <w:r>
        <w:rPr>
          <w:rFonts w:hint="eastAsia" w:ascii="宋体" w:hAnsi="宋体" w:cs="宋体"/>
          <w:i w:val="0"/>
          <w:caps w:val="0"/>
          <w:color w:val="auto"/>
          <w:spacing w:val="0"/>
          <w:sz w:val="21"/>
          <w:szCs w:val="21"/>
          <w:shd w:val="clear" w:color="auto" w:fill="FFFFFF"/>
          <w:lang w:val="en-US" w:eastAsia="zh-CN"/>
        </w:rPr>
        <w:t>任主任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电话：0564-5020180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cs="宋体"/>
          <w:b/>
          <w:i w:val="0"/>
          <w:caps w:val="0"/>
          <w:color w:val="auto"/>
          <w:spacing w:val="0"/>
          <w:sz w:val="21"/>
          <w:szCs w:val="21"/>
          <w:shd w:val="clear" w:color="auto" w:fill="FFFFFF"/>
          <w:lang w:val="en-US" w:eastAsia="zh-CN"/>
        </w:rPr>
        <w:t>七</w:t>
      </w:r>
      <w:r>
        <w:rPr>
          <w:rFonts w:hint="eastAsia" w:ascii="宋体" w:hAnsi="宋体" w:eastAsia="宋体" w:cs="宋体"/>
          <w:b/>
          <w:i w:val="0"/>
          <w:caps w:val="0"/>
          <w:color w:val="auto"/>
          <w:spacing w:val="0"/>
          <w:sz w:val="21"/>
          <w:szCs w:val="21"/>
          <w:shd w:val="clear" w:color="auto" w:fill="FFFFFF"/>
          <w:lang w:val="en-US" w:eastAsia="zh-CN"/>
        </w:rPr>
        <w:t>、</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肆仟元整</w:t>
      </w:r>
      <w:r>
        <w:rPr>
          <w:rFonts w:hint="eastAsia" w:asciiTheme="majorEastAsia" w:hAnsiTheme="majorEastAsia" w:eastAsiaTheme="majorEastAsia" w:cstheme="majorEastAsia"/>
          <w:i w:val="0"/>
          <w:caps w:val="0"/>
          <w:color w:val="auto"/>
          <w:spacing w:val="0"/>
          <w:sz w:val="21"/>
          <w:szCs w:val="21"/>
          <w:shd w:val="clear" w:color="auto" w:fill="FFFFFF"/>
          <w:lang w:val="en-US" w:eastAsia="zh-CN"/>
        </w:rPr>
        <w:t>(¥40</w:t>
      </w:r>
      <w:r>
        <w:rPr>
          <w:rFonts w:hint="eastAsia" w:ascii="宋体" w:hAnsi="宋体" w:cs="宋体"/>
          <w:i w:val="0"/>
          <w:caps w:val="0"/>
          <w:color w:val="auto"/>
          <w:spacing w:val="0"/>
          <w:sz w:val="21"/>
          <w:szCs w:val="21"/>
          <w:shd w:val="clear" w:color="auto" w:fill="FFFFFF"/>
          <w:lang w:val="en-US" w:eastAsia="zh-CN"/>
        </w:rPr>
        <w:t>00.00元)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4、汇出账户要求：供应商缴纳账户应与供应商名称一致</w:t>
      </w:r>
      <w:r>
        <w:rPr>
          <w:rFonts w:hint="eastAsia" w:ascii="宋体" w:hAnsi="宋体" w:cs="宋体"/>
          <w:b/>
          <w:bCs/>
          <w:i w:val="0"/>
          <w:caps w:val="0"/>
          <w:color w:val="auto"/>
          <w:spacing w:val="0"/>
          <w:sz w:val="21"/>
          <w:szCs w:val="21"/>
          <w:shd w:val="clear" w:color="auto" w:fill="FFFFFF"/>
          <w:lang w:val="en-US" w:eastAsia="zh-CN"/>
        </w:rPr>
        <w:t>，到账时间为响应截止时间前。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霍山县顺通巴士有限公司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11月19日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3"/>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霍山县顺通巴士有限公司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霍山县衡山镇迎宾大道</w:t>
            </w:r>
            <w:r>
              <w:rPr>
                <w:rFonts w:hint="default" w:ascii="宋体" w:hAnsi="宋体" w:cs="宋体"/>
                <w:i w:val="0"/>
                <w:caps w:val="0"/>
                <w:color w:val="auto"/>
                <w:spacing w:val="0"/>
                <w:sz w:val="21"/>
                <w:szCs w:val="21"/>
                <w:highlight w:val="none"/>
                <w:shd w:val="clear" w:color="auto" w:fill="FFFFFF"/>
                <w:lang w:val="en-US" w:eastAsia="zh-CN"/>
              </w:rPr>
              <w:t>8号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徐先生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18555855424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徐女士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20033  15305645253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霍山县顺通巴士有限公司日常业务开展用车采购项目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4"/>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DBSCG-2020-135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贰拾贰万陆仟元整</w:t>
            </w:r>
            <w:r>
              <w:rPr>
                <w:rFonts w:hint="eastAsia" w:ascii="宋体" w:hAnsi="宋体" w:eastAsia="宋体" w:cs="宋体"/>
                <w:b w:val="0"/>
                <w:bCs w:val="0"/>
                <w:color w:val="auto"/>
                <w:spacing w:val="0"/>
                <w:kern w:val="2"/>
                <w:sz w:val="21"/>
                <w:szCs w:val="21"/>
                <w:highlight w:val="none"/>
                <w:lang w:val="en-US" w:eastAsia="zh-CN" w:bidi="ar-SA"/>
              </w:rPr>
              <w:t>（￥</w:t>
            </w:r>
            <w:r>
              <w:rPr>
                <w:rFonts w:hint="eastAsia" w:cs="宋体"/>
                <w:b w:val="0"/>
                <w:bCs w:val="0"/>
                <w:color w:val="auto"/>
                <w:spacing w:val="0"/>
                <w:kern w:val="2"/>
                <w:sz w:val="21"/>
                <w:szCs w:val="21"/>
                <w:highlight w:val="none"/>
                <w:lang w:val="en-US" w:eastAsia="zh-CN" w:bidi="ar-SA"/>
              </w:rPr>
              <w:t>226000</w:t>
            </w:r>
            <w:r>
              <w:rPr>
                <w:rFonts w:hint="eastAsia" w:ascii="宋体" w:hAnsi="宋体" w:eastAsia="宋体" w:cs="宋体"/>
                <w:b w:val="0"/>
                <w:bCs w:val="0"/>
                <w:color w:val="auto"/>
                <w:spacing w:val="0"/>
                <w:kern w:val="2"/>
                <w:sz w:val="21"/>
                <w:szCs w:val="21"/>
                <w:highlight w:val="none"/>
                <w:lang w:val="en-US" w:eastAsia="zh-CN" w:bidi="ar-SA"/>
              </w:rPr>
              <w:t>.00元），超过此限价的报价为无效响应。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经验收合格，一次性付清。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中标之日起7日内完成供货</w:t>
            </w:r>
            <w:r>
              <w:rPr>
                <w:rFonts w:hint="eastAsia" w:ascii="宋体" w:hAnsi="宋体" w:cs="宋体"/>
                <w:b w:val="0"/>
                <w:bCs w:val="0"/>
                <w:color w:val="auto"/>
                <w:spacing w:val="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zh-CN" w:eastAsia="zh-CN"/>
              </w:rPr>
              <w:t>验收合格之日起</w:t>
            </w:r>
            <w:r>
              <w:rPr>
                <w:rFonts w:hint="eastAsia" w:ascii="宋体" w:hAnsi="宋体" w:cs="宋体"/>
                <w:b w:val="0"/>
                <w:bCs w:val="0"/>
                <w:color w:val="auto"/>
                <w:spacing w:val="0"/>
                <w:szCs w:val="21"/>
                <w:highlight w:val="none"/>
                <w:lang w:val="en-US" w:eastAsia="zh-CN"/>
              </w:rPr>
              <w:t>3</w:t>
            </w:r>
            <w:r>
              <w:rPr>
                <w:rFonts w:hint="eastAsia" w:ascii="宋体" w:hAnsi="宋体" w:cs="宋体"/>
                <w:b w:val="0"/>
                <w:bCs w:val="0"/>
                <w:color w:val="auto"/>
                <w:spacing w:val="0"/>
                <w:szCs w:val="21"/>
                <w:highlight w:val="none"/>
                <w:lang w:val="zh-CN" w:eastAsia="zh-CN"/>
              </w:rPr>
              <w:t>年或</w:t>
            </w:r>
            <w:r>
              <w:rPr>
                <w:rFonts w:hint="eastAsia" w:ascii="宋体" w:hAnsi="宋体" w:cs="宋体"/>
                <w:b w:val="0"/>
                <w:bCs w:val="0"/>
                <w:color w:val="auto"/>
                <w:spacing w:val="0"/>
                <w:szCs w:val="21"/>
                <w:highlight w:val="none"/>
                <w:lang w:val="en-US" w:eastAsia="zh-CN"/>
              </w:rPr>
              <w:t>10万公里</w:t>
            </w:r>
            <w:r>
              <w:rPr>
                <w:rFonts w:hint="eastAsia" w:ascii="宋体" w:hAnsi="宋体" w:cs="宋体"/>
                <w:b w:val="0"/>
                <w:bCs w:val="0"/>
                <w:color w:val="auto"/>
                <w:spacing w:val="0"/>
                <w:szCs w:val="21"/>
                <w:highlight w:val="none"/>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1"/>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0"/>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本项目无需报名，</w:t>
            </w:r>
            <w:r>
              <w:rPr>
                <w:rFonts w:hint="eastAsia" w:ascii="宋体" w:hAnsi="宋体"/>
                <w:color w:val="auto"/>
                <w:spacing w:val="0"/>
                <w:szCs w:val="21"/>
                <w:highlight w:val="none"/>
              </w:rPr>
              <w:t>有意参加投标的投标企业在投标截止时间前将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6"/>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eastAsia="宋体" w:cs="宋体"/>
                <w:color w:val="auto"/>
                <w:spacing w:val="0"/>
                <w:sz w:val="21"/>
                <w:szCs w:val="21"/>
                <w:highlight w:val="none"/>
              </w:rPr>
              <w:t>合同价的</w:t>
            </w:r>
            <w:r>
              <w:rPr>
                <w:rFonts w:hint="eastAsia" w:ascii="宋体" w:hAnsi="宋体" w:cs="宋体"/>
                <w:color w:val="auto"/>
                <w:spacing w:val="0"/>
                <w:sz w:val="21"/>
                <w:szCs w:val="21"/>
                <w:highlight w:val="none"/>
                <w:u w:val="single"/>
                <w:lang w:val="en-US" w:eastAsia="zh-CN"/>
              </w:rPr>
              <w:t xml:space="preserve"> </w:t>
            </w:r>
            <w:r>
              <w:rPr>
                <w:rFonts w:hint="eastAsia" w:ascii="宋体" w:hAnsi="宋体" w:eastAsia="宋体" w:cs="宋体"/>
                <w:color w:val="auto"/>
                <w:spacing w:val="0"/>
                <w:sz w:val="21"/>
                <w:szCs w:val="21"/>
                <w:highlight w:val="none"/>
                <w:u w:val="single"/>
                <w:lang w:val="en-US" w:eastAsia="zh-CN"/>
              </w:rPr>
              <w:t>/</w:t>
            </w:r>
            <w:r>
              <w:rPr>
                <w:rFonts w:hint="eastAsia" w:ascii="宋体" w:hAnsi="宋体" w:cs="宋体"/>
                <w:color w:val="auto"/>
                <w:spacing w:val="0"/>
                <w:sz w:val="21"/>
                <w:szCs w:val="21"/>
                <w:highlight w:val="none"/>
                <w:u w:val="single"/>
                <w:lang w:val="en-US" w:eastAsia="zh-CN"/>
              </w:rPr>
              <w:t xml:space="preserve"> </w:t>
            </w:r>
            <w:r>
              <w:rPr>
                <w:rFonts w:hint="eastAsia" w:ascii="宋体" w:hAnsi="宋体" w:eastAsia="宋体" w:cs="宋体"/>
                <w:color w:val="auto"/>
                <w:spacing w:val="0"/>
                <w:sz w:val="21"/>
                <w:szCs w:val="21"/>
                <w:highlight w:val="none"/>
              </w:rPr>
              <w:t>%，期限：</w:t>
            </w:r>
            <w:r>
              <w:rPr>
                <w:rFonts w:hint="eastAsia" w:ascii="宋体" w:hAnsi="宋体" w:cs="宋体"/>
                <w:color w:val="auto"/>
                <w:spacing w:val="0"/>
                <w:sz w:val="21"/>
                <w:szCs w:val="21"/>
                <w:highlight w:val="none"/>
                <w:lang w:eastAsia="zh-CN"/>
              </w:rPr>
              <w:t>产品到达指定现场后，全额退还全部履约保证金</w:t>
            </w:r>
            <w:r>
              <w:rPr>
                <w:rFonts w:hint="eastAsia" w:ascii="宋体" w:hAnsi="宋体" w:eastAsia="宋体" w:cs="宋体"/>
                <w:color w:val="auto"/>
                <w:spacing w:val="0"/>
                <w:sz w:val="21"/>
                <w:szCs w:val="21"/>
                <w:highlight w:val="none"/>
              </w:rPr>
              <w:t>。收受方式为：</w:t>
            </w:r>
            <w:r>
              <w:rPr>
                <w:rFonts w:hint="eastAsia" w:ascii="宋体" w:hAnsi="宋体" w:cs="宋体"/>
                <w:color w:val="auto"/>
                <w:spacing w:val="0"/>
                <w:sz w:val="21"/>
                <w:szCs w:val="21"/>
                <w:highlight w:val="none"/>
                <w:shd w:val="clear" w:color="auto" w:fill="FFFFFF"/>
                <w:lang w:eastAsia="zh-CN"/>
              </w:rPr>
              <w:t>□</w:t>
            </w:r>
            <w:r>
              <w:rPr>
                <w:rFonts w:hint="eastAsia" w:ascii="宋体" w:hAnsi="宋体" w:eastAsia="宋体" w:cs="宋体"/>
                <w:color w:val="auto"/>
                <w:spacing w:val="0"/>
                <w:sz w:val="21"/>
                <w:szCs w:val="21"/>
                <w:highlight w:val="none"/>
                <w:u w:val="single"/>
              </w:rPr>
              <w:t>转账/电汇、□保函</w:t>
            </w:r>
            <w:r>
              <w:rPr>
                <w:rFonts w:hint="eastAsia" w:ascii="宋体" w:hAnsi="宋体" w:eastAsia="宋体" w:cs="宋体"/>
                <w:color w:val="auto"/>
                <w:spacing w:val="0"/>
                <w:sz w:val="21"/>
                <w:szCs w:val="21"/>
                <w:highlight w:val="none"/>
              </w:rPr>
              <w:t>，收受人为</w:t>
            </w:r>
            <w:r>
              <w:rPr>
                <w:rFonts w:hint="eastAsia" w:ascii="宋体" w:hAnsi="宋体" w:cs="宋体"/>
                <w:color w:val="auto"/>
                <w:spacing w:val="0"/>
                <w:sz w:val="21"/>
                <w:szCs w:val="21"/>
                <w:highlight w:val="none"/>
                <w:shd w:val="clear" w:color="auto" w:fill="FFFFFF"/>
                <w:lang w:eastAsia="zh-CN"/>
              </w:rPr>
              <w:t>□</w:t>
            </w:r>
            <w:r>
              <w:rPr>
                <w:rFonts w:hint="eastAsia" w:ascii="宋体" w:hAnsi="宋体" w:eastAsia="宋体" w:cs="宋体"/>
                <w:color w:val="auto"/>
                <w:spacing w:val="0"/>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备注一</w:t>
            </w:r>
          </w:p>
        </w:tc>
        <w:tc>
          <w:tcPr>
            <w:tcW w:w="7568" w:type="dxa"/>
            <w:vAlign w:val="center"/>
          </w:tcPr>
          <w:p>
            <w:pPr>
              <w:pStyle w:val="35"/>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p>
            <w:pPr>
              <w:pStyle w:val="35"/>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3</w:t>
            </w:r>
            <w:r>
              <w:rPr>
                <w:rFonts w:hint="eastAsia" w:ascii="宋体" w:hAnsi="宋体" w:eastAsia="宋体" w:cs="宋体"/>
                <w:color w:val="auto"/>
                <w:spacing w:val="0"/>
                <w:sz w:val="21"/>
                <w:szCs w:val="21"/>
                <w:highlight w:val="none"/>
              </w:rPr>
              <w:t>、询价时，供应商应当查询上述记录后，如实提供无不良信用记录承诺并加盖供应商</w:t>
            </w:r>
            <w:r>
              <w:rPr>
                <w:rFonts w:hint="eastAsia" w:ascii="宋体" w:hAnsi="宋体" w:cs="宋体"/>
                <w:color w:val="auto"/>
                <w:spacing w:val="0"/>
                <w:sz w:val="21"/>
                <w:szCs w:val="21"/>
                <w:highlight w:val="none"/>
                <w:lang w:eastAsia="zh-CN"/>
              </w:rPr>
              <w:t>公</w:t>
            </w:r>
            <w:r>
              <w:rPr>
                <w:rFonts w:hint="eastAsia" w:ascii="宋体" w:hAnsi="宋体" w:eastAsia="宋体" w:cs="宋体"/>
                <w:color w:val="auto"/>
                <w:spacing w:val="0"/>
                <w:sz w:val="21"/>
                <w:szCs w:val="21"/>
                <w:highlight w:val="none"/>
              </w:rPr>
              <w:t>章。联合体询价的，所有联合体成员均须加盖公章。</w:t>
            </w:r>
          </w:p>
          <w:p>
            <w:pPr>
              <w:pStyle w:val="35"/>
              <w:adjustRightInd w:val="0"/>
              <w:snapToGrid w:val="0"/>
              <w:spacing w:line="320" w:lineRule="exact"/>
              <w:rPr>
                <w:rFonts w:hint="eastAsia" w:ascii="宋体" w:hAnsi="宋体" w:eastAsia="宋体" w:cs="宋体"/>
                <w:b/>
                <w:bCs/>
                <w:color w:val="auto"/>
                <w:spacing w:val="0"/>
                <w:kern w:val="0"/>
                <w:szCs w:val="21"/>
                <w:highlight w:val="none"/>
                <w:shd w:val="clear" w:color="auto" w:fill="FFFFFF"/>
              </w:rPr>
            </w:pPr>
            <w:r>
              <w:rPr>
                <w:rFonts w:hint="eastAsia" w:ascii="宋体" w:hAnsi="宋体" w:eastAsia="宋体" w:cs="宋体"/>
                <w:b/>
                <w:bCs/>
                <w:color w:val="auto"/>
                <w:spacing w:val="0"/>
                <w:sz w:val="21"/>
                <w:szCs w:val="21"/>
                <w:highlight w:val="none"/>
              </w:rPr>
              <w:t>如有虚假，将取消成交资格并上报</w:t>
            </w:r>
            <w:r>
              <w:rPr>
                <w:rFonts w:hint="eastAsia" w:ascii="宋体" w:hAnsi="宋体" w:cs="宋体"/>
                <w:b/>
                <w:bCs/>
                <w:color w:val="auto"/>
                <w:spacing w:val="0"/>
                <w:sz w:val="21"/>
                <w:szCs w:val="21"/>
                <w:highlight w:val="none"/>
                <w:lang w:val="en-US" w:eastAsia="zh-CN"/>
              </w:rPr>
              <w:t>安徽大别山国投集团</w:t>
            </w:r>
            <w:r>
              <w:rPr>
                <w:rFonts w:hint="eastAsia" w:ascii="宋体" w:hAnsi="宋体" w:eastAsia="宋体" w:cs="宋体"/>
                <w:b/>
                <w:bCs/>
                <w:color w:val="auto"/>
                <w:spacing w:val="0"/>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5"/>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5"/>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r>
              <w:rPr>
                <w:rFonts w:hint="eastAsia" w:ascii="宋体" w:hAnsi="宋体" w:eastAsia="宋体" w:cs="宋体"/>
                <w:b/>
                <w:color w:val="auto"/>
                <w:spacing w:val="0"/>
                <w:sz w:val="21"/>
                <w:szCs w:val="21"/>
                <w:highlight w:val="none"/>
                <w:lang w:val="en-US" w:eastAsia="zh-CN"/>
              </w:rPr>
              <w:t>保证金进账单</w:t>
            </w:r>
            <w:r>
              <w:rPr>
                <w:rFonts w:hint="eastAsia" w:ascii="宋体" w:hAnsi="宋体" w:eastAsia="宋体" w:cs="宋体"/>
                <w:b/>
                <w:color w:val="auto"/>
                <w:spacing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w:t>
            </w:r>
            <w:r>
              <w:rPr>
                <w:rFonts w:hint="eastAsia" w:ascii="宋体" w:hAnsi="宋体" w:cs="宋体"/>
                <w:b/>
                <w:bCs/>
                <w:color w:val="auto"/>
                <w:spacing w:val="0"/>
                <w:szCs w:val="22"/>
                <w:highlight w:val="none"/>
                <w:lang w:val="en-US" w:eastAsia="zh-CN"/>
              </w:rPr>
              <w:t>成交</w:t>
            </w:r>
            <w:r>
              <w:rPr>
                <w:rFonts w:hint="eastAsia" w:ascii="宋体" w:hAnsi="宋体" w:eastAsia="宋体" w:cs="宋体"/>
                <w:b/>
                <w:bCs/>
                <w:color w:val="auto"/>
                <w:spacing w:val="0"/>
                <w:szCs w:val="22"/>
                <w:highlight w:val="none"/>
                <w:lang w:val="en-US" w:eastAsia="zh-CN"/>
              </w:rPr>
              <w:t>人支付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成交通知书发放前，按规定向代理机构交纳采购代理服务费。</w:t>
            </w:r>
          </w:p>
          <w:p>
            <w:pPr>
              <w:adjustRightInd w:val="0"/>
              <w:snapToGrid w:val="0"/>
              <w:spacing w:line="360" w:lineRule="exact"/>
              <w:jc w:val="left"/>
              <w:rPr>
                <w:rFonts w:hint="eastAsia" w:ascii="宋体" w:hAnsi="宋体" w:eastAsia="宋体" w:cs="宋体"/>
                <w:b/>
                <w:color w:val="auto"/>
                <w:spacing w:val="0"/>
                <w:sz w:val="21"/>
                <w:szCs w:val="21"/>
                <w:highlight w:val="none"/>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p>
        </w:tc>
      </w:tr>
    </w:tbl>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363199267"/>
      <w:bookmarkStart w:id="11" w:name="_Toc216158627"/>
      <w:r>
        <w:rPr>
          <w:rFonts w:hint="eastAsia" w:ascii="宋体" w:hAnsi="宋体" w:eastAsia="宋体" w:cs="宋体"/>
          <w:bCs/>
          <w:color w:val="auto"/>
          <w:sz w:val="28"/>
          <w:szCs w:val="28"/>
        </w:rPr>
        <w:t>（二）供应商资格</w:t>
      </w:r>
      <w:bookmarkEnd w:id="8"/>
    </w:p>
    <w:bookmarkEnd w:id="9"/>
    <w:p>
      <w:pPr>
        <w:pStyle w:val="36"/>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438648662"/>
      <w:bookmarkStart w:id="13" w:name="_Toc363199266"/>
      <w:bookmarkStart w:id="14" w:name="_Toc12806"/>
      <w:bookmarkStart w:id="15" w:name="_Toc216158625"/>
      <w:r>
        <w:rPr>
          <w:rFonts w:hint="eastAsia"/>
          <w:color w:val="auto"/>
          <w:sz w:val="24"/>
          <w:szCs w:val="24"/>
          <w:lang w:eastAsia="zh-CN"/>
        </w:rPr>
        <w:t>详见询价公告</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安徽</w:t>
      </w:r>
      <w:r>
        <w:rPr>
          <w:rFonts w:hint="eastAsia" w:ascii="宋体" w:hAnsi="宋体" w:cs="宋体"/>
          <w:color w:val="auto"/>
          <w:szCs w:val="21"/>
          <w:lang w:val="en-US" w:eastAsia="zh-CN"/>
        </w:rPr>
        <w:t>大别山</w:t>
      </w:r>
      <w:r>
        <w:rPr>
          <w:rFonts w:hint="eastAsia" w:ascii="宋体" w:hAnsi="宋体" w:cs="宋体"/>
          <w:color w:val="auto"/>
          <w:szCs w:val="21"/>
          <w:lang w:eastAsia="zh-CN"/>
        </w:rPr>
        <w:t>国投集团监察办公室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5"/>
        <w:rPr>
          <w:rFonts w:hint="eastAsia"/>
          <w:color w:val="auto"/>
        </w:rPr>
      </w:pPr>
    </w:p>
    <w:bookmarkEnd w:id="10"/>
    <w:bookmarkEnd w:id="11"/>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不足三家，采购人将依法重新开展谈判或向安徽大别山国投集团申请转变采购方式；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471299095"/>
      <w:bookmarkStart w:id="26" w:name="_Toc382"/>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2天将质疑电子版及纸质版（需加盖供应商公章）提交至327960289@qq.com，质疑纸质版需送至安徽大别山工程咨询有限公司207办公室。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安徽大别山国投集团监察办公室</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安徽大别山国投集团监察办公室</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6"/>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25805"/>
      <w:bookmarkStart w:id="32" w:name="_Toc8300_WPSOffice_Level1"/>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p>
    <w:p>
      <w:pPr>
        <w:pStyle w:val="15"/>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numPr>
          <w:ilvl w:val="0"/>
          <w:numId w:val="1"/>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tbl>
      <w:tblPr>
        <w:tblStyle w:val="17"/>
        <w:tblW w:w="9585" w:type="dxa"/>
        <w:tblInd w:w="0" w:type="dxa"/>
        <w:shd w:val="clear" w:color="auto" w:fill="auto"/>
        <w:tblLayout w:type="autofit"/>
        <w:tblCellMar>
          <w:top w:w="0" w:type="dxa"/>
          <w:left w:w="0" w:type="dxa"/>
          <w:bottom w:w="0" w:type="dxa"/>
          <w:right w:w="0" w:type="dxa"/>
        </w:tblCellMar>
      </w:tblPr>
      <w:tblGrid>
        <w:gridCol w:w="6705"/>
        <w:gridCol w:w="2880"/>
      </w:tblGrid>
      <w:tr>
        <w:tblPrEx>
          <w:shd w:val="clear" w:color="auto" w:fill="auto"/>
          <w:tblCellMar>
            <w:top w:w="0" w:type="dxa"/>
            <w:left w:w="0" w:type="dxa"/>
            <w:bottom w:w="0" w:type="dxa"/>
            <w:right w:w="0" w:type="dxa"/>
          </w:tblCellMar>
        </w:tblPrEx>
        <w:trPr>
          <w:trHeight w:val="740" w:hRule="atLeast"/>
        </w:trPr>
        <w:tc>
          <w:tcPr>
            <w:tcW w:w="95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2"/>
                <w:szCs w:val="22"/>
                <w:u w:val="none"/>
                <w:shd w:val="clear" w:color="auto" w:fill="auto"/>
              </w:rPr>
            </w:pPr>
            <w:bookmarkStart w:id="106" w:name="_GoBack"/>
            <w:r>
              <w:rPr>
                <w:rFonts w:hint="eastAsia" w:asciiTheme="minorEastAsia" w:hAnsiTheme="minorEastAsia" w:eastAsiaTheme="minorEastAsia" w:cstheme="minorEastAsia"/>
                <w:b/>
                <w:color w:val="auto"/>
                <w:spacing w:val="0"/>
                <w:kern w:val="0"/>
                <w:sz w:val="32"/>
                <w:szCs w:val="32"/>
                <w:shd w:val="clear" w:color="auto" w:fill="auto"/>
                <w:lang w:val="en-US" w:eastAsia="zh-CN"/>
              </w:rPr>
              <w:t>霍山县顺通巴士有限公司日常业务开展用车采购项目</w:t>
            </w:r>
            <w:r>
              <w:rPr>
                <w:rFonts w:hint="eastAsia" w:asciiTheme="minorEastAsia" w:hAnsiTheme="minorEastAsia" w:eastAsiaTheme="minorEastAsia" w:cstheme="minorEastAsia"/>
                <w:b/>
                <w:i w:val="0"/>
                <w:color w:val="auto"/>
                <w:kern w:val="0"/>
                <w:sz w:val="32"/>
                <w:szCs w:val="32"/>
                <w:u w:val="none"/>
                <w:shd w:val="clear" w:color="auto" w:fill="auto"/>
                <w:lang w:val="en-US" w:eastAsia="zh-CN" w:bidi="ar"/>
              </w:rPr>
              <w:t>技术参数</w:t>
            </w:r>
          </w:p>
        </w:tc>
      </w:tr>
      <w:tr>
        <w:tblPrEx>
          <w:tblCellMar>
            <w:top w:w="0" w:type="dxa"/>
            <w:left w:w="0" w:type="dxa"/>
            <w:bottom w:w="0" w:type="dxa"/>
            <w:right w:w="0" w:type="dxa"/>
          </w:tblCellMar>
        </w:tblPrEx>
        <w:trPr>
          <w:trHeight w:val="740" w:hRule="atLeast"/>
        </w:trPr>
        <w:tc>
          <w:tcPr>
            <w:tcW w:w="95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heme="minorEastAsia" w:hAnsiTheme="minorEastAsia" w:eastAsiaTheme="minorEastAsia" w:cstheme="minorEastAsia"/>
                <w:b/>
                <w:color w:val="auto"/>
                <w:spacing w:val="0"/>
                <w:kern w:val="0"/>
                <w:sz w:val="32"/>
                <w:szCs w:val="32"/>
                <w:shd w:val="clear" w:color="auto" w:fill="auto"/>
                <w:lang w:val="en-US" w:eastAsia="zh-CN"/>
              </w:rPr>
            </w:pPr>
            <w:r>
              <w:rPr>
                <w:rFonts w:hint="eastAsia" w:asciiTheme="minorEastAsia" w:hAnsiTheme="minorEastAsia" w:eastAsiaTheme="minorEastAsia" w:cstheme="minorEastAsia"/>
                <w:b/>
                <w:color w:val="auto"/>
                <w:spacing w:val="0"/>
                <w:kern w:val="0"/>
                <w:sz w:val="32"/>
                <w:szCs w:val="32"/>
                <w:highlight w:val="yellow"/>
                <w:shd w:val="clear" w:color="auto" w:fill="auto"/>
                <w:lang w:val="en-US" w:eastAsia="zh-CN"/>
              </w:rPr>
              <w:t>数量：1辆</w:t>
            </w:r>
          </w:p>
        </w:tc>
      </w:tr>
      <w:tr>
        <w:tblPrEx>
          <w:tblCellMar>
            <w:top w:w="0" w:type="dxa"/>
            <w:left w:w="0" w:type="dxa"/>
            <w:bottom w:w="0" w:type="dxa"/>
            <w:right w:w="0" w:type="dxa"/>
          </w:tblCellMar>
        </w:tblPrEx>
        <w:trPr>
          <w:trHeight w:val="56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长</w:t>
            </w:r>
            <w:r>
              <w:rPr>
                <w:rStyle w:val="51"/>
                <w:rFonts w:hint="eastAsia" w:asciiTheme="minorEastAsia" w:hAnsiTheme="minorEastAsia" w:eastAsiaTheme="minorEastAsia" w:cstheme="minorEastAsia"/>
                <w:lang w:val="en-US" w:eastAsia="zh-CN" w:bidi="ar"/>
              </w:rPr>
              <w:t>×</w:t>
            </w:r>
            <w:r>
              <w:rPr>
                <w:rFonts w:hint="eastAsia" w:asciiTheme="minorEastAsia" w:hAnsiTheme="minorEastAsia" w:eastAsiaTheme="minorEastAsia" w:cstheme="minorEastAsia"/>
                <w:i w:val="0"/>
                <w:color w:val="000000"/>
                <w:kern w:val="0"/>
                <w:sz w:val="22"/>
                <w:szCs w:val="22"/>
                <w:u w:val="none"/>
                <w:lang w:val="en-US" w:eastAsia="zh-CN" w:bidi="ar"/>
              </w:rPr>
              <w:t>宽</w:t>
            </w:r>
            <w:r>
              <w:rPr>
                <w:rStyle w:val="51"/>
                <w:rFonts w:hint="eastAsia" w:asciiTheme="minorEastAsia" w:hAnsiTheme="minorEastAsia" w:eastAsiaTheme="minorEastAsia" w:cstheme="minorEastAsia"/>
                <w:lang w:val="en-US" w:eastAsia="zh-CN" w:bidi="ar"/>
              </w:rPr>
              <w:t>×</w:t>
            </w:r>
            <w:r>
              <w:rPr>
                <w:rFonts w:hint="eastAsia" w:asciiTheme="minorEastAsia" w:hAnsiTheme="minorEastAsia" w:eastAsiaTheme="minorEastAsia" w:cstheme="minorEastAsia"/>
                <w:i w:val="0"/>
                <w:color w:val="000000"/>
                <w:kern w:val="0"/>
                <w:sz w:val="22"/>
                <w:szCs w:val="22"/>
                <w:u w:val="none"/>
                <w:lang w:val="en-US" w:eastAsia="zh-CN" w:bidi="ar"/>
              </w:rPr>
              <w:t>高</w:t>
            </w:r>
            <w:r>
              <w:rPr>
                <w:rStyle w:val="51"/>
                <w:rFonts w:hint="eastAsia" w:asciiTheme="minorEastAsia" w:hAnsiTheme="minorEastAsia" w:eastAsiaTheme="minorEastAsia" w:cstheme="minorEastAsia"/>
                <w:lang w:val="en-US" w:eastAsia="zh-CN" w:bidi="ar"/>
              </w:rPr>
              <w:t>(mm)</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4,589 x1,860 x 1,660</w:t>
            </w:r>
          </w:p>
        </w:tc>
      </w:tr>
      <w:tr>
        <w:tblPrEx>
          <w:tblCellMar>
            <w:top w:w="0" w:type="dxa"/>
            <w:left w:w="0" w:type="dxa"/>
            <w:bottom w:w="0" w:type="dxa"/>
            <w:right w:w="0" w:type="dxa"/>
          </w:tblCellMar>
        </w:tblPrEx>
        <w:trPr>
          <w:trHeight w:val="56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轴距</w:t>
            </w:r>
            <w:r>
              <w:rPr>
                <w:rStyle w:val="51"/>
                <w:rFonts w:hint="eastAsia" w:asciiTheme="minorEastAsia" w:hAnsiTheme="minorEastAsia" w:eastAsiaTheme="minorEastAsia" w:cstheme="minorEastAsia"/>
                <w:lang w:val="en-US" w:eastAsia="zh-CN" w:bidi="ar"/>
              </w:rPr>
              <w:t>(mm)</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2,731</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后备厢容积</w:t>
            </w:r>
            <w:r>
              <w:rPr>
                <w:rStyle w:val="51"/>
                <w:rFonts w:hint="eastAsia" w:asciiTheme="minorEastAsia" w:hAnsiTheme="minorEastAsia" w:eastAsiaTheme="minorEastAsia" w:cstheme="minorEastAsia"/>
                <w:lang w:val="en-US" w:eastAsia="zh-CN" w:bidi="ar"/>
              </w:rPr>
              <w:t>(L)</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506</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油箱容积</w:t>
            </w:r>
            <w:r>
              <w:rPr>
                <w:rStyle w:val="51"/>
                <w:rFonts w:hint="eastAsia" w:asciiTheme="minorEastAsia" w:hAnsiTheme="minorEastAsia" w:eastAsiaTheme="minorEastAsia" w:cstheme="minorEastAsia"/>
                <w:lang w:val="en-US" w:eastAsia="zh-CN" w:bidi="ar"/>
              </w:rPr>
              <w:t>(L)</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63L</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整备质量</w:t>
            </w:r>
            <w:r>
              <w:rPr>
                <w:rStyle w:val="51"/>
                <w:rFonts w:hint="eastAsia" w:asciiTheme="minorEastAsia" w:hAnsiTheme="minorEastAsia" w:eastAsiaTheme="minorEastAsia" w:cstheme="minorEastAsia"/>
                <w:lang w:val="en-US" w:eastAsia="zh-CN" w:bidi="ar"/>
              </w:rPr>
              <w:t>(kg)</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1,750</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发动机型式</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第三代</w:t>
            </w:r>
            <w:r>
              <w:rPr>
                <w:rStyle w:val="51"/>
                <w:rFonts w:hint="eastAsia" w:asciiTheme="minorEastAsia" w:hAnsiTheme="minorEastAsia" w:eastAsiaTheme="minorEastAsia" w:cstheme="minorEastAsia"/>
                <w:lang w:val="en-US" w:eastAsia="zh-CN" w:bidi="ar"/>
              </w:rPr>
              <w:t xml:space="preserve">EA888 </w:t>
            </w:r>
            <w:r>
              <w:rPr>
                <w:rFonts w:hint="eastAsia" w:asciiTheme="minorEastAsia" w:hAnsiTheme="minorEastAsia" w:eastAsiaTheme="minorEastAsia" w:cstheme="minorEastAsia"/>
                <w:i w:val="0"/>
                <w:color w:val="000000"/>
                <w:kern w:val="0"/>
                <w:sz w:val="22"/>
                <w:szCs w:val="22"/>
                <w:u w:val="none"/>
                <w:lang w:val="en-US" w:eastAsia="zh-CN" w:bidi="ar"/>
              </w:rPr>
              <w:t>高功版 涡轮增压发动机</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发动机排量</w:t>
            </w:r>
            <w:r>
              <w:rPr>
                <w:rStyle w:val="51"/>
                <w:rFonts w:hint="eastAsia" w:asciiTheme="minorEastAsia" w:hAnsiTheme="minorEastAsia" w:eastAsiaTheme="minorEastAsia" w:cstheme="minorEastAsia"/>
                <w:lang w:val="en-US" w:eastAsia="zh-CN" w:bidi="ar"/>
              </w:rPr>
              <w:t>(L)</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1.984</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额定功率</w:t>
            </w:r>
            <w:r>
              <w:rPr>
                <w:rStyle w:val="51"/>
                <w:rFonts w:hint="eastAsia" w:asciiTheme="minorEastAsia" w:hAnsiTheme="minorEastAsia" w:eastAsiaTheme="minorEastAsia" w:cstheme="minorEastAsia"/>
                <w:lang w:val="en-US" w:eastAsia="zh-CN" w:bidi="ar"/>
              </w:rPr>
              <w:t>(kW/rpm)</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162/4500 - 6200</w:t>
            </w:r>
          </w:p>
        </w:tc>
      </w:tr>
      <w:tr>
        <w:tblPrEx>
          <w:tblCellMar>
            <w:top w:w="0" w:type="dxa"/>
            <w:left w:w="0" w:type="dxa"/>
            <w:bottom w:w="0" w:type="dxa"/>
            <w:right w:w="0" w:type="dxa"/>
          </w:tblCellMar>
        </w:tblPrEx>
        <w:trPr>
          <w:trHeight w:val="66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最大扭矩</w:t>
            </w:r>
            <w:r>
              <w:rPr>
                <w:rStyle w:val="51"/>
                <w:rFonts w:hint="eastAsia" w:asciiTheme="minorEastAsia" w:hAnsiTheme="minorEastAsia" w:eastAsiaTheme="minorEastAsia" w:cstheme="minorEastAsia"/>
                <w:lang w:val="en-US" w:eastAsia="zh-CN" w:bidi="ar"/>
              </w:rPr>
              <w:t>(N·m/rpm)</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350/1500-4500</w:t>
            </w:r>
          </w:p>
        </w:tc>
      </w:tr>
      <w:tr>
        <w:tblPrEx>
          <w:tblCellMar>
            <w:top w:w="0" w:type="dxa"/>
            <w:left w:w="0" w:type="dxa"/>
            <w:bottom w:w="0" w:type="dxa"/>
            <w:right w:w="0" w:type="dxa"/>
          </w:tblCellMar>
        </w:tblPrEx>
        <w:trPr>
          <w:trHeight w:val="40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变速箱型式</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7</w:t>
            </w:r>
            <w:r>
              <w:rPr>
                <w:rStyle w:val="52"/>
                <w:rFonts w:hint="eastAsia" w:asciiTheme="minorEastAsia" w:hAnsiTheme="minorEastAsia" w:eastAsiaTheme="minorEastAsia" w:cstheme="minorEastAsia"/>
                <w:lang w:val="en-US" w:eastAsia="zh-CN" w:bidi="ar"/>
              </w:rPr>
              <w:t>速湿式</w:t>
            </w:r>
            <w:r>
              <w:rPr>
                <w:rFonts w:hint="eastAsia" w:asciiTheme="minorEastAsia" w:hAnsiTheme="minorEastAsia" w:eastAsiaTheme="minorEastAsia" w:cstheme="minorEastAsia"/>
                <w:i w:val="0"/>
                <w:color w:val="000000"/>
                <w:kern w:val="0"/>
                <w:sz w:val="22"/>
                <w:szCs w:val="22"/>
                <w:u w:val="none"/>
                <w:lang w:val="en-US" w:eastAsia="zh-CN" w:bidi="ar"/>
              </w:rPr>
              <w:t>DSG</w:t>
            </w:r>
            <w:r>
              <w:rPr>
                <w:rStyle w:val="52"/>
                <w:rFonts w:hint="eastAsia" w:asciiTheme="minorEastAsia" w:hAnsiTheme="minorEastAsia" w:eastAsiaTheme="minorEastAsia" w:cstheme="minorEastAsia"/>
                <w:lang w:val="en-US" w:eastAsia="zh-CN" w:bidi="ar"/>
              </w:rPr>
              <w:t>双离合手自一体</w:t>
            </w:r>
          </w:p>
        </w:tc>
      </w:tr>
      <w:tr>
        <w:tblPrEx>
          <w:tblCellMar>
            <w:top w:w="0" w:type="dxa"/>
            <w:left w:w="0" w:type="dxa"/>
            <w:bottom w:w="0" w:type="dxa"/>
            <w:right w:w="0" w:type="dxa"/>
          </w:tblCellMar>
        </w:tblPrEx>
        <w:trPr>
          <w:trHeight w:val="72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驱动方式</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4MOTION</w:t>
            </w:r>
            <w:r>
              <w:rPr>
                <w:rFonts w:hint="eastAsia" w:asciiTheme="minorEastAsia" w:hAnsiTheme="minorEastAsia" w:eastAsiaTheme="minorEastAsia" w:cstheme="minorEastAsia"/>
                <w:i w:val="0"/>
                <w:color w:val="000000"/>
                <w:kern w:val="0"/>
                <w:sz w:val="22"/>
                <w:szCs w:val="22"/>
                <w:u w:val="none"/>
                <w:lang w:val="en-US" w:eastAsia="zh-CN" w:bidi="ar"/>
              </w:rPr>
              <w:t>智能四驱</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最高车速</w:t>
            </w:r>
            <w:r>
              <w:rPr>
                <w:rStyle w:val="51"/>
                <w:rFonts w:hint="eastAsia" w:asciiTheme="minorEastAsia" w:hAnsiTheme="minorEastAsia" w:eastAsiaTheme="minorEastAsia" w:cstheme="minorEastAsia"/>
                <w:lang w:val="en-US" w:eastAsia="zh-CN" w:bidi="ar"/>
              </w:rPr>
              <w:t>(km/h)</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200</w:t>
            </w:r>
          </w:p>
        </w:tc>
      </w:tr>
      <w:tr>
        <w:tblPrEx>
          <w:tblCellMar>
            <w:top w:w="0" w:type="dxa"/>
            <w:left w:w="0" w:type="dxa"/>
            <w:bottom w:w="0" w:type="dxa"/>
            <w:right w:w="0" w:type="dxa"/>
          </w:tblCellMar>
        </w:tblPrEx>
        <w:trPr>
          <w:trHeight w:val="84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0-100km/h</w:t>
            </w:r>
            <w:r>
              <w:rPr>
                <w:rFonts w:hint="eastAsia" w:asciiTheme="minorEastAsia" w:hAnsiTheme="minorEastAsia" w:eastAsiaTheme="minorEastAsia" w:cstheme="minorEastAsia"/>
                <w:i w:val="0"/>
                <w:color w:val="000000"/>
                <w:kern w:val="0"/>
                <w:sz w:val="22"/>
                <w:szCs w:val="22"/>
                <w:u w:val="none"/>
                <w:lang w:val="en-US" w:eastAsia="zh-CN" w:bidi="ar"/>
              </w:rPr>
              <w:t>加速</w:t>
            </w:r>
            <w:r>
              <w:rPr>
                <w:rStyle w:val="51"/>
                <w:rFonts w:hint="eastAsia" w:asciiTheme="minorEastAsia" w:hAnsiTheme="minorEastAsia" w:eastAsiaTheme="minorEastAsia" w:cstheme="minorEastAsia"/>
                <w:lang w:val="en-US" w:eastAsia="zh-CN" w:bidi="ar"/>
              </w:rPr>
              <w:t>(s)</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7.6</w:t>
            </w:r>
          </w:p>
        </w:tc>
      </w:tr>
      <w:tr>
        <w:tblPrEx>
          <w:tblCellMar>
            <w:top w:w="0" w:type="dxa"/>
            <w:left w:w="0" w:type="dxa"/>
            <w:bottom w:w="0" w:type="dxa"/>
            <w:right w:w="0" w:type="dxa"/>
          </w:tblCellMar>
        </w:tblPrEx>
        <w:trPr>
          <w:trHeight w:val="82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综合工况油耗</w:t>
            </w:r>
            <w:r>
              <w:rPr>
                <w:rStyle w:val="51"/>
                <w:rFonts w:hint="eastAsia" w:asciiTheme="minorEastAsia" w:hAnsiTheme="minorEastAsia" w:eastAsiaTheme="minorEastAsia" w:cstheme="minorEastAsia"/>
                <w:lang w:val="en-US" w:eastAsia="zh-CN" w:bidi="ar"/>
              </w:rPr>
              <w:t>(L/100km)</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7.5</w:t>
            </w:r>
          </w:p>
        </w:tc>
      </w:tr>
      <w:tr>
        <w:tblPrEx>
          <w:tblCellMar>
            <w:top w:w="0" w:type="dxa"/>
            <w:left w:w="0" w:type="dxa"/>
            <w:bottom w:w="0" w:type="dxa"/>
            <w:right w:w="0" w:type="dxa"/>
          </w:tblCellMar>
        </w:tblPrEx>
        <w:trPr>
          <w:trHeight w:val="46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悬架系统（前</w:t>
            </w:r>
            <w:r>
              <w:rPr>
                <w:rStyle w:val="51"/>
                <w:rFonts w:hint="eastAsia" w:asciiTheme="minorEastAsia" w:hAnsiTheme="minorEastAsia" w:eastAsiaTheme="minorEastAsia" w:cstheme="minorEastAsia"/>
                <w:lang w:val="en-US" w:eastAsia="zh-CN" w:bidi="ar"/>
              </w:rPr>
              <w:t>/</w:t>
            </w:r>
            <w:r>
              <w:rPr>
                <w:rFonts w:hint="eastAsia" w:asciiTheme="minorEastAsia" w:hAnsiTheme="minorEastAsia" w:eastAsiaTheme="minorEastAsia" w:cstheme="minorEastAsia"/>
                <w:i w:val="0"/>
                <w:color w:val="000000"/>
                <w:kern w:val="0"/>
                <w:sz w:val="22"/>
                <w:szCs w:val="22"/>
                <w:u w:val="none"/>
                <w:lang w:val="en-US" w:eastAsia="zh-CN" w:bidi="ar"/>
              </w:rPr>
              <w:t>后）</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2"/>
                <w:rFonts w:hint="eastAsia" w:asciiTheme="minorEastAsia" w:hAnsiTheme="minorEastAsia" w:eastAsiaTheme="minorEastAsia" w:cstheme="minorEastAsia"/>
                <w:lang w:val="en-US" w:eastAsia="zh-CN" w:bidi="ar"/>
              </w:rPr>
              <w:t>前：麦弗逊式独立悬挂结构</w:t>
            </w:r>
            <w:r>
              <w:rPr>
                <w:rFonts w:hint="eastAsia" w:asciiTheme="minorEastAsia" w:hAnsiTheme="minorEastAsia" w:eastAsiaTheme="minorEastAsia" w:cstheme="minorEastAsia"/>
                <w:i w:val="0"/>
                <w:color w:val="000000"/>
                <w:kern w:val="0"/>
                <w:sz w:val="22"/>
                <w:szCs w:val="22"/>
                <w:u w:val="none"/>
                <w:lang w:val="en-US" w:eastAsia="zh-CN" w:bidi="ar"/>
              </w:rPr>
              <w:t xml:space="preserve"> / </w:t>
            </w:r>
            <w:r>
              <w:rPr>
                <w:rStyle w:val="52"/>
                <w:rFonts w:hint="eastAsia" w:asciiTheme="minorEastAsia" w:hAnsiTheme="minorEastAsia" w:eastAsiaTheme="minorEastAsia" w:cstheme="minorEastAsia"/>
                <w:lang w:val="en-US" w:eastAsia="zh-CN" w:bidi="ar"/>
              </w:rPr>
              <w:t>后：多连杆式独立悬挂结构</w:t>
            </w:r>
          </w:p>
        </w:tc>
      </w:tr>
      <w:tr>
        <w:tblPrEx>
          <w:tblCellMar>
            <w:top w:w="0" w:type="dxa"/>
            <w:left w:w="0" w:type="dxa"/>
            <w:bottom w:w="0" w:type="dxa"/>
            <w:right w:w="0" w:type="dxa"/>
          </w:tblCellMar>
        </w:tblPrEx>
        <w:trPr>
          <w:trHeight w:val="46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制动系统</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2"/>
                <w:rFonts w:hint="eastAsia" w:asciiTheme="minorEastAsia" w:hAnsiTheme="minorEastAsia" w:eastAsiaTheme="minorEastAsia" w:cstheme="minorEastAsia"/>
                <w:lang w:val="en-US" w:eastAsia="zh-CN" w:bidi="ar"/>
              </w:rPr>
              <w:t>前：通风盘式</w:t>
            </w:r>
            <w:r>
              <w:rPr>
                <w:rFonts w:hint="eastAsia" w:asciiTheme="minorEastAsia" w:hAnsiTheme="minorEastAsia" w:eastAsiaTheme="minorEastAsia" w:cstheme="minorEastAsia"/>
                <w:i w:val="0"/>
                <w:color w:val="000000"/>
                <w:kern w:val="0"/>
                <w:sz w:val="22"/>
                <w:szCs w:val="22"/>
                <w:u w:val="none"/>
                <w:lang w:val="en-US" w:eastAsia="zh-CN" w:bidi="ar"/>
              </w:rPr>
              <w:t xml:space="preserve"> / </w:t>
            </w:r>
            <w:r>
              <w:rPr>
                <w:rStyle w:val="52"/>
                <w:rFonts w:hint="eastAsia" w:asciiTheme="minorEastAsia" w:hAnsiTheme="minorEastAsia" w:eastAsiaTheme="minorEastAsia" w:cstheme="minorEastAsia"/>
                <w:lang w:val="en-US" w:eastAsia="zh-CN" w:bidi="ar"/>
              </w:rPr>
              <w:t>后：实心盘式</w:t>
            </w:r>
          </w:p>
        </w:tc>
      </w:tr>
      <w:tr>
        <w:tblPrEx>
          <w:tblCellMar>
            <w:top w:w="0" w:type="dxa"/>
            <w:left w:w="0" w:type="dxa"/>
            <w:bottom w:w="0" w:type="dxa"/>
            <w:right w:w="0" w:type="dxa"/>
          </w:tblCellMar>
        </w:tblPrEx>
        <w:trPr>
          <w:trHeight w:val="46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转向系统</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EPS</w:t>
            </w:r>
            <w:r>
              <w:rPr>
                <w:rStyle w:val="52"/>
                <w:rFonts w:hint="eastAsia" w:asciiTheme="minorEastAsia" w:hAnsiTheme="minorEastAsia" w:eastAsiaTheme="minorEastAsia" w:cstheme="minorEastAsia"/>
                <w:lang w:val="en-US" w:eastAsia="zh-CN" w:bidi="ar"/>
              </w:rPr>
              <w:t>电子助力转向系统</w:t>
            </w:r>
          </w:p>
        </w:tc>
      </w:tr>
      <w:tr>
        <w:tblPrEx>
          <w:tblCellMar>
            <w:top w:w="0" w:type="dxa"/>
            <w:left w:w="0" w:type="dxa"/>
            <w:bottom w:w="0" w:type="dxa"/>
            <w:right w:w="0" w:type="dxa"/>
          </w:tblCellMar>
        </w:tblPrEx>
        <w:trPr>
          <w:trHeight w:val="27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排放标准</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国六</w:t>
            </w:r>
          </w:p>
        </w:tc>
      </w:tr>
      <w:tr>
        <w:tblPrEx>
          <w:tblCellMar>
            <w:top w:w="0" w:type="dxa"/>
            <w:left w:w="0" w:type="dxa"/>
            <w:bottom w:w="0" w:type="dxa"/>
            <w:right w:w="0" w:type="dxa"/>
          </w:tblCellMar>
        </w:tblPrEx>
        <w:trPr>
          <w:trHeight w:val="270" w:hRule="atLeast"/>
        </w:trPr>
        <w:tc>
          <w:tcPr>
            <w:tcW w:w="95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000000"/>
                <w:sz w:val="22"/>
                <w:szCs w:val="22"/>
                <w:u w:val="none"/>
              </w:rPr>
            </w:pPr>
            <w:r>
              <w:rPr>
                <w:rFonts w:hint="eastAsia" w:asciiTheme="minorEastAsia" w:hAnsiTheme="minorEastAsia" w:eastAsiaTheme="minorEastAsia" w:cstheme="minorEastAsia"/>
                <w:b/>
                <w:i w:val="0"/>
                <w:color w:val="auto"/>
                <w:kern w:val="0"/>
                <w:sz w:val="22"/>
                <w:szCs w:val="22"/>
                <w:u w:val="none"/>
                <w:shd w:val="clear"/>
                <w:lang w:val="en-US" w:eastAsia="zh-CN" w:bidi="ar"/>
              </w:rPr>
              <w:t>外饰</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亮银色铝合金车顶行李架</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双色车顶（黑色）</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Panoroma</w:t>
            </w:r>
            <w:r>
              <w:rPr>
                <w:rFonts w:hint="eastAsia" w:asciiTheme="minorEastAsia" w:hAnsiTheme="minorEastAsia" w:eastAsiaTheme="minorEastAsia" w:cstheme="minorEastAsia"/>
                <w:i w:val="0"/>
                <w:color w:val="000000"/>
                <w:kern w:val="0"/>
                <w:sz w:val="22"/>
                <w:szCs w:val="22"/>
                <w:u w:val="none"/>
                <w:lang w:val="en-US" w:eastAsia="zh-CN" w:bidi="ar"/>
              </w:rPr>
              <w:t>大尺寸全景天窗</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电动天窗遮阳帘</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LED</w:t>
            </w:r>
            <w:r>
              <w:rPr>
                <w:rFonts w:hint="eastAsia" w:asciiTheme="minorEastAsia" w:hAnsiTheme="minorEastAsia" w:eastAsiaTheme="minorEastAsia" w:cstheme="minorEastAsia"/>
                <w:i w:val="0"/>
                <w:color w:val="000000"/>
                <w:kern w:val="0"/>
                <w:sz w:val="22"/>
                <w:szCs w:val="22"/>
                <w:u w:val="none"/>
                <w:lang w:val="en-US" w:eastAsia="zh-CN" w:bidi="ar"/>
              </w:rPr>
              <w:t>前大灯</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前大灯离回家功能</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前大灯感光自动开启功能</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前雾灯</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R-Line</w:t>
            </w:r>
            <w:r>
              <w:rPr>
                <w:rFonts w:hint="eastAsia" w:asciiTheme="minorEastAsia" w:hAnsiTheme="minorEastAsia" w:eastAsiaTheme="minorEastAsia" w:cstheme="minorEastAsia"/>
                <w:i w:val="0"/>
                <w:color w:val="000000"/>
                <w:kern w:val="0"/>
                <w:sz w:val="22"/>
                <w:szCs w:val="22"/>
                <w:u w:val="none"/>
                <w:lang w:val="en-US" w:eastAsia="zh-CN" w:bidi="ar"/>
              </w:rPr>
              <w:t>专属</w:t>
            </w:r>
            <w:r>
              <w:rPr>
                <w:rStyle w:val="51"/>
                <w:rFonts w:hint="eastAsia" w:asciiTheme="minorEastAsia" w:hAnsiTheme="minorEastAsia" w:eastAsiaTheme="minorEastAsia" w:cstheme="minorEastAsia"/>
                <w:lang w:val="en-US" w:eastAsia="zh-CN" w:bidi="ar"/>
              </w:rPr>
              <w:t>LED</w:t>
            </w:r>
            <w:r>
              <w:rPr>
                <w:rFonts w:hint="eastAsia" w:asciiTheme="minorEastAsia" w:hAnsiTheme="minorEastAsia" w:eastAsiaTheme="minorEastAsia" w:cstheme="minorEastAsia"/>
                <w:i w:val="0"/>
                <w:color w:val="000000"/>
                <w:kern w:val="0"/>
                <w:sz w:val="22"/>
                <w:szCs w:val="22"/>
                <w:u w:val="none"/>
                <w:lang w:val="en-US" w:eastAsia="zh-CN" w:bidi="ar"/>
              </w:rPr>
              <w:t>日行灯</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多功能外后视镜（带</w:t>
            </w:r>
            <w:r>
              <w:rPr>
                <w:rStyle w:val="51"/>
                <w:rFonts w:hint="eastAsia" w:asciiTheme="minorEastAsia" w:hAnsiTheme="minorEastAsia" w:eastAsiaTheme="minorEastAsia" w:cstheme="minorEastAsia"/>
                <w:lang w:val="en-US" w:eastAsia="zh-CN" w:bidi="ar"/>
              </w:rPr>
              <w:t>LED</w:t>
            </w:r>
            <w:r>
              <w:rPr>
                <w:rFonts w:hint="eastAsia" w:asciiTheme="minorEastAsia" w:hAnsiTheme="minorEastAsia" w:eastAsiaTheme="minorEastAsia" w:cstheme="minorEastAsia"/>
                <w:i w:val="0"/>
                <w:color w:val="000000"/>
                <w:kern w:val="0"/>
                <w:sz w:val="22"/>
                <w:szCs w:val="22"/>
                <w:u w:val="none"/>
                <w:lang w:val="en-US" w:eastAsia="zh-CN" w:bidi="ar"/>
              </w:rPr>
              <w:t>转向灯，电动可调，加热）</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外后视镜照地灯（带</w:t>
            </w:r>
            <w:r>
              <w:rPr>
                <w:rStyle w:val="51"/>
                <w:rFonts w:hint="eastAsia" w:asciiTheme="minorEastAsia" w:hAnsiTheme="minorEastAsia" w:eastAsiaTheme="minorEastAsia" w:cstheme="minorEastAsia"/>
                <w:lang w:val="en-US" w:eastAsia="zh-CN" w:bidi="ar"/>
              </w:rPr>
              <w:t>VW Tayron</w:t>
            </w:r>
            <w:r>
              <w:rPr>
                <w:rFonts w:hint="eastAsia" w:asciiTheme="minorEastAsia" w:hAnsiTheme="minorEastAsia" w:eastAsiaTheme="minorEastAsia" w:cstheme="minorEastAsia"/>
                <w:i w:val="0"/>
                <w:color w:val="000000"/>
                <w:kern w:val="0"/>
                <w:sz w:val="22"/>
                <w:szCs w:val="22"/>
                <w:u w:val="none"/>
                <w:lang w:val="en-US" w:eastAsia="zh-CN" w:bidi="ar"/>
              </w:rPr>
              <w:t>标识）</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外后视镜停车自动折叠</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副司机侧外后视镜倒车辅助</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外饰氛围灯</w:t>
            </w:r>
            <w:r>
              <w:rPr>
                <w:rStyle w:val="51"/>
                <w:rFonts w:hint="eastAsia" w:asciiTheme="minorEastAsia" w:hAnsiTheme="minorEastAsia" w:eastAsiaTheme="minorEastAsia" w:cstheme="minorEastAsia"/>
                <w:lang w:val="en-US" w:eastAsia="zh-CN" w:bidi="ar"/>
              </w:rPr>
              <w:t>2.0</w:t>
            </w:r>
            <w:r>
              <w:rPr>
                <w:rFonts w:hint="eastAsia" w:asciiTheme="minorEastAsia" w:hAnsiTheme="minorEastAsia" w:eastAsiaTheme="minorEastAsia" w:cstheme="minorEastAsia"/>
                <w:i w:val="0"/>
                <w:color w:val="000000"/>
                <w:kern w:val="0"/>
                <w:sz w:val="22"/>
                <w:szCs w:val="22"/>
                <w:u w:val="none"/>
                <w:lang w:val="en-US" w:eastAsia="zh-CN" w:bidi="ar"/>
              </w:rPr>
              <w:t>（门把手、侧标牌）</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熏黑全</w:t>
            </w:r>
            <w:r>
              <w:rPr>
                <w:rStyle w:val="51"/>
                <w:rFonts w:hint="eastAsia" w:asciiTheme="minorEastAsia" w:hAnsiTheme="minorEastAsia" w:eastAsiaTheme="minorEastAsia" w:cstheme="minorEastAsia"/>
                <w:lang w:val="en-US" w:eastAsia="zh-CN" w:bidi="ar"/>
              </w:rPr>
              <w:t>LED</w:t>
            </w:r>
            <w:r>
              <w:rPr>
                <w:rFonts w:hint="eastAsia" w:asciiTheme="minorEastAsia" w:hAnsiTheme="minorEastAsia" w:eastAsiaTheme="minorEastAsia" w:cstheme="minorEastAsia"/>
                <w:i w:val="0"/>
                <w:color w:val="000000"/>
                <w:kern w:val="0"/>
                <w:sz w:val="22"/>
                <w:szCs w:val="22"/>
                <w:u w:val="none"/>
                <w:lang w:val="en-US" w:eastAsia="zh-CN" w:bidi="ar"/>
              </w:rPr>
              <w:t>尾灯</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w:t>
            </w:r>
            <w:r>
              <w:rPr>
                <w:rFonts w:hint="eastAsia" w:asciiTheme="minorEastAsia" w:hAnsiTheme="minorEastAsia" w:eastAsiaTheme="minorEastAsia" w:cstheme="minorEastAsia"/>
                <w:i w:val="0"/>
                <w:color w:val="000000"/>
                <w:kern w:val="0"/>
                <w:sz w:val="22"/>
                <w:szCs w:val="22"/>
                <w:u w:val="none"/>
                <w:lang w:val="en-US" w:eastAsia="zh-CN" w:bidi="ar"/>
              </w:rPr>
              <w:t>蜂窝链</w:t>
            </w:r>
            <w:r>
              <w:rPr>
                <w:rStyle w:val="51"/>
                <w:rFonts w:hint="eastAsia" w:asciiTheme="minorEastAsia" w:hAnsiTheme="minorEastAsia" w:eastAsiaTheme="minorEastAsia" w:cstheme="minorEastAsia"/>
                <w:lang w:val="en-US" w:eastAsia="zh-CN" w:bidi="ar"/>
              </w:rPr>
              <w:t>”</w:t>
            </w:r>
            <w:r>
              <w:rPr>
                <w:rFonts w:hint="eastAsia" w:asciiTheme="minorEastAsia" w:hAnsiTheme="minorEastAsia" w:eastAsiaTheme="minorEastAsia" w:cstheme="minorEastAsia"/>
                <w:i w:val="0"/>
                <w:color w:val="000000"/>
                <w:kern w:val="0"/>
                <w:sz w:val="22"/>
                <w:szCs w:val="22"/>
                <w:u w:val="none"/>
                <w:lang w:val="en-US" w:eastAsia="zh-CN" w:bidi="ar"/>
              </w:rPr>
              <w:t>式前格栅</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翼子板</w:t>
            </w:r>
            <w:r>
              <w:rPr>
                <w:rStyle w:val="51"/>
                <w:rFonts w:hint="eastAsia" w:asciiTheme="minorEastAsia" w:hAnsiTheme="minorEastAsia" w:eastAsiaTheme="minorEastAsia" w:cstheme="minorEastAsia"/>
                <w:lang w:val="en-US" w:eastAsia="zh-CN" w:bidi="ar"/>
              </w:rPr>
              <w:t>R-Line</w:t>
            </w:r>
            <w:r>
              <w:rPr>
                <w:rFonts w:hint="eastAsia" w:asciiTheme="minorEastAsia" w:hAnsiTheme="minorEastAsia" w:eastAsiaTheme="minorEastAsia" w:cstheme="minorEastAsia"/>
                <w:i w:val="0"/>
                <w:color w:val="000000"/>
                <w:kern w:val="0"/>
                <w:sz w:val="22"/>
                <w:szCs w:val="22"/>
                <w:u w:val="none"/>
                <w:lang w:val="en-US" w:eastAsia="zh-CN" w:bidi="ar"/>
              </w:rPr>
              <w:t>标识</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鲨鱼鳍天线</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星轨状铝合金车顶轮廓线</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双侧单出镀铬尾管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19</w:t>
            </w:r>
            <w:r>
              <w:rPr>
                <w:rFonts w:hint="eastAsia" w:asciiTheme="minorEastAsia" w:hAnsiTheme="minorEastAsia" w:eastAsiaTheme="minorEastAsia" w:cstheme="minorEastAsia"/>
                <w:i w:val="0"/>
                <w:color w:val="000000"/>
                <w:kern w:val="0"/>
                <w:sz w:val="22"/>
                <w:szCs w:val="22"/>
                <w:u w:val="none"/>
                <w:lang w:val="en-US" w:eastAsia="zh-CN" w:bidi="ar"/>
              </w:rPr>
              <w:t>英寸</w:t>
            </w:r>
            <w:r>
              <w:rPr>
                <w:rStyle w:val="51"/>
                <w:rFonts w:hint="eastAsia" w:asciiTheme="minorEastAsia" w:hAnsiTheme="minorEastAsia" w:eastAsiaTheme="minorEastAsia" w:cstheme="minorEastAsia"/>
                <w:lang w:val="en-US" w:eastAsia="zh-CN" w:bidi="ar"/>
              </w:rPr>
              <w:t>Burton</w:t>
            </w:r>
            <w:r>
              <w:rPr>
                <w:rFonts w:hint="eastAsia" w:asciiTheme="minorEastAsia" w:hAnsiTheme="minorEastAsia" w:eastAsiaTheme="minorEastAsia" w:cstheme="minorEastAsia"/>
                <w:i w:val="0"/>
                <w:color w:val="000000"/>
                <w:kern w:val="0"/>
                <w:sz w:val="22"/>
                <w:szCs w:val="22"/>
                <w:u w:val="none"/>
                <w:lang w:val="en-US" w:eastAsia="zh-CN" w:bidi="ar"/>
              </w:rPr>
              <w:t>铝轮辋</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95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000000"/>
                <w:sz w:val="22"/>
                <w:szCs w:val="22"/>
                <w:u w:val="none"/>
              </w:rPr>
            </w:pPr>
            <w:r>
              <w:rPr>
                <w:rFonts w:hint="eastAsia" w:asciiTheme="minorEastAsia" w:hAnsiTheme="minorEastAsia" w:eastAsiaTheme="minorEastAsia" w:cstheme="minorEastAsia"/>
                <w:b/>
                <w:i w:val="0"/>
                <w:color w:val="000000"/>
                <w:kern w:val="0"/>
                <w:sz w:val="22"/>
                <w:szCs w:val="22"/>
                <w:u w:val="none"/>
                <w:lang w:val="en-US" w:eastAsia="zh-CN" w:bidi="ar"/>
              </w:rPr>
              <w:t>内饰</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四车窗及前后挡风玻璃车膜（龙膜/3M牌）</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R-Line</w:t>
            </w:r>
            <w:r>
              <w:rPr>
                <w:rFonts w:hint="eastAsia" w:asciiTheme="minorEastAsia" w:hAnsiTheme="minorEastAsia" w:eastAsiaTheme="minorEastAsia" w:cstheme="minorEastAsia"/>
                <w:i w:val="0"/>
                <w:color w:val="000000"/>
                <w:kern w:val="0"/>
                <w:sz w:val="22"/>
                <w:szCs w:val="22"/>
                <w:u w:val="none"/>
                <w:lang w:val="en-US" w:eastAsia="zh-CN" w:bidi="ar"/>
              </w:rPr>
              <w:t>运动风格内饰</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真皮多功能方向盘</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方向盘换挡拨片</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长度</w:t>
            </w:r>
            <w:r>
              <w:rPr>
                <w:rStyle w:val="51"/>
                <w:rFonts w:hint="eastAsia" w:asciiTheme="minorEastAsia" w:hAnsiTheme="minorEastAsia" w:eastAsiaTheme="minorEastAsia" w:cstheme="minorEastAsia"/>
                <w:lang w:val="en-US" w:eastAsia="zh-CN" w:bidi="ar"/>
              </w:rPr>
              <w:t>/</w:t>
            </w:r>
            <w:r>
              <w:rPr>
                <w:rFonts w:hint="eastAsia" w:asciiTheme="minorEastAsia" w:hAnsiTheme="minorEastAsia" w:eastAsiaTheme="minorEastAsia" w:cstheme="minorEastAsia"/>
                <w:i w:val="0"/>
                <w:color w:val="000000"/>
                <w:kern w:val="0"/>
                <w:sz w:val="22"/>
                <w:szCs w:val="22"/>
                <w:u w:val="none"/>
                <w:lang w:val="en-US" w:eastAsia="zh-CN" w:bidi="ar"/>
              </w:rPr>
              <w:t>高度可调节方向盘</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R-Line</w:t>
            </w:r>
            <w:r>
              <w:rPr>
                <w:rFonts w:hint="eastAsia" w:asciiTheme="minorEastAsia" w:hAnsiTheme="minorEastAsia" w:eastAsiaTheme="minorEastAsia" w:cstheme="minorEastAsia"/>
                <w:i w:val="0"/>
                <w:color w:val="000000"/>
                <w:kern w:val="0"/>
                <w:sz w:val="22"/>
                <w:szCs w:val="22"/>
                <w:u w:val="none"/>
                <w:lang w:val="en-US" w:eastAsia="zh-CN" w:bidi="ar"/>
              </w:rPr>
              <w:t>专属</w:t>
            </w:r>
            <w:r>
              <w:rPr>
                <w:rStyle w:val="51"/>
                <w:rFonts w:hint="eastAsia" w:asciiTheme="minorEastAsia" w:hAnsiTheme="minorEastAsia" w:eastAsiaTheme="minorEastAsia" w:cstheme="minorEastAsia"/>
                <w:lang w:val="en-US" w:eastAsia="zh-CN" w:bidi="ar"/>
              </w:rPr>
              <w:t>Alcantara</w:t>
            </w:r>
            <w:r>
              <w:rPr>
                <w:rFonts w:hint="eastAsia" w:asciiTheme="minorEastAsia" w:hAnsiTheme="minorEastAsia" w:eastAsiaTheme="minorEastAsia" w:cstheme="minorEastAsia"/>
                <w:i w:val="0"/>
                <w:color w:val="000000"/>
                <w:kern w:val="0"/>
                <w:sz w:val="22"/>
                <w:szCs w:val="22"/>
                <w:u w:val="none"/>
                <w:lang w:val="en-US" w:eastAsia="zh-CN" w:bidi="ar"/>
              </w:rPr>
              <w:t>高级材质座椅</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12</w:t>
            </w:r>
            <w:r>
              <w:rPr>
                <w:rFonts w:hint="eastAsia" w:asciiTheme="minorEastAsia" w:hAnsiTheme="minorEastAsia" w:eastAsiaTheme="minorEastAsia" w:cstheme="minorEastAsia"/>
                <w:i w:val="0"/>
                <w:color w:val="000000"/>
                <w:kern w:val="0"/>
                <w:sz w:val="22"/>
                <w:szCs w:val="22"/>
                <w:u w:val="none"/>
                <w:lang w:val="en-US" w:eastAsia="zh-CN" w:bidi="ar"/>
              </w:rPr>
              <w:t>向电动座椅调节（含腰托）</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后排座椅</w:t>
            </w:r>
            <w:r>
              <w:rPr>
                <w:rStyle w:val="51"/>
                <w:rFonts w:hint="eastAsia" w:asciiTheme="minorEastAsia" w:hAnsiTheme="minorEastAsia" w:eastAsiaTheme="minorEastAsia" w:cstheme="minorEastAsia"/>
                <w:lang w:val="en-US" w:eastAsia="zh-CN" w:bidi="ar"/>
              </w:rPr>
              <w:t>4/2/4</w:t>
            </w:r>
            <w:r>
              <w:rPr>
                <w:rFonts w:hint="eastAsia" w:asciiTheme="minorEastAsia" w:hAnsiTheme="minorEastAsia" w:eastAsiaTheme="minorEastAsia" w:cstheme="minorEastAsia"/>
                <w:i w:val="0"/>
                <w:color w:val="000000"/>
                <w:kern w:val="0"/>
                <w:sz w:val="22"/>
                <w:szCs w:val="22"/>
                <w:u w:val="none"/>
                <w:lang w:val="en-US" w:eastAsia="zh-CN" w:bidi="ar"/>
              </w:rPr>
              <w:t>可分折叠</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后排座椅前后</w:t>
            </w:r>
            <w:r>
              <w:rPr>
                <w:rStyle w:val="51"/>
                <w:rFonts w:hint="eastAsia" w:asciiTheme="minorEastAsia" w:hAnsiTheme="minorEastAsia" w:eastAsiaTheme="minorEastAsia" w:cstheme="minorEastAsia"/>
                <w:lang w:val="en-US" w:eastAsia="zh-CN" w:bidi="ar"/>
              </w:rPr>
              <w:t>/</w:t>
            </w:r>
            <w:r>
              <w:rPr>
                <w:rFonts w:hint="eastAsia" w:asciiTheme="minorEastAsia" w:hAnsiTheme="minorEastAsia" w:eastAsiaTheme="minorEastAsia" w:cstheme="minorEastAsia"/>
                <w:i w:val="0"/>
                <w:color w:val="000000"/>
                <w:kern w:val="0"/>
                <w:sz w:val="22"/>
                <w:szCs w:val="22"/>
                <w:u w:val="none"/>
                <w:lang w:val="en-US" w:eastAsia="zh-CN" w:bidi="ar"/>
              </w:rPr>
              <w:t>角度可调</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后排座椅行李箱箱一键放倒</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后排座椅中扶手（带通过式载物功能）</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R-Line</w:t>
            </w:r>
            <w:r>
              <w:rPr>
                <w:rFonts w:hint="eastAsia" w:asciiTheme="minorEastAsia" w:hAnsiTheme="minorEastAsia" w:eastAsiaTheme="minorEastAsia" w:cstheme="minorEastAsia"/>
                <w:i w:val="0"/>
                <w:color w:val="000000"/>
                <w:kern w:val="0"/>
                <w:sz w:val="22"/>
                <w:szCs w:val="22"/>
                <w:u w:val="none"/>
                <w:lang w:val="en-US" w:eastAsia="zh-CN" w:bidi="ar"/>
              </w:rPr>
              <w:t>徽标金属迎宾踏板饰条</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后备箱垫</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车内脚垫</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豪华内饰格调氛围灯</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95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000000"/>
                <w:sz w:val="22"/>
                <w:szCs w:val="22"/>
                <w:u w:val="none"/>
              </w:rPr>
            </w:pPr>
            <w:r>
              <w:rPr>
                <w:rFonts w:hint="eastAsia" w:asciiTheme="minorEastAsia" w:hAnsiTheme="minorEastAsia" w:eastAsiaTheme="minorEastAsia" w:cstheme="minorEastAsia"/>
                <w:b/>
                <w:i w:val="0"/>
                <w:color w:val="000000"/>
                <w:kern w:val="0"/>
                <w:sz w:val="22"/>
                <w:szCs w:val="22"/>
                <w:u w:val="none"/>
                <w:lang w:val="en-US" w:eastAsia="zh-CN" w:bidi="ar"/>
              </w:rPr>
              <w:t>安全</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行车记录仪（内存≧32G）</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前排正面安全气囊</w:t>
            </w:r>
            <w:r>
              <w:rPr>
                <w:rStyle w:val="51"/>
                <w:rFonts w:hint="eastAsia" w:asciiTheme="minorEastAsia" w:hAnsiTheme="minorEastAsia" w:eastAsiaTheme="minorEastAsia" w:cstheme="minorEastAsia"/>
                <w:lang w:val="en-US" w:eastAsia="zh-CN" w:bidi="ar"/>
              </w:rPr>
              <w:t>*2</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前排侧面 安全气囊</w:t>
            </w:r>
            <w:r>
              <w:rPr>
                <w:rStyle w:val="51"/>
                <w:rFonts w:hint="eastAsia" w:asciiTheme="minorEastAsia" w:hAnsiTheme="minorEastAsia" w:eastAsiaTheme="minorEastAsia" w:cstheme="minorEastAsia"/>
                <w:lang w:val="en-US" w:eastAsia="zh-CN" w:bidi="ar"/>
              </w:rPr>
              <w:t>*2</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前后贯穿式两侧头部安全气帘</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驾驶员膝部气囊</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前排安全带未系提醒</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后排 安全带未系提醒</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全功能</w:t>
            </w:r>
            <w:r>
              <w:rPr>
                <w:rStyle w:val="51"/>
                <w:rFonts w:hint="eastAsia" w:asciiTheme="minorEastAsia" w:hAnsiTheme="minorEastAsia" w:eastAsiaTheme="minorEastAsia" w:cstheme="minorEastAsia"/>
                <w:lang w:val="en-US" w:eastAsia="zh-CN" w:bidi="ar"/>
              </w:rPr>
              <w:t>ESP</w:t>
            </w:r>
            <w:r>
              <w:rPr>
                <w:rFonts w:hint="eastAsia" w:asciiTheme="minorEastAsia" w:hAnsiTheme="minorEastAsia" w:eastAsiaTheme="minorEastAsia" w:cstheme="minorEastAsia"/>
                <w:i w:val="0"/>
                <w:color w:val="000000"/>
                <w:kern w:val="0"/>
                <w:sz w:val="22"/>
                <w:szCs w:val="22"/>
                <w:u w:val="none"/>
                <w:lang w:val="en-US" w:eastAsia="zh-CN" w:bidi="ar"/>
              </w:rPr>
              <w:t>车身稳定系统（含</w:t>
            </w:r>
            <w:r>
              <w:rPr>
                <w:rStyle w:val="51"/>
                <w:rFonts w:hint="eastAsia" w:asciiTheme="minorEastAsia" w:hAnsiTheme="minorEastAsia" w:eastAsiaTheme="minorEastAsia" w:cstheme="minorEastAsia"/>
                <w:lang w:val="en-US" w:eastAsia="zh-CN" w:bidi="ar"/>
              </w:rPr>
              <w:t>ABS, ASR, HBA</w:t>
            </w:r>
            <w:r>
              <w:rPr>
                <w:rFonts w:hint="eastAsia" w:asciiTheme="minorEastAsia" w:hAnsiTheme="minorEastAsia" w:eastAsiaTheme="minorEastAsia" w:cstheme="minorEastAsia"/>
                <w:i w:val="0"/>
                <w:color w:val="000000"/>
                <w:kern w:val="0"/>
                <w:sz w:val="22"/>
                <w:szCs w:val="22"/>
                <w:u w:val="none"/>
                <w:lang w:val="en-US" w:eastAsia="zh-CN" w:bidi="ar"/>
              </w:rPr>
              <w:t>等多项扩展功能）</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前后排高度可调头枕</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Front Assist</w:t>
            </w:r>
            <w:r>
              <w:rPr>
                <w:rFonts w:hint="eastAsia" w:asciiTheme="minorEastAsia" w:hAnsiTheme="minorEastAsia" w:eastAsiaTheme="minorEastAsia" w:cstheme="minorEastAsia"/>
                <w:i w:val="0"/>
                <w:color w:val="000000"/>
                <w:kern w:val="0"/>
                <w:sz w:val="22"/>
                <w:szCs w:val="22"/>
                <w:u w:val="none"/>
                <w:lang w:val="en-US" w:eastAsia="zh-CN" w:bidi="ar"/>
              </w:rPr>
              <w:t>预碰撞安全系统（含</w:t>
            </w:r>
            <w:r>
              <w:rPr>
                <w:rStyle w:val="51"/>
                <w:rFonts w:hint="eastAsia" w:asciiTheme="minorEastAsia" w:hAnsiTheme="minorEastAsia" w:eastAsiaTheme="minorEastAsia" w:cstheme="minorEastAsia"/>
                <w:lang w:val="en-US" w:eastAsia="zh-CN" w:bidi="ar"/>
              </w:rPr>
              <w:t>CEB</w:t>
            </w:r>
            <w:r>
              <w:rPr>
                <w:rFonts w:hint="eastAsia" w:asciiTheme="minorEastAsia" w:hAnsiTheme="minorEastAsia" w:eastAsiaTheme="minorEastAsia" w:cstheme="minorEastAsia"/>
                <w:i w:val="0"/>
                <w:color w:val="000000"/>
                <w:kern w:val="0"/>
                <w:sz w:val="22"/>
                <w:szCs w:val="22"/>
                <w:u w:val="none"/>
                <w:lang w:val="en-US" w:eastAsia="zh-CN" w:bidi="ar"/>
              </w:rPr>
              <w:t>城市紧急制动）</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 xml:space="preserve">GRA </w:t>
            </w:r>
            <w:r>
              <w:rPr>
                <w:rFonts w:hint="eastAsia" w:asciiTheme="minorEastAsia" w:hAnsiTheme="minorEastAsia" w:eastAsiaTheme="minorEastAsia" w:cstheme="minorEastAsia"/>
                <w:i w:val="0"/>
                <w:color w:val="000000"/>
                <w:kern w:val="0"/>
                <w:sz w:val="22"/>
                <w:szCs w:val="22"/>
                <w:u w:val="none"/>
                <w:lang w:val="en-US" w:eastAsia="zh-CN" w:bidi="ar"/>
              </w:rPr>
              <w:t>定速巡航系统</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自动防炫目内后视镜</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EPB</w:t>
            </w:r>
            <w:r>
              <w:rPr>
                <w:rFonts w:hint="eastAsia" w:asciiTheme="minorEastAsia" w:hAnsiTheme="minorEastAsia" w:eastAsiaTheme="minorEastAsia" w:cstheme="minorEastAsia"/>
                <w:i w:val="0"/>
                <w:color w:val="000000"/>
                <w:kern w:val="0"/>
                <w:sz w:val="22"/>
                <w:szCs w:val="22"/>
                <w:u w:val="none"/>
                <w:lang w:val="en-US" w:eastAsia="zh-CN" w:bidi="ar"/>
              </w:rPr>
              <w:t>电子驻车</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ISOFIX</w:t>
            </w:r>
            <w:r>
              <w:rPr>
                <w:rFonts w:hint="eastAsia" w:asciiTheme="minorEastAsia" w:hAnsiTheme="minorEastAsia" w:eastAsiaTheme="minorEastAsia" w:cstheme="minorEastAsia"/>
                <w:i w:val="0"/>
                <w:color w:val="000000"/>
                <w:kern w:val="0"/>
                <w:sz w:val="22"/>
                <w:szCs w:val="22"/>
                <w:u w:val="none"/>
                <w:lang w:val="en-US" w:eastAsia="zh-CN" w:bidi="ar"/>
              </w:rPr>
              <w:t>儿童座椅固定装置</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TPMS Warning Signal</w:t>
            </w:r>
            <w:r>
              <w:rPr>
                <w:rFonts w:hint="eastAsia" w:asciiTheme="minorEastAsia" w:hAnsiTheme="minorEastAsia" w:eastAsiaTheme="minorEastAsia" w:cstheme="minorEastAsia"/>
                <w:i w:val="0"/>
                <w:color w:val="000000"/>
                <w:kern w:val="0"/>
                <w:sz w:val="22"/>
                <w:szCs w:val="22"/>
                <w:u w:val="none"/>
                <w:lang w:val="en-US" w:eastAsia="zh-CN" w:bidi="ar"/>
              </w:rPr>
              <w:t>胎压监测报警系统</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前后 泊车雷达</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 xml:space="preserve">Auto Hold </w:t>
            </w:r>
            <w:r>
              <w:rPr>
                <w:rFonts w:hint="eastAsia" w:asciiTheme="minorEastAsia" w:hAnsiTheme="minorEastAsia" w:eastAsiaTheme="minorEastAsia" w:cstheme="minorEastAsia"/>
                <w:i w:val="0"/>
                <w:color w:val="000000"/>
                <w:kern w:val="0"/>
                <w:sz w:val="22"/>
                <w:szCs w:val="22"/>
                <w:u w:val="none"/>
                <w:lang w:val="en-US" w:eastAsia="zh-CN" w:bidi="ar"/>
              </w:rPr>
              <w:t>自动驻车</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HHC</w:t>
            </w:r>
            <w:r>
              <w:rPr>
                <w:rFonts w:hint="eastAsia" w:asciiTheme="minorEastAsia" w:hAnsiTheme="minorEastAsia" w:eastAsiaTheme="minorEastAsia" w:cstheme="minorEastAsia"/>
                <w:i w:val="0"/>
                <w:color w:val="000000"/>
                <w:kern w:val="0"/>
                <w:sz w:val="22"/>
                <w:szCs w:val="22"/>
                <w:u w:val="none"/>
                <w:lang w:val="en-US" w:eastAsia="zh-CN" w:bidi="ar"/>
              </w:rPr>
              <w:t>坡道辅助系统</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HDC</w:t>
            </w:r>
            <w:r>
              <w:rPr>
                <w:rFonts w:hint="eastAsia" w:asciiTheme="minorEastAsia" w:hAnsiTheme="minorEastAsia" w:eastAsiaTheme="minorEastAsia" w:cstheme="minorEastAsia"/>
                <w:i w:val="0"/>
                <w:color w:val="000000"/>
                <w:kern w:val="0"/>
                <w:sz w:val="22"/>
                <w:szCs w:val="22"/>
                <w:u w:val="none"/>
                <w:lang w:val="en-US" w:eastAsia="zh-CN" w:bidi="ar"/>
              </w:rPr>
              <w:t>陡坡缓降系统</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RVC</w:t>
            </w:r>
            <w:r>
              <w:rPr>
                <w:rFonts w:hint="eastAsia" w:asciiTheme="minorEastAsia" w:hAnsiTheme="minorEastAsia" w:eastAsiaTheme="minorEastAsia" w:cstheme="minorEastAsia"/>
                <w:i w:val="0"/>
                <w:color w:val="000000"/>
                <w:kern w:val="0"/>
                <w:sz w:val="22"/>
                <w:szCs w:val="22"/>
                <w:u w:val="none"/>
                <w:lang w:val="en-US" w:eastAsia="zh-CN" w:bidi="ar"/>
              </w:rPr>
              <w:t>泊车后视影像系统</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95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000000"/>
                <w:sz w:val="22"/>
                <w:szCs w:val="22"/>
                <w:u w:val="none"/>
              </w:rPr>
            </w:pPr>
            <w:r>
              <w:rPr>
                <w:rFonts w:hint="eastAsia" w:asciiTheme="minorEastAsia" w:hAnsiTheme="minorEastAsia" w:eastAsiaTheme="minorEastAsia" w:cstheme="minorEastAsia"/>
                <w:b/>
                <w:i w:val="0"/>
                <w:color w:val="000000"/>
                <w:kern w:val="0"/>
                <w:sz w:val="22"/>
                <w:szCs w:val="22"/>
                <w:u w:val="none"/>
                <w:lang w:val="en-US" w:eastAsia="zh-CN" w:bidi="ar"/>
              </w:rPr>
              <w:t>功能</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后尾箱电动尾门</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遥控钥匙</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Kessy</w:t>
            </w:r>
            <w:r>
              <w:rPr>
                <w:rFonts w:hint="eastAsia" w:asciiTheme="minorEastAsia" w:hAnsiTheme="minorEastAsia" w:eastAsiaTheme="minorEastAsia" w:cstheme="minorEastAsia"/>
                <w:i w:val="0"/>
                <w:color w:val="000000"/>
                <w:kern w:val="0"/>
                <w:sz w:val="22"/>
                <w:szCs w:val="22"/>
                <w:u w:val="none"/>
                <w:lang w:val="en-US" w:eastAsia="zh-CN" w:bidi="ar"/>
              </w:rPr>
              <w:t>智能（四门）无钥匙进入系统</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Kessy</w:t>
            </w:r>
            <w:r>
              <w:rPr>
                <w:rFonts w:hint="eastAsia" w:asciiTheme="minorEastAsia" w:hAnsiTheme="minorEastAsia" w:eastAsiaTheme="minorEastAsia" w:cstheme="minorEastAsia"/>
                <w:i w:val="0"/>
                <w:color w:val="000000"/>
                <w:kern w:val="0"/>
                <w:sz w:val="22"/>
                <w:szCs w:val="22"/>
                <w:u w:val="none"/>
                <w:lang w:val="en-US" w:eastAsia="zh-CN" w:bidi="ar"/>
              </w:rPr>
              <w:t>智能一键启动系统</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行李厢盖板上下可调</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发动机启停及能量回收系统</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 xml:space="preserve">Active Control </w:t>
            </w:r>
            <w:r>
              <w:rPr>
                <w:rFonts w:hint="eastAsia" w:asciiTheme="minorEastAsia" w:hAnsiTheme="minorEastAsia" w:eastAsiaTheme="minorEastAsia" w:cstheme="minorEastAsia"/>
                <w:i w:val="0"/>
                <w:color w:val="000000"/>
                <w:kern w:val="0"/>
                <w:sz w:val="22"/>
                <w:szCs w:val="22"/>
                <w:u w:val="none"/>
                <w:lang w:val="en-US" w:eastAsia="zh-CN" w:bidi="ar"/>
              </w:rPr>
              <w:t>驾驶模式选择</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智能触控式三区自动恒温空调系统</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Clean Air 3.0</w:t>
            </w:r>
            <w:r>
              <w:rPr>
                <w:rFonts w:hint="eastAsia" w:asciiTheme="minorEastAsia" w:hAnsiTheme="minorEastAsia" w:eastAsiaTheme="minorEastAsia" w:cstheme="minorEastAsia"/>
                <w:i w:val="0"/>
                <w:color w:val="000000"/>
                <w:kern w:val="0"/>
                <w:sz w:val="22"/>
                <w:szCs w:val="22"/>
                <w:u w:val="none"/>
                <w:lang w:val="en-US" w:eastAsia="zh-CN" w:bidi="ar"/>
              </w:rPr>
              <w:t>空气净化系统</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后排空调出风口</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 xml:space="preserve">Active Info Display </w:t>
            </w:r>
            <w:r>
              <w:rPr>
                <w:rFonts w:hint="eastAsia" w:asciiTheme="minorEastAsia" w:hAnsiTheme="minorEastAsia" w:eastAsiaTheme="minorEastAsia" w:cstheme="minorEastAsia"/>
                <w:i w:val="0"/>
                <w:color w:val="000000"/>
                <w:kern w:val="0"/>
                <w:sz w:val="22"/>
                <w:szCs w:val="22"/>
                <w:u w:val="none"/>
                <w:lang w:val="en-US" w:eastAsia="zh-CN" w:bidi="ar"/>
              </w:rPr>
              <w:t>全液晶数字仪表</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Style w:val="51"/>
                <w:rFonts w:hint="eastAsia" w:asciiTheme="minorEastAsia" w:hAnsiTheme="minorEastAsia" w:eastAsiaTheme="minorEastAsia" w:cstheme="minorEastAsia"/>
                <w:lang w:val="en-US" w:eastAsia="zh-CN" w:bidi="ar"/>
              </w:rPr>
              <w:t>CNS3.0</w:t>
            </w:r>
            <w:r>
              <w:rPr>
                <w:rFonts w:hint="eastAsia" w:asciiTheme="minorEastAsia" w:hAnsiTheme="minorEastAsia" w:eastAsiaTheme="minorEastAsia" w:cstheme="minorEastAsia"/>
                <w:i w:val="0"/>
                <w:color w:val="000000"/>
                <w:kern w:val="0"/>
                <w:sz w:val="22"/>
                <w:szCs w:val="22"/>
                <w:u w:val="none"/>
                <w:lang w:val="en-US" w:eastAsia="zh-CN" w:bidi="ar"/>
              </w:rPr>
              <w:t>智能车载导航信息娱乐系统：</w:t>
            </w:r>
            <w:r>
              <w:rPr>
                <w:rStyle w:val="51"/>
                <w:rFonts w:hint="eastAsia" w:asciiTheme="minorEastAsia" w:hAnsiTheme="minorEastAsia" w:eastAsiaTheme="minorEastAsia" w:cstheme="minorEastAsia"/>
                <w:lang w:val="en-US" w:eastAsia="zh-CN" w:bidi="ar"/>
              </w:rPr>
              <w:t>9.2</w:t>
            </w:r>
            <w:r>
              <w:rPr>
                <w:rFonts w:hint="eastAsia" w:asciiTheme="minorEastAsia" w:hAnsiTheme="minorEastAsia" w:eastAsiaTheme="minorEastAsia" w:cstheme="minorEastAsia"/>
                <w:i w:val="0"/>
                <w:color w:val="000000"/>
                <w:kern w:val="0"/>
                <w:sz w:val="22"/>
                <w:szCs w:val="22"/>
                <w:u w:val="none"/>
                <w:lang w:val="en-US" w:eastAsia="zh-CN" w:bidi="ar"/>
              </w:rPr>
              <w:t>英寸触摸彩屏</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tr>
        <w:tblPrEx>
          <w:tblCellMar>
            <w:top w:w="0" w:type="dxa"/>
            <w:left w:w="0" w:type="dxa"/>
            <w:bottom w:w="0" w:type="dxa"/>
            <w:right w:w="0" w:type="dxa"/>
          </w:tblCellMar>
        </w:tblPrEx>
        <w:trPr>
          <w:trHeight w:val="480" w:hRule="atLeast"/>
        </w:trPr>
        <w:tc>
          <w:tcPr>
            <w:tcW w:w="6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蓝牙手机免提系统</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有</w:t>
            </w:r>
          </w:p>
        </w:tc>
      </w:tr>
      <w:bookmarkEnd w:id="106"/>
    </w:tbl>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备注：</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6" w:name="_Toc11313"/>
      <w:bookmarkStart w:id="37" w:name="_Toc2011"/>
      <w:bookmarkStart w:id="38" w:name="_Toc3470"/>
      <w:bookmarkStart w:id="39" w:name="_Toc22507"/>
      <w:bookmarkStart w:id="40" w:name="_Toc5486"/>
    </w:p>
    <w:p>
      <w:pPr>
        <w:numPr>
          <w:ilvl w:val="0"/>
          <w:numId w:val="0"/>
        </w:numPr>
        <w:ind w:firstLine="422" w:firstLineChars="200"/>
        <w:jc w:val="both"/>
        <w:outlineLvl w:val="0"/>
        <w:rPr>
          <w:rFonts w:hint="eastAsia"/>
        </w:rPr>
      </w:pPr>
      <w:r>
        <w:rPr>
          <w:rFonts w:hint="eastAsia" w:asciiTheme="majorEastAsia" w:hAnsiTheme="majorEastAsia" w:eastAsiaTheme="majorEastAsia" w:cstheme="majorEastAsia"/>
          <w:b/>
          <w:bCs/>
          <w:color w:val="auto"/>
          <w:sz w:val="21"/>
          <w:szCs w:val="21"/>
          <w:lang w:val="en-US" w:eastAsia="zh-CN"/>
        </w:rPr>
        <w:t>2、</w:t>
      </w:r>
      <w:r>
        <w:rPr>
          <w:rFonts w:hint="eastAsia" w:asciiTheme="majorEastAsia" w:hAnsiTheme="majorEastAsia" w:eastAsiaTheme="majorEastAsia" w:cstheme="majorEastAsia"/>
          <w:b/>
          <w:bCs/>
          <w:color w:val="auto"/>
          <w:sz w:val="21"/>
          <w:szCs w:val="21"/>
        </w:rPr>
        <w:t>采购项目所开具发票名称必须与</w:t>
      </w:r>
      <w:r>
        <w:rPr>
          <w:rFonts w:hint="eastAsia" w:asciiTheme="majorEastAsia" w:hAnsiTheme="majorEastAsia" w:eastAsiaTheme="majorEastAsia" w:cstheme="majorEastAsia"/>
          <w:b/>
          <w:bCs/>
          <w:color w:val="auto"/>
          <w:sz w:val="21"/>
          <w:szCs w:val="21"/>
          <w:lang w:eastAsia="zh-CN"/>
        </w:rPr>
        <w:t>成交供应商</w:t>
      </w:r>
      <w:r>
        <w:rPr>
          <w:rFonts w:hint="eastAsia" w:asciiTheme="majorEastAsia" w:hAnsiTheme="majorEastAsia" w:eastAsiaTheme="majorEastAsia" w:cstheme="majorEastAsia"/>
          <w:b/>
          <w:bCs/>
          <w:color w:val="auto"/>
          <w:sz w:val="21"/>
          <w:szCs w:val="21"/>
        </w:rPr>
        <w:t>单位名称一致。</w:t>
      </w:r>
      <w:bookmarkEnd w:id="36"/>
      <w:bookmarkEnd w:id="37"/>
      <w:bookmarkEnd w:id="38"/>
      <w:bookmarkEnd w:id="39"/>
      <w:bookmarkEnd w:id="40"/>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br w:type="page"/>
      </w:r>
      <w:bookmarkStart w:id="41" w:name="_Toc11297"/>
      <w:bookmarkStart w:id="42" w:name="_Toc4288_WPSOffice_Level1"/>
    </w:p>
    <w:p>
      <w:pPr>
        <w:jc w:val="both"/>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1"/>
      <w:bookmarkEnd w:id="42"/>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3"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3"/>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4" w:name="_Toc12631_WPSOffice_Level1"/>
      <w:r>
        <w:rPr>
          <w:rFonts w:hint="eastAsia" w:ascii="宋体" w:hAnsi="宋体" w:eastAsia="宋体" w:cs="宋体"/>
          <w:b/>
          <w:color w:val="auto"/>
          <w:sz w:val="44"/>
          <w:szCs w:val="44"/>
        </w:rPr>
        <w:t>响</w:t>
      </w:r>
      <w:bookmarkEnd w:id="44"/>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5" w:name="_Toc13194_WPSOffice_Level1"/>
      <w:r>
        <w:rPr>
          <w:rFonts w:hint="eastAsia" w:ascii="宋体" w:hAnsi="宋体" w:eastAsia="宋体" w:cs="宋体"/>
          <w:b/>
          <w:color w:val="auto"/>
          <w:sz w:val="44"/>
          <w:szCs w:val="44"/>
        </w:rPr>
        <w:t>应</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28638_WPSOffice_Level1"/>
      <w:r>
        <w:rPr>
          <w:rFonts w:hint="eastAsia" w:ascii="宋体" w:hAnsi="宋体" w:eastAsia="宋体" w:cs="宋体"/>
          <w:b/>
          <w:color w:val="auto"/>
          <w:sz w:val="44"/>
          <w:szCs w:val="44"/>
        </w:rPr>
        <w:t>文</w:t>
      </w:r>
      <w:bookmarkEnd w:id="46"/>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7" w:name="_Toc21450_WPSOffice_Level1"/>
      <w:r>
        <w:rPr>
          <w:rFonts w:hint="eastAsia" w:ascii="宋体" w:hAnsi="宋体" w:eastAsia="宋体" w:cs="宋体"/>
          <w:b/>
          <w:color w:val="auto"/>
          <w:sz w:val="44"/>
          <w:szCs w:val="44"/>
        </w:rPr>
        <w:t>件</w:t>
      </w:r>
      <w:bookmarkEnd w:id="47"/>
    </w:p>
    <w:p>
      <w:pPr>
        <w:pStyle w:val="2"/>
        <w:jc w:val="center"/>
        <w:rPr>
          <w:rFonts w:ascii="黑体"/>
          <w:color w:val="auto"/>
          <w:sz w:val="44"/>
          <w:u w:val="single"/>
        </w:rPr>
      </w:pPr>
      <w:bookmarkStart w:id="48" w:name="_Toc30778_WPSOffice_Level1"/>
      <w:r>
        <w:rPr>
          <w:rFonts w:hint="eastAsia" w:ascii="黑体" w:hAnsi="Times New Roman" w:eastAsia="黑体"/>
          <w:color w:val="auto"/>
          <w:kern w:val="2"/>
          <w:sz w:val="32"/>
          <w:szCs w:val="22"/>
          <w:u w:val="single"/>
        </w:rPr>
        <w:t>正本（副本）</w:t>
      </w:r>
      <w:bookmarkEnd w:id="48"/>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9"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9"/>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0"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50"/>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51"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51"/>
    </w:p>
    <w:p>
      <w:pPr>
        <w:spacing w:afterLines="50" w:line="500" w:lineRule="exact"/>
        <w:ind w:firstLine="1605" w:firstLineChars="500"/>
        <w:rPr>
          <w:rFonts w:hint="eastAsia" w:ascii="宋体" w:hAnsi="宋体" w:eastAsia="宋体" w:cs="宋体"/>
          <w:b/>
          <w:color w:val="auto"/>
          <w:spacing w:val="20"/>
          <w:kern w:val="0"/>
          <w:sz w:val="28"/>
          <w:szCs w:val="28"/>
        </w:rPr>
      </w:pPr>
      <w:bookmarkStart w:id="52"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52"/>
    </w:p>
    <w:p>
      <w:pPr>
        <w:jc w:val="center"/>
        <w:rPr>
          <w:rFonts w:hint="eastAsia"/>
          <w:b/>
          <w:bCs/>
          <w:color w:val="auto"/>
          <w:sz w:val="28"/>
          <w:szCs w:val="28"/>
        </w:rPr>
      </w:pPr>
      <w:bookmarkStart w:id="53" w:name="_Toc19469_WPSOffice_Level1"/>
    </w:p>
    <w:p>
      <w:pPr>
        <w:jc w:val="center"/>
        <w:rPr>
          <w:rFonts w:hint="eastAsia"/>
          <w:b/>
          <w:bCs/>
          <w:color w:val="auto"/>
          <w:sz w:val="28"/>
          <w:szCs w:val="28"/>
        </w:rPr>
      </w:pPr>
      <w:r>
        <w:rPr>
          <w:rFonts w:hint="eastAsia"/>
          <w:b/>
          <w:bCs/>
          <w:color w:val="auto"/>
          <w:sz w:val="28"/>
          <w:szCs w:val="28"/>
        </w:rPr>
        <w:t>响应文件资料清单</w:t>
      </w:r>
      <w:bookmarkEnd w:id="53"/>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7"/>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7"/>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小企业声明函（如有）</w:t>
            </w:r>
            <w:r>
              <w:rPr>
                <w:rFonts w:hint="eastAsia" w:ascii="Tahoma" w:hAnsi="Tahoma"/>
                <w:color w:val="auto"/>
                <w:sz w:val="21"/>
                <w:szCs w:val="21"/>
                <w:lang w:val="en-US" w:eastAsia="zh-CN"/>
              </w:rPr>
              <w:t>残疾人福利性单位声明函</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成交公告</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6"/>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b/>
          <w:bCs/>
          <w:color w:val="auto"/>
          <w:sz w:val="28"/>
          <w:szCs w:val="28"/>
        </w:rPr>
      </w:pPr>
      <w:bookmarkStart w:id="54" w:name="_Toc10142_WPSOffice_Level1"/>
      <w:r>
        <w:rPr>
          <w:rFonts w:hint="eastAsia"/>
          <w:b/>
          <w:bCs/>
          <w:color w:val="auto"/>
          <w:sz w:val="28"/>
          <w:szCs w:val="28"/>
        </w:rPr>
        <w:t>供应商基本信息</w:t>
      </w:r>
      <w:bookmarkEnd w:id="54"/>
    </w:p>
    <w:p>
      <w:pPr>
        <w:jc w:val="center"/>
        <w:rPr>
          <w:rFonts w:hint="eastAsia" w:eastAsia="宋体"/>
          <w:b/>
          <w:bCs/>
          <w:color w:val="auto"/>
          <w:sz w:val="28"/>
          <w:szCs w:val="28"/>
          <w:lang w:eastAsia="zh-CN"/>
        </w:rPr>
      </w:pPr>
      <w:bookmarkStart w:id="55" w:name="_Toc5936_WPSOffice_Level1"/>
      <w:r>
        <w:rPr>
          <w:rFonts w:hint="eastAsia"/>
          <w:b/>
          <w:bCs/>
          <w:color w:val="auto"/>
          <w:sz w:val="28"/>
          <w:szCs w:val="28"/>
          <w:lang w:eastAsia="zh-CN"/>
        </w:rPr>
        <w:t>（格式自拟）</w:t>
      </w:r>
      <w:bookmarkEnd w:id="55"/>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6" w:name="_Toc471299104"/>
      <w:bookmarkStart w:id="57" w:name="_Toc31656"/>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二</w:t>
      </w:r>
    </w:p>
    <w:p>
      <w:pPr>
        <w:pStyle w:val="5"/>
        <w:spacing w:line="360" w:lineRule="auto"/>
        <w:jc w:val="center"/>
        <w:rPr>
          <w:rFonts w:hint="eastAsia" w:ascii="宋体" w:hAnsi="宋体" w:eastAsia="宋体"/>
          <w:color w:val="auto"/>
          <w:highlight w:val="none"/>
        </w:rPr>
      </w:pPr>
      <w:bookmarkStart w:id="58" w:name="_Toc16469"/>
      <w:bookmarkStart w:id="59" w:name="_Toc30884"/>
      <w:bookmarkStart w:id="60" w:name="_Toc8862_WPSOffice_Level1"/>
      <w:bookmarkStart w:id="61" w:name="_Toc471299105"/>
      <w:r>
        <w:rPr>
          <w:rFonts w:hint="eastAsia" w:ascii="宋体" w:hAnsi="宋体" w:eastAsia="宋体"/>
          <w:color w:val="auto"/>
          <w:highlight w:val="none"/>
        </w:rPr>
        <w:t>法定代表人身份证明</w:t>
      </w:r>
      <w:bookmarkEnd w:id="58"/>
      <w:bookmarkEnd w:id="59"/>
    </w:p>
    <w:p>
      <w:pPr>
        <w:spacing w:line="360" w:lineRule="auto"/>
        <w:ind w:firstLine="420" w:firstLineChars="200"/>
        <w:rPr>
          <w:rFonts w:hint="eastAsia"/>
          <w:color w:val="auto"/>
          <w:highlight w:val="none"/>
          <w:u w:val="single"/>
        </w:rPr>
      </w:pPr>
      <w:bookmarkStart w:id="62" w:name="_Toc256691626"/>
      <w:bookmarkStart w:id="63" w:name="_Toc256695502"/>
      <w:r>
        <w:rPr>
          <w:rFonts w:hint="eastAsia"/>
          <w:color w:val="auto"/>
          <w:highlight w:val="none"/>
          <w:lang w:eastAsia="zh-CN"/>
        </w:rPr>
        <w:t>承包人</w:t>
      </w:r>
      <w:r>
        <w:rPr>
          <w:rFonts w:hint="eastAsia"/>
          <w:color w:val="auto"/>
          <w:highlight w:val="none"/>
        </w:rPr>
        <w:t>名称：</w:t>
      </w:r>
      <w:bookmarkEnd w:id="62"/>
      <w:bookmarkEnd w:id="63"/>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4" w:name="_Toc256695507"/>
      <w:bookmarkStart w:id="65" w:name="_Toc256691631"/>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4"/>
      <w:bookmarkEnd w:id="65"/>
      <w:bookmarkStart w:id="66" w:name="_Toc256691632"/>
      <w:bookmarkStart w:id="67" w:name="_Toc256695508"/>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6"/>
      <w:bookmarkEnd w:id="67"/>
    </w:p>
    <w:p>
      <w:pPr>
        <w:spacing w:line="360" w:lineRule="auto"/>
        <w:ind w:firstLine="840" w:firstLineChars="400"/>
        <w:rPr>
          <w:rFonts w:hint="eastAsia"/>
          <w:color w:val="auto"/>
          <w:highlight w:val="none"/>
        </w:rPr>
      </w:pPr>
      <w:bookmarkStart w:id="68" w:name="_Toc256691633"/>
      <w:bookmarkStart w:id="69" w:name="_Toc256695509"/>
      <w:r>
        <w:rPr>
          <w:rFonts w:hint="eastAsia"/>
          <w:color w:val="auto"/>
          <w:highlight w:val="none"/>
        </w:rPr>
        <w:t>特此证明。</w:t>
      </w:r>
      <w:bookmarkEnd w:id="68"/>
      <w:bookmarkEnd w:id="69"/>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70" w:name="_Toc256691634"/>
      <w:bookmarkStart w:id="71" w:name="_Toc256695510"/>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70"/>
      <w:bookmarkEnd w:id="71"/>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2" w:name="_Toc256695511"/>
      <w:bookmarkStart w:id="73" w:name="_Toc256691635"/>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2"/>
      <w:bookmarkEnd w:id="73"/>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60"/>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74" w:name="_Toc26907"/>
      <w:r>
        <w:rPr>
          <w:rFonts w:hint="eastAsia" w:ascii="宋体" w:hAnsi="宋体" w:eastAsia="宋体" w:cs="宋体"/>
          <w:color w:val="auto"/>
          <w:sz w:val="21"/>
          <w:szCs w:val="21"/>
        </w:rPr>
        <w:br w:type="page"/>
      </w:r>
    </w:p>
    <w:p>
      <w:pPr>
        <w:pStyle w:val="6"/>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61"/>
      <w:bookmarkEnd w:id="74"/>
      <w:r>
        <w:rPr>
          <w:rFonts w:hint="eastAsia" w:ascii="宋体" w:hAnsi="宋体" w:cs="宋体"/>
          <w:color w:val="auto"/>
          <w:sz w:val="21"/>
          <w:szCs w:val="21"/>
          <w:lang w:eastAsia="zh-CN"/>
        </w:rPr>
        <w:t>三</w:t>
      </w:r>
    </w:p>
    <w:p>
      <w:pPr>
        <w:jc w:val="center"/>
        <w:rPr>
          <w:rFonts w:hint="eastAsia"/>
          <w:b/>
          <w:bCs/>
          <w:color w:val="auto"/>
          <w:sz w:val="28"/>
          <w:szCs w:val="28"/>
        </w:rPr>
      </w:pPr>
      <w:bookmarkStart w:id="75" w:name="_Toc148501698"/>
      <w:bookmarkStart w:id="76" w:name="_Toc516969098"/>
      <w:bookmarkStart w:id="77" w:name="_Toc3858_WPSOffice_Level1"/>
      <w:r>
        <w:rPr>
          <w:rFonts w:hint="eastAsia"/>
          <w:b/>
          <w:bCs/>
          <w:color w:val="auto"/>
          <w:sz w:val="28"/>
          <w:szCs w:val="28"/>
        </w:rPr>
        <w:t>响应函</w:t>
      </w:r>
      <w:bookmarkEnd w:id="75"/>
      <w:bookmarkEnd w:id="76"/>
      <w:bookmarkEnd w:id="77"/>
    </w:p>
    <w:p>
      <w:pPr>
        <w:pStyle w:val="11"/>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78" w:name="_Toc471299106"/>
      <w:bookmarkStart w:id="79" w:name="_Toc417045478"/>
      <w:bookmarkStart w:id="80" w:name="_Toc30711"/>
      <w:r>
        <w:rPr>
          <w:rFonts w:hint="eastAsia" w:ascii="宋体" w:hAnsi="宋体" w:eastAsia="宋体" w:cs="宋体"/>
          <w:color w:val="auto"/>
          <w:sz w:val="21"/>
          <w:szCs w:val="21"/>
        </w:rPr>
        <w:t>附件</w:t>
      </w:r>
      <w:bookmarkEnd w:id="78"/>
      <w:bookmarkEnd w:id="79"/>
      <w:bookmarkEnd w:id="80"/>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81" w:name="_Toc1513_WPSOffice_Level1"/>
      <w:r>
        <w:rPr>
          <w:rFonts w:hint="eastAsia"/>
          <w:b/>
          <w:bCs/>
          <w:color w:val="auto"/>
          <w:sz w:val="28"/>
          <w:szCs w:val="28"/>
          <w:lang w:val="zh-CN"/>
        </w:rPr>
        <w:t>无重大违法记录声明函</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82"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3" w:name="_Toc363199274"/>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4" w:name="_Toc471299107"/>
      <w:bookmarkStart w:id="85" w:name="_Toc3574"/>
      <w:r>
        <w:rPr>
          <w:rFonts w:hint="eastAsia" w:ascii="宋体" w:hAnsi="宋体" w:eastAsia="宋体" w:cs="宋体"/>
          <w:color w:val="auto"/>
          <w:sz w:val="21"/>
          <w:szCs w:val="21"/>
        </w:rPr>
        <w:t>附件</w:t>
      </w:r>
      <w:bookmarkEnd w:id="83"/>
      <w:bookmarkEnd w:id="84"/>
      <w:bookmarkEnd w:id="85"/>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86" w:name="_Toc24671_WPSOffice_Level1"/>
      <w:r>
        <w:rPr>
          <w:rFonts w:hint="eastAsia"/>
          <w:b/>
          <w:bCs/>
          <w:color w:val="auto"/>
          <w:sz w:val="28"/>
          <w:szCs w:val="28"/>
          <w:lang w:val="zh-CN"/>
        </w:rPr>
        <w:t>询价响应表</w:t>
      </w:r>
      <w:bookmarkEnd w:id="86"/>
    </w:p>
    <w:tbl>
      <w:tblPr>
        <w:tblStyle w:val="17"/>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333"/>
        <w:gridCol w:w="915"/>
        <w:gridCol w:w="870"/>
        <w:gridCol w:w="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03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r>
              <w:rPr>
                <w:rFonts w:hint="eastAsia" w:ascii="宋体" w:hAnsi="宋体"/>
                <w:b/>
                <w:color w:val="auto"/>
                <w:sz w:val="21"/>
                <w:szCs w:val="21"/>
              </w:rPr>
              <w:t>品牌、型号、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技术规格及配置、材质</w:t>
            </w:r>
          </w:p>
        </w:tc>
        <w:tc>
          <w:tcPr>
            <w:tcW w:w="91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87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71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bl>
    <w:p>
      <w:pPr>
        <w:pStyle w:val="16"/>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lang w:val="en-US" w:eastAsia="zh-CN"/>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87" w:name="_Toc27567"/>
      <w:bookmarkStart w:id="88" w:name="_Toc471299110"/>
    </w:p>
    <w:p>
      <w:pPr>
        <w:pStyle w:val="15"/>
        <w:rPr>
          <w:rFonts w:hint="eastAsia"/>
        </w:rPr>
      </w:pPr>
    </w:p>
    <w:p>
      <w:pPr>
        <w:pStyle w:val="15"/>
        <w:rPr>
          <w:rFonts w:hint="eastAsia"/>
        </w:rPr>
      </w:pPr>
    </w:p>
    <w:p>
      <w:pPr>
        <w:pStyle w:val="15"/>
        <w:rPr>
          <w:rFonts w:hint="eastAsia"/>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7"/>
      <w:bookmarkEnd w:id="88"/>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4"/>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89"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9"/>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5"/>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5"/>
        <w:ind w:left="0" w:leftChars="0" w:firstLine="0" w:firstLineChars="0"/>
        <w:rPr>
          <w:rFonts w:hint="eastAsia" w:ascii="宋体" w:hAnsi="宋体" w:cs="宋体"/>
          <w:color w:val="auto"/>
          <w:szCs w:val="21"/>
        </w:rPr>
      </w:pPr>
    </w:p>
    <w:p>
      <w:pPr>
        <w:pStyle w:val="15"/>
        <w:ind w:left="0" w:leftChars="0" w:firstLine="0" w:firstLineChars="0"/>
        <w:rPr>
          <w:rFonts w:hint="eastAsia" w:ascii="宋体" w:hAnsi="宋体" w:cs="宋体"/>
          <w:color w:val="auto"/>
          <w:szCs w:val="21"/>
        </w:rPr>
      </w:pPr>
    </w:p>
    <w:p>
      <w:pPr>
        <w:numPr>
          <w:ilvl w:val="0"/>
          <w:numId w:val="0"/>
        </w:numPr>
        <w:adjustRightInd w:val="0"/>
        <w:snapToGrid w:val="0"/>
        <w:spacing w:line="320" w:lineRule="auto"/>
        <w:ind w:left="2870" w:leftChars="0"/>
        <w:rPr>
          <w:rFonts w:hint="eastAsia"/>
          <w:b/>
          <w:bCs/>
          <w:color w:val="auto"/>
          <w:sz w:val="28"/>
          <w:szCs w:val="28"/>
          <w:lang w:val="en-US"/>
        </w:rPr>
      </w:pPr>
      <w:bookmarkStart w:id="90" w:name="_Toc28824_WPSOffice_Level1"/>
      <w:r>
        <w:rPr>
          <w:rFonts w:hint="eastAsia"/>
          <w:b/>
          <w:bCs/>
          <w:color w:val="auto"/>
          <w:sz w:val="28"/>
          <w:szCs w:val="28"/>
          <w:lang w:val="en-US" w:eastAsia="zh-CN"/>
        </w:rPr>
        <w:t>（二）</w:t>
      </w:r>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90"/>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bookmarkStart w:id="91" w:name="_Toc32017"/>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91"/>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2" w:name="_Toc12025_WPSOffice_Level1"/>
      <w:r>
        <w:rPr>
          <w:rFonts w:hint="eastAsia"/>
          <w:b/>
          <w:bCs/>
          <w:color w:val="auto"/>
          <w:sz w:val="28"/>
          <w:szCs w:val="28"/>
          <w:lang w:val="zh-CN"/>
        </w:rPr>
        <w:t>供货、安装、售后服务承诺</w:t>
      </w:r>
      <w:bookmarkEnd w:id="9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3" w:name="_Toc27705"/>
      <w:r>
        <w:rPr>
          <w:rFonts w:hint="eastAsia" w:ascii="宋体" w:hAnsi="宋体" w:eastAsia="宋体" w:cs="宋体"/>
          <w:color w:val="auto"/>
          <w:sz w:val="21"/>
          <w:szCs w:val="21"/>
        </w:rPr>
        <w:t>附件</w:t>
      </w:r>
      <w:bookmarkEnd w:id="93"/>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4" w:name="_Toc1950_WPSOffice_Level1"/>
      <w:r>
        <w:rPr>
          <w:rFonts w:hint="eastAsia"/>
          <w:b/>
          <w:bCs/>
          <w:color w:val="auto"/>
          <w:sz w:val="28"/>
          <w:szCs w:val="28"/>
          <w:lang w:val="zh-CN"/>
        </w:rPr>
        <w:t>询价文件要求和供应商认为需要提供的其它说明和资料</w:t>
      </w:r>
      <w:bookmarkEnd w:id="94"/>
    </w:p>
    <w:p>
      <w:pPr>
        <w:jc w:val="both"/>
        <w:rPr>
          <w:rStyle w:val="38"/>
          <w:rFonts w:hint="eastAsia"/>
          <w:color w:val="auto"/>
          <w:sz w:val="21"/>
          <w:szCs w:val="21"/>
          <w:lang w:val="en-US" w:eastAsia="zh-CN"/>
        </w:rPr>
      </w:pPr>
      <w:bookmarkStart w:id="95" w:name="_Toc3085"/>
      <w:bookmarkStart w:id="96" w:name="_Toc19844_WPSOffice_Level1"/>
    </w:p>
    <w:p>
      <w:pPr>
        <w:jc w:val="both"/>
        <w:rPr>
          <w:rStyle w:val="38"/>
          <w:rFonts w:hint="eastAsia"/>
          <w:color w:val="auto"/>
          <w:sz w:val="21"/>
          <w:szCs w:val="21"/>
          <w:lang w:val="en-US" w:eastAsia="zh-CN"/>
        </w:rPr>
      </w:pPr>
      <w:r>
        <w:rPr>
          <w:rStyle w:val="38"/>
          <w:rFonts w:hint="eastAsia"/>
          <w:color w:val="auto"/>
          <w:sz w:val="21"/>
          <w:szCs w:val="21"/>
          <w:lang w:val="en-US" w:eastAsia="zh-CN"/>
        </w:rPr>
        <w:t>（如营业执照复印件、保证金进账单复印件以及采购需求所要求的报告复印件及承诺函原件等资料）</w:t>
      </w:r>
    </w:p>
    <w:p>
      <w:pPr>
        <w:jc w:val="both"/>
        <w:rPr>
          <w:rStyle w:val="38"/>
          <w:rFonts w:hint="eastAsia"/>
          <w:color w:val="auto"/>
          <w:sz w:val="21"/>
          <w:szCs w:val="21"/>
          <w:lang w:val="en-US" w:eastAsia="zh-CN"/>
        </w:rPr>
      </w:pPr>
    </w:p>
    <w:p>
      <w:pPr>
        <w:jc w:val="both"/>
        <w:rPr>
          <w:rStyle w:val="38"/>
          <w:rFonts w:hint="eastAsia"/>
          <w:color w:val="auto"/>
          <w:sz w:val="21"/>
          <w:szCs w:val="21"/>
          <w:lang w:val="en-US" w:eastAsia="zh-CN"/>
        </w:rPr>
      </w:pPr>
    </w:p>
    <w:p>
      <w:pPr>
        <w:jc w:val="both"/>
        <w:rPr>
          <w:rFonts w:hint="eastAsia" w:ascii="宋体" w:hAnsi="宋体" w:cs="宋体"/>
          <w:b/>
          <w:bCs/>
          <w:color w:val="auto"/>
          <w:sz w:val="32"/>
          <w:szCs w:val="32"/>
        </w:rPr>
      </w:pPr>
      <w:r>
        <w:rPr>
          <w:rStyle w:val="38"/>
          <w:rFonts w:hint="eastAsia"/>
          <w:color w:val="auto"/>
          <w:sz w:val="21"/>
          <w:szCs w:val="21"/>
          <w:lang w:val="en-US" w:eastAsia="zh-CN"/>
        </w:rPr>
        <w:t>附件九</w:t>
      </w:r>
      <w:r>
        <w:rPr>
          <w:rStyle w:val="38"/>
          <w:rFonts w:hint="eastAsia"/>
          <w:color w:val="auto"/>
          <w:sz w:val="21"/>
          <w:szCs w:val="21"/>
        </w:rPr>
        <w:t xml:space="preserve"> </w:t>
      </w:r>
      <w:bookmarkEnd w:id="95"/>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6"/>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7" w:name="_Toc10947_WPSOffice_Level1"/>
      <w:r>
        <w:rPr>
          <w:rFonts w:hint="eastAsia" w:ascii="宋体" w:hAnsi="宋体" w:cs="宋体"/>
          <w:b/>
          <w:bCs/>
          <w:color w:val="auto"/>
          <w:sz w:val="24"/>
        </w:rPr>
        <w:t>注：</w:t>
      </w:r>
      <w:bookmarkEnd w:id="97"/>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8" w:name="_Toc27363_WPSOffice_Level1"/>
      <w:r>
        <w:rPr>
          <w:rFonts w:hint="eastAsia" w:ascii="宋体" w:hAnsi="宋体" w:cs="宋体"/>
          <w:b/>
          <w:bCs/>
          <w:color w:val="auto"/>
          <w:sz w:val="24"/>
        </w:rPr>
        <w:t>注：</w:t>
      </w:r>
      <w:bookmarkEnd w:id="98"/>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9" w:name="_Toc13534_WPSOffice_Level1"/>
      <w:r>
        <w:rPr>
          <w:rFonts w:hint="eastAsia" w:ascii="宋体" w:hAnsi="宋体" w:cs="宋体"/>
          <w:b/>
          <w:bCs/>
          <w:color w:val="auto"/>
          <w:sz w:val="24"/>
        </w:rPr>
        <w:t>注：</w:t>
      </w:r>
      <w:bookmarkEnd w:id="99"/>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100"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101" w:name="_Toc11536"/>
      <w:r>
        <w:rPr>
          <w:rFonts w:hint="eastAsia" w:ascii="宋体" w:hAnsi="宋体"/>
          <w:b/>
          <w:color w:val="auto"/>
          <w:sz w:val="24"/>
          <w:szCs w:val="28"/>
          <w:lang w:val="en-US" w:eastAsia="zh-CN"/>
        </w:rPr>
        <w:t>附件十</w:t>
      </w:r>
      <w:bookmarkEnd w:id="101"/>
    </w:p>
    <w:bookmarkEnd w:id="100"/>
    <w:p>
      <w:pPr>
        <w:spacing w:line="400" w:lineRule="exact"/>
        <w:jc w:val="center"/>
        <w:rPr>
          <w:rFonts w:hint="eastAsia" w:ascii="宋体" w:hAnsi="宋体" w:cs="宋体"/>
          <w:b/>
          <w:color w:val="auto"/>
          <w:sz w:val="28"/>
          <w:szCs w:val="28"/>
          <w:shd w:val="clear" w:color="auto" w:fill="FFFFFF"/>
        </w:rPr>
      </w:pPr>
      <w:bookmarkStart w:id="102"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102"/>
    </w:p>
    <w:p>
      <w:pPr>
        <w:adjustRightInd w:val="0"/>
        <w:snapToGrid w:val="0"/>
        <w:spacing w:line="360" w:lineRule="exact"/>
        <w:ind w:right="15" w:rightChars="7"/>
        <w:rPr>
          <w:rFonts w:hint="eastAsia" w:ascii="宋体" w:hAnsi="宋体" w:cs="宋体"/>
          <w:bCs/>
          <w:color w:val="auto"/>
          <w:shd w:val="clear" w:color="auto" w:fill="FFFFFF"/>
        </w:rPr>
      </w:pPr>
      <w:bookmarkStart w:id="103" w:name="_Toc3059_WPSOffice_Level1"/>
      <w:r>
        <w:rPr>
          <w:rFonts w:hint="eastAsia" w:ascii="宋体" w:hAnsi="宋体" w:cs="宋体"/>
          <w:bCs/>
          <w:color w:val="auto"/>
          <w:shd w:val="clear" w:color="auto" w:fill="FFFFFF"/>
        </w:rPr>
        <w:t>一、项目相关情况</w:t>
      </w:r>
      <w:bookmarkEnd w:id="10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询价小组</w:t>
      </w:r>
      <w:r>
        <w:rPr>
          <w:rFonts w:hint="eastAsia" w:ascii="宋体" w:hAnsi="宋体" w:cs="宋体"/>
          <w:bCs/>
          <w:color w:val="auto"/>
          <w:shd w:val="clear" w:color="auto" w:fill="FFFFFF"/>
        </w:rPr>
        <w:t xml:space="preserve">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安徽大别山国投集团监察</w:t>
      </w:r>
      <w:r>
        <w:rPr>
          <w:rFonts w:hint="eastAsia" w:ascii="宋体" w:hAnsi="宋体" w:cs="宋体"/>
          <w:color w:val="auto"/>
          <w:kern w:val="0"/>
          <w:szCs w:val="21"/>
          <w:shd w:val="clear" w:color="auto" w:fill="FFFFFF"/>
        </w:rPr>
        <w:t>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4" w:name="_Toc21327_WPSOffice_Level1"/>
      <w:r>
        <w:rPr>
          <w:rFonts w:hint="eastAsia" w:ascii="宋体" w:hAnsi="宋体" w:cs="宋体"/>
          <w:bCs/>
          <w:color w:val="auto"/>
          <w:shd w:val="clear" w:color="auto" w:fill="FFFFFF"/>
        </w:rPr>
        <w:t>二、质疑提起的条件及不予受理的情形</w:t>
      </w:r>
      <w:bookmarkEnd w:id="104"/>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5" w:name="_Toc17685_WPSOffice_Level1"/>
      <w:r>
        <w:rPr>
          <w:rFonts w:hint="eastAsia" w:ascii="宋体" w:hAnsi="宋体" w:cs="宋体"/>
          <w:bCs/>
          <w:color w:val="auto"/>
          <w:shd w:val="clear" w:color="auto" w:fill="FFFFFF"/>
        </w:rPr>
        <w:t>三、其他</w:t>
      </w:r>
      <w:bookmarkEnd w:id="105"/>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bCs/>
          <w:color w:val="auto"/>
          <w:shd w:val="clear" w:color="auto" w:fill="FFFFFF"/>
          <w:lang w:eastAsia="zh-CN"/>
        </w:rPr>
      </w:pPr>
      <w:r>
        <w:rPr>
          <w:rFonts w:hint="eastAsia" w:ascii="宋体" w:hAnsi="宋体" w:cs="宋体"/>
          <w:color w:val="auto"/>
          <w:kern w:val="2"/>
          <w:sz w:val="21"/>
          <w:szCs w:val="21"/>
          <w:lang w:val="en-US" w:eastAsia="zh-CN" w:bidi="ar-SA"/>
        </w:rPr>
        <w:t>霍山县顺通巴士有限公司</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年    月    日</w:t>
      </w:r>
    </w:p>
    <w:p>
      <w:pPr>
        <w:rPr>
          <w:color w:val="auto"/>
        </w:rPr>
      </w:pPr>
      <w:r>
        <w:rPr>
          <w:color w:val="auto"/>
        </w:rPr>
        <w:br w:type="page"/>
      </w:r>
    </w:p>
    <w:p>
      <w:pPr>
        <w:pStyle w:val="2"/>
      </w:pPr>
    </w:p>
    <w:p>
      <w:pPr>
        <w:pStyle w:val="3"/>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瀹嬩綋">
    <w:altName w:val="RomanS"/>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RomanS">
    <w:panose1 w:val="02000400000000000000"/>
    <w:charset w:val="00"/>
    <w:family w:val="auto"/>
    <w:pitch w:val="default"/>
    <w:sig w:usb0="0000020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霍山县顺通巴士有限公司日常业务开展用车采购项目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7399A"/>
    <w:multiLevelType w:val="singleLevel"/>
    <w:tmpl w:val="1687399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D72602"/>
    <w:rsid w:val="022B73BF"/>
    <w:rsid w:val="02923D0A"/>
    <w:rsid w:val="0297760C"/>
    <w:rsid w:val="02AA1EE6"/>
    <w:rsid w:val="02C17B34"/>
    <w:rsid w:val="02F85797"/>
    <w:rsid w:val="03150F8F"/>
    <w:rsid w:val="031838E3"/>
    <w:rsid w:val="04777FAA"/>
    <w:rsid w:val="047A1250"/>
    <w:rsid w:val="04831F83"/>
    <w:rsid w:val="04837086"/>
    <w:rsid w:val="0558683D"/>
    <w:rsid w:val="056F542D"/>
    <w:rsid w:val="059C0CBD"/>
    <w:rsid w:val="062A252A"/>
    <w:rsid w:val="0644344B"/>
    <w:rsid w:val="065734CB"/>
    <w:rsid w:val="06A80ACF"/>
    <w:rsid w:val="06BE48F4"/>
    <w:rsid w:val="0713690B"/>
    <w:rsid w:val="07500CD8"/>
    <w:rsid w:val="07550BBC"/>
    <w:rsid w:val="0784433C"/>
    <w:rsid w:val="07E42C56"/>
    <w:rsid w:val="07F727F0"/>
    <w:rsid w:val="094825C0"/>
    <w:rsid w:val="09B24D52"/>
    <w:rsid w:val="09F429FB"/>
    <w:rsid w:val="0A381ED7"/>
    <w:rsid w:val="0A6B423D"/>
    <w:rsid w:val="0A967446"/>
    <w:rsid w:val="0ADA7309"/>
    <w:rsid w:val="0B37771E"/>
    <w:rsid w:val="0B3A232A"/>
    <w:rsid w:val="0B92029E"/>
    <w:rsid w:val="0BBD26DB"/>
    <w:rsid w:val="0C061911"/>
    <w:rsid w:val="0C717286"/>
    <w:rsid w:val="0C8B3F0F"/>
    <w:rsid w:val="0D162B03"/>
    <w:rsid w:val="0D4A538B"/>
    <w:rsid w:val="0D957933"/>
    <w:rsid w:val="0E2B3D85"/>
    <w:rsid w:val="0E7B6D74"/>
    <w:rsid w:val="0EAB242F"/>
    <w:rsid w:val="10493F0A"/>
    <w:rsid w:val="122B65C1"/>
    <w:rsid w:val="1264252E"/>
    <w:rsid w:val="133A7582"/>
    <w:rsid w:val="133C3075"/>
    <w:rsid w:val="13592465"/>
    <w:rsid w:val="13611A2A"/>
    <w:rsid w:val="13C606BA"/>
    <w:rsid w:val="1414601F"/>
    <w:rsid w:val="14581FA2"/>
    <w:rsid w:val="14633700"/>
    <w:rsid w:val="147737A7"/>
    <w:rsid w:val="14827BCA"/>
    <w:rsid w:val="14F04C17"/>
    <w:rsid w:val="15081ED3"/>
    <w:rsid w:val="15165EFD"/>
    <w:rsid w:val="1556562C"/>
    <w:rsid w:val="156D56CE"/>
    <w:rsid w:val="159267B6"/>
    <w:rsid w:val="161D1882"/>
    <w:rsid w:val="16C41FE1"/>
    <w:rsid w:val="16E90795"/>
    <w:rsid w:val="174961DA"/>
    <w:rsid w:val="174F1F7C"/>
    <w:rsid w:val="176349E4"/>
    <w:rsid w:val="18392471"/>
    <w:rsid w:val="186E369B"/>
    <w:rsid w:val="18951FC7"/>
    <w:rsid w:val="18B06CB8"/>
    <w:rsid w:val="18BF07B6"/>
    <w:rsid w:val="18E170E3"/>
    <w:rsid w:val="18FB5F6E"/>
    <w:rsid w:val="19080508"/>
    <w:rsid w:val="19750DD6"/>
    <w:rsid w:val="19783115"/>
    <w:rsid w:val="1A1D00D5"/>
    <w:rsid w:val="1A331B52"/>
    <w:rsid w:val="1B255937"/>
    <w:rsid w:val="1BD82076"/>
    <w:rsid w:val="1BED2EA5"/>
    <w:rsid w:val="1BF87562"/>
    <w:rsid w:val="1C230B2D"/>
    <w:rsid w:val="1C996F6B"/>
    <w:rsid w:val="1CEA6453"/>
    <w:rsid w:val="1D0105DB"/>
    <w:rsid w:val="1D217AE8"/>
    <w:rsid w:val="1D691CF6"/>
    <w:rsid w:val="1DC0444F"/>
    <w:rsid w:val="1E3106CF"/>
    <w:rsid w:val="1E5351BE"/>
    <w:rsid w:val="1F3454C6"/>
    <w:rsid w:val="1F517E9A"/>
    <w:rsid w:val="1F5D6BC7"/>
    <w:rsid w:val="1F6C4AEE"/>
    <w:rsid w:val="2009288A"/>
    <w:rsid w:val="202E2A41"/>
    <w:rsid w:val="209015F8"/>
    <w:rsid w:val="212E3565"/>
    <w:rsid w:val="21336370"/>
    <w:rsid w:val="2134647A"/>
    <w:rsid w:val="215167E4"/>
    <w:rsid w:val="21543BEE"/>
    <w:rsid w:val="21957187"/>
    <w:rsid w:val="21D50B53"/>
    <w:rsid w:val="21F577EF"/>
    <w:rsid w:val="22067FA4"/>
    <w:rsid w:val="221B322D"/>
    <w:rsid w:val="230509C2"/>
    <w:rsid w:val="234A74A5"/>
    <w:rsid w:val="236E7DAD"/>
    <w:rsid w:val="23CC70D4"/>
    <w:rsid w:val="24267BFD"/>
    <w:rsid w:val="249763A0"/>
    <w:rsid w:val="249C4D10"/>
    <w:rsid w:val="24D300E0"/>
    <w:rsid w:val="25273C28"/>
    <w:rsid w:val="25656A25"/>
    <w:rsid w:val="25991012"/>
    <w:rsid w:val="25ED3305"/>
    <w:rsid w:val="260D2BCC"/>
    <w:rsid w:val="262D1358"/>
    <w:rsid w:val="26943C3F"/>
    <w:rsid w:val="26A33FC0"/>
    <w:rsid w:val="2756117E"/>
    <w:rsid w:val="280C55E5"/>
    <w:rsid w:val="288E4477"/>
    <w:rsid w:val="28B95567"/>
    <w:rsid w:val="296C5062"/>
    <w:rsid w:val="2A9873BD"/>
    <w:rsid w:val="2A987BB9"/>
    <w:rsid w:val="2AFD66B5"/>
    <w:rsid w:val="2B1C14C3"/>
    <w:rsid w:val="2B8262F9"/>
    <w:rsid w:val="2BAE2C9D"/>
    <w:rsid w:val="2BD3447D"/>
    <w:rsid w:val="2BD6049A"/>
    <w:rsid w:val="2BF44CEF"/>
    <w:rsid w:val="2C6E3168"/>
    <w:rsid w:val="2D187A52"/>
    <w:rsid w:val="2D254D25"/>
    <w:rsid w:val="2D2B28B3"/>
    <w:rsid w:val="2D743811"/>
    <w:rsid w:val="2D897B5C"/>
    <w:rsid w:val="2DC91B5A"/>
    <w:rsid w:val="2DD172D8"/>
    <w:rsid w:val="2DD57ECD"/>
    <w:rsid w:val="2E0C6EE9"/>
    <w:rsid w:val="2E1267B9"/>
    <w:rsid w:val="2E502466"/>
    <w:rsid w:val="2EA944F0"/>
    <w:rsid w:val="2ED51A6E"/>
    <w:rsid w:val="2F1C57A5"/>
    <w:rsid w:val="2F2A48A2"/>
    <w:rsid w:val="2FA7707A"/>
    <w:rsid w:val="2FEA7FA2"/>
    <w:rsid w:val="30091271"/>
    <w:rsid w:val="3019462B"/>
    <w:rsid w:val="306378EA"/>
    <w:rsid w:val="30795E50"/>
    <w:rsid w:val="30993C72"/>
    <w:rsid w:val="30C735A9"/>
    <w:rsid w:val="31F9233C"/>
    <w:rsid w:val="324620AC"/>
    <w:rsid w:val="32661595"/>
    <w:rsid w:val="328D671D"/>
    <w:rsid w:val="32C06DE2"/>
    <w:rsid w:val="32DB40DB"/>
    <w:rsid w:val="339B7435"/>
    <w:rsid w:val="33E1101F"/>
    <w:rsid w:val="340E6C58"/>
    <w:rsid w:val="34324321"/>
    <w:rsid w:val="349D31D8"/>
    <w:rsid w:val="34A55A3F"/>
    <w:rsid w:val="34CB67DC"/>
    <w:rsid w:val="34D536C4"/>
    <w:rsid w:val="34E95FF5"/>
    <w:rsid w:val="350F4B5F"/>
    <w:rsid w:val="359112A2"/>
    <w:rsid w:val="35A16482"/>
    <w:rsid w:val="35CE143F"/>
    <w:rsid w:val="361D3C18"/>
    <w:rsid w:val="36503A40"/>
    <w:rsid w:val="368E0EDE"/>
    <w:rsid w:val="36DA37D0"/>
    <w:rsid w:val="36DF7A21"/>
    <w:rsid w:val="36F40FE9"/>
    <w:rsid w:val="37DE4003"/>
    <w:rsid w:val="37DF419C"/>
    <w:rsid w:val="37F90F6A"/>
    <w:rsid w:val="38B45EFC"/>
    <w:rsid w:val="38D036A4"/>
    <w:rsid w:val="38D17E87"/>
    <w:rsid w:val="38EA21D0"/>
    <w:rsid w:val="38F723B6"/>
    <w:rsid w:val="39237904"/>
    <w:rsid w:val="39792C93"/>
    <w:rsid w:val="3AAE5E82"/>
    <w:rsid w:val="3AE97D6B"/>
    <w:rsid w:val="3B09701F"/>
    <w:rsid w:val="3B7148FD"/>
    <w:rsid w:val="3B8E3C6C"/>
    <w:rsid w:val="3C1C5FDB"/>
    <w:rsid w:val="3C56293E"/>
    <w:rsid w:val="3C967255"/>
    <w:rsid w:val="3CAB7FB4"/>
    <w:rsid w:val="3CD61F9A"/>
    <w:rsid w:val="3D457CC8"/>
    <w:rsid w:val="3D5C50E1"/>
    <w:rsid w:val="3E046DF3"/>
    <w:rsid w:val="3E4A7D54"/>
    <w:rsid w:val="3E50419B"/>
    <w:rsid w:val="3E9D780F"/>
    <w:rsid w:val="3F570499"/>
    <w:rsid w:val="40871F18"/>
    <w:rsid w:val="408F2C22"/>
    <w:rsid w:val="40B4201E"/>
    <w:rsid w:val="40B4502A"/>
    <w:rsid w:val="40BC543F"/>
    <w:rsid w:val="40D00173"/>
    <w:rsid w:val="41132993"/>
    <w:rsid w:val="41C77480"/>
    <w:rsid w:val="41DD49C0"/>
    <w:rsid w:val="4260727A"/>
    <w:rsid w:val="42D11E1F"/>
    <w:rsid w:val="42ED6ACA"/>
    <w:rsid w:val="431D644D"/>
    <w:rsid w:val="43DD3193"/>
    <w:rsid w:val="44A83992"/>
    <w:rsid w:val="44D74C5B"/>
    <w:rsid w:val="458F0A67"/>
    <w:rsid w:val="459044BE"/>
    <w:rsid w:val="459907ED"/>
    <w:rsid w:val="45FC1F89"/>
    <w:rsid w:val="46447AD0"/>
    <w:rsid w:val="4667667C"/>
    <w:rsid w:val="46FE1966"/>
    <w:rsid w:val="47297854"/>
    <w:rsid w:val="47AD1197"/>
    <w:rsid w:val="47BF356A"/>
    <w:rsid w:val="47C5643C"/>
    <w:rsid w:val="47ED349E"/>
    <w:rsid w:val="48127EBE"/>
    <w:rsid w:val="48C40DA6"/>
    <w:rsid w:val="48D30C8F"/>
    <w:rsid w:val="48EE5384"/>
    <w:rsid w:val="48F93679"/>
    <w:rsid w:val="493E0515"/>
    <w:rsid w:val="49665DCB"/>
    <w:rsid w:val="498C5E4B"/>
    <w:rsid w:val="49974E74"/>
    <w:rsid w:val="4A0E2871"/>
    <w:rsid w:val="4A4B552C"/>
    <w:rsid w:val="4A4D2829"/>
    <w:rsid w:val="4A785C33"/>
    <w:rsid w:val="4A7D13BA"/>
    <w:rsid w:val="4AAE72B9"/>
    <w:rsid w:val="4AED40D1"/>
    <w:rsid w:val="4B613D8A"/>
    <w:rsid w:val="4C68185E"/>
    <w:rsid w:val="4CC170FC"/>
    <w:rsid w:val="4D18297E"/>
    <w:rsid w:val="4D757618"/>
    <w:rsid w:val="4EAA6492"/>
    <w:rsid w:val="4F9010E9"/>
    <w:rsid w:val="4FF765D1"/>
    <w:rsid w:val="50106576"/>
    <w:rsid w:val="50345C2D"/>
    <w:rsid w:val="50677BFC"/>
    <w:rsid w:val="51373F3D"/>
    <w:rsid w:val="519F44C2"/>
    <w:rsid w:val="51AD6F1E"/>
    <w:rsid w:val="523E55B6"/>
    <w:rsid w:val="52AD0B16"/>
    <w:rsid w:val="52DF5542"/>
    <w:rsid w:val="52F7398F"/>
    <w:rsid w:val="5492580D"/>
    <w:rsid w:val="54A309A3"/>
    <w:rsid w:val="54B56A54"/>
    <w:rsid w:val="558001AF"/>
    <w:rsid w:val="558D66D2"/>
    <w:rsid w:val="55AE7DE8"/>
    <w:rsid w:val="55AF41F5"/>
    <w:rsid w:val="55DD401C"/>
    <w:rsid w:val="55FB7588"/>
    <w:rsid w:val="56530A5B"/>
    <w:rsid w:val="57562B24"/>
    <w:rsid w:val="57D256C3"/>
    <w:rsid w:val="57FF690C"/>
    <w:rsid w:val="581B40F7"/>
    <w:rsid w:val="58565344"/>
    <w:rsid w:val="58667ACD"/>
    <w:rsid w:val="58695F8B"/>
    <w:rsid w:val="589543F5"/>
    <w:rsid w:val="59423AF1"/>
    <w:rsid w:val="59E00D64"/>
    <w:rsid w:val="5A6D49B6"/>
    <w:rsid w:val="5A9864B3"/>
    <w:rsid w:val="5B282082"/>
    <w:rsid w:val="5B7075D7"/>
    <w:rsid w:val="5BA07BB6"/>
    <w:rsid w:val="5BA3057C"/>
    <w:rsid w:val="5BBE35F6"/>
    <w:rsid w:val="5C3E5A4E"/>
    <w:rsid w:val="5C97078F"/>
    <w:rsid w:val="5CFB63ED"/>
    <w:rsid w:val="5D0C73DB"/>
    <w:rsid w:val="5D1E4502"/>
    <w:rsid w:val="5D273630"/>
    <w:rsid w:val="5D603CFB"/>
    <w:rsid w:val="5D707A1D"/>
    <w:rsid w:val="5DD65B4C"/>
    <w:rsid w:val="5E812F4F"/>
    <w:rsid w:val="5EB3743D"/>
    <w:rsid w:val="5ED30E67"/>
    <w:rsid w:val="5EFB6C0F"/>
    <w:rsid w:val="5F0510AD"/>
    <w:rsid w:val="5F060FB7"/>
    <w:rsid w:val="5F2B66BC"/>
    <w:rsid w:val="5F402988"/>
    <w:rsid w:val="5F5348CD"/>
    <w:rsid w:val="5F607FA6"/>
    <w:rsid w:val="60165A67"/>
    <w:rsid w:val="60435494"/>
    <w:rsid w:val="60AB1BEE"/>
    <w:rsid w:val="61456042"/>
    <w:rsid w:val="615E5718"/>
    <w:rsid w:val="61705B21"/>
    <w:rsid w:val="61731D75"/>
    <w:rsid w:val="61845E20"/>
    <w:rsid w:val="618D0E1A"/>
    <w:rsid w:val="619C1CA6"/>
    <w:rsid w:val="61AC4109"/>
    <w:rsid w:val="61FF653E"/>
    <w:rsid w:val="620D2C98"/>
    <w:rsid w:val="622E5B19"/>
    <w:rsid w:val="629D1B22"/>
    <w:rsid w:val="62FC7518"/>
    <w:rsid w:val="63050313"/>
    <w:rsid w:val="631D3EFA"/>
    <w:rsid w:val="63637DD7"/>
    <w:rsid w:val="639C65AB"/>
    <w:rsid w:val="63B321AB"/>
    <w:rsid w:val="63CE30A4"/>
    <w:rsid w:val="63E8055D"/>
    <w:rsid w:val="63F05C52"/>
    <w:rsid w:val="64BA0E02"/>
    <w:rsid w:val="64FC4735"/>
    <w:rsid w:val="651C46B8"/>
    <w:rsid w:val="65311886"/>
    <w:rsid w:val="65502555"/>
    <w:rsid w:val="65520F7C"/>
    <w:rsid w:val="65771F5A"/>
    <w:rsid w:val="65901E03"/>
    <w:rsid w:val="667629CA"/>
    <w:rsid w:val="66F918C9"/>
    <w:rsid w:val="676476D8"/>
    <w:rsid w:val="678154B0"/>
    <w:rsid w:val="68211B85"/>
    <w:rsid w:val="68560087"/>
    <w:rsid w:val="687F004A"/>
    <w:rsid w:val="68BA3798"/>
    <w:rsid w:val="68DC7583"/>
    <w:rsid w:val="690D0368"/>
    <w:rsid w:val="69EC2952"/>
    <w:rsid w:val="69F4791E"/>
    <w:rsid w:val="6A47529D"/>
    <w:rsid w:val="6A6A50DD"/>
    <w:rsid w:val="6AF61310"/>
    <w:rsid w:val="6AFF1193"/>
    <w:rsid w:val="6B225547"/>
    <w:rsid w:val="6B413A50"/>
    <w:rsid w:val="6B5F1F9E"/>
    <w:rsid w:val="6B6D3148"/>
    <w:rsid w:val="6BDE614C"/>
    <w:rsid w:val="6BE22727"/>
    <w:rsid w:val="6C0040EC"/>
    <w:rsid w:val="6C0A4B24"/>
    <w:rsid w:val="6C4F64A4"/>
    <w:rsid w:val="6C640C01"/>
    <w:rsid w:val="6C810D4A"/>
    <w:rsid w:val="6CAE0116"/>
    <w:rsid w:val="6CD771B7"/>
    <w:rsid w:val="6D4122F7"/>
    <w:rsid w:val="6D574D6B"/>
    <w:rsid w:val="6D641EB9"/>
    <w:rsid w:val="6D6A3DA9"/>
    <w:rsid w:val="6D9B23AC"/>
    <w:rsid w:val="6DA52666"/>
    <w:rsid w:val="6DB0368A"/>
    <w:rsid w:val="6E442FF4"/>
    <w:rsid w:val="6E6A435F"/>
    <w:rsid w:val="6F343FCD"/>
    <w:rsid w:val="6F5632F9"/>
    <w:rsid w:val="6F593876"/>
    <w:rsid w:val="6F643911"/>
    <w:rsid w:val="6F6D24C1"/>
    <w:rsid w:val="6FB45A58"/>
    <w:rsid w:val="6FB71515"/>
    <w:rsid w:val="707E77DD"/>
    <w:rsid w:val="71805BCB"/>
    <w:rsid w:val="71A46547"/>
    <w:rsid w:val="72226A91"/>
    <w:rsid w:val="72815C13"/>
    <w:rsid w:val="73654805"/>
    <w:rsid w:val="73BA01A0"/>
    <w:rsid w:val="73D81B5D"/>
    <w:rsid w:val="75A769E0"/>
    <w:rsid w:val="762411EC"/>
    <w:rsid w:val="76911B4D"/>
    <w:rsid w:val="776D2CC4"/>
    <w:rsid w:val="77AF078E"/>
    <w:rsid w:val="77EC0CA0"/>
    <w:rsid w:val="781077BF"/>
    <w:rsid w:val="782F0227"/>
    <w:rsid w:val="78397A44"/>
    <w:rsid w:val="78887365"/>
    <w:rsid w:val="789C2226"/>
    <w:rsid w:val="78CC4196"/>
    <w:rsid w:val="78DF200C"/>
    <w:rsid w:val="78F92F7D"/>
    <w:rsid w:val="791B59B6"/>
    <w:rsid w:val="7927654F"/>
    <w:rsid w:val="794851E5"/>
    <w:rsid w:val="794F7F35"/>
    <w:rsid w:val="79B832CB"/>
    <w:rsid w:val="79F628A4"/>
    <w:rsid w:val="7A1A522E"/>
    <w:rsid w:val="7A482E43"/>
    <w:rsid w:val="7A686D7F"/>
    <w:rsid w:val="7A9E561B"/>
    <w:rsid w:val="7ABD69E5"/>
    <w:rsid w:val="7BCB12F8"/>
    <w:rsid w:val="7C0F0429"/>
    <w:rsid w:val="7C7C0782"/>
    <w:rsid w:val="7CFB4408"/>
    <w:rsid w:val="7D066453"/>
    <w:rsid w:val="7D196BB9"/>
    <w:rsid w:val="7D460C55"/>
    <w:rsid w:val="7D4C3F14"/>
    <w:rsid w:val="7D6A6C42"/>
    <w:rsid w:val="7DC86EB2"/>
    <w:rsid w:val="7DFA334B"/>
    <w:rsid w:val="7E015CAC"/>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6">
    <w:name w:val="heading 3"/>
    <w:basedOn w:val="1"/>
    <w:next w:val="1"/>
    <w:link w:val="38"/>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szCs w:val="24"/>
    </w:rPr>
  </w:style>
  <w:style w:type="paragraph" w:customStyle="1" w:styleId="3">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7">
    <w:name w:val="Normal Indent"/>
    <w:basedOn w:val="1"/>
    <w:qFormat/>
    <w:uiPriority w:val="0"/>
    <w:pPr>
      <w:autoSpaceDE/>
      <w:autoSpaceDN/>
      <w:adjustRightInd/>
      <w:ind w:firstLine="420"/>
    </w:pPr>
    <w:rPr>
      <w:color w:val="auto"/>
      <w:kern w:val="2"/>
      <w:szCs w:val="20"/>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2"/>
    <w:qFormat/>
    <w:uiPriority w:val="0"/>
    <w:pPr>
      <w:spacing w:line="400" w:lineRule="atLeast"/>
      <w:ind w:firstLine="426"/>
    </w:pPr>
    <w:rPr>
      <w:rFonts w:ascii="Times New Roman" w:hAnsi="Times New Roman"/>
      <w:sz w:val="24"/>
      <w:szCs w:val="20"/>
    </w:rPr>
  </w:style>
  <w:style w:type="paragraph" w:styleId="16">
    <w:name w:val="Body Text First Indent 2"/>
    <w:basedOn w:val="8"/>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character" w:styleId="22">
    <w:name w:val="FollowedHyperlink"/>
    <w:basedOn w:val="19"/>
    <w:qFormat/>
    <w:uiPriority w:val="0"/>
    <w:rPr>
      <w:color w:val="4C4C4C"/>
      <w:u w:val="none"/>
    </w:rPr>
  </w:style>
  <w:style w:type="character" w:styleId="23">
    <w:name w:val="Emphasis"/>
    <w:basedOn w:val="19"/>
    <w:qFormat/>
    <w:uiPriority w:val="0"/>
  </w:style>
  <w:style w:type="character" w:styleId="24">
    <w:name w:val="HTML Definition"/>
    <w:basedOn w:val="19"/>
    <w:qFormat/>
    <w:uiPriority w:val="0"/>
  </w:style>
  <w:style w:type="character" w:styleId="25">
    <w:name w:val="HTML Variable"/>
    <w:basedOn w:val="19"/>
    <w:qFormat/>
    <w:uiPriority w:val="0"/>
  </w:style>
  <w:style w:type="character" w:styleId="26">
    <w:name w:val="Hyperlink"/>
    <w:qFormat/>
    <w:uiPriority w:val="0"/>
    <w:rPr>
      <w:color w:val="0000FF"/>
      <w:u w:val="single"/>
    </w:rPr>
  </w:style>
  <w:style w:type="character" w:styleId="27">
    <w:name w:val="HTML Code"/>
    <w:basedOn w:val="19"/>
    <w:qFormat/>
    <w:uiPriority w:val="0"/>
    <w:rPr>
      <w:rFonts w:hint="default" w:ascii="serif" w:hAnsi="serif" w:eastAsia="serif" w:cs="serif"/>
      <w:sz w:val="21"/>
      <w:szCs w:val="21"/>
    </w:rPr>
  </w:style>
  <w:style w:type="character" w:styleId="28">
    <w:name w:val="HTML Cite"/>
    <w:basedOn w:val="19"/>
    <w:qFormat/>
    <w:uiPriority w:val="0"/>
  </w:style>
  <w:style w:type="character" w:styleId="29">
    <w:name w:val="HTML Keyboard"/>
    <w:basedOn w:val="19"/>
    <w:qFormat/>
    <w:uiPriority w:val="0"/>
    <w:rPr>
      <w:rFonts w:ascii="serif" w:hAnsi="serif" w:eastAsia="serif" w:cs="serif"/>
      <w:sz w:val="21"/>
      <w:szCs w:val="21"/>
    </w:rPr>
  </w:style>
  <w:style w:type="character" w:styleId="30">
    <w:name w:val="HTML Sample"/>
    <w:basedOn w:val="19"/>
    <w:qFormat/>
    <w:uiPriority w:val="0"/>
    <w:rPr>
      <w:rFonts w:hint="default" w:ascii="serif" w:hAnsi="serif" w:eastAsia="serif" w:cs="serif"/>
      <w:sz w:val="21"/>
      <w:szCs w:val="21"/>
    </w:rPr>
  </w:style>
  <w:style w:type="paragraph" w:customStyle="1" w:styleId="31">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2">
    <w:name w:val="WPSOffice手动目录 1"/>
    <w:qFormat/>
    <w:uiPriority w:val="0"/>
    <w:pPr>
      <w:ind w:leftChars="0"/>
    </w:pPr>
    <w:rPr>
      <w:rFonts w:ascii="Times New Roman" w:hAnsi="Times New Roman" w:eastAsia="宋体" w:cs="Times New Roman"/>
      <w:sz w:val="20"/>
      <w:szCs w:val="20"/>
    </w:rPr>
  </w:style>
  <w:style w:type="paragraph" w:customStyle="1" w:styleId="33">
    <w:name w:val="D&amp;L"/>
    <w:basedOn w:val="13"/>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4">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5">
    <w:name w:val="Char"/>
    <w:basedOn w:val="1"/>
    <w:qFormat/>
    <w:uiPriority w:val="99"/>
    <w:rPr>
      <w:rFonts w:ascii="Tahoma" w:hAnsi="Tahoma"/>
      <w:sz w:val="24"/>
    </w:rPr>
  </w:style>
  <w:style w:type="paragraph" w:customStyle="1" w:styleId="36">
    <w:name w:val="样式 标题 2 + 宋体 五号 行距: 单倍行距"/>
    <w:basedOn w:val="5"/>
    <w:qFormat/>
    <w:uiPriority w:val="99"/>
    <w:pPr>
      <w:spacing w:line="240" w:lineRule="auto"/>
    </w:pPr>
    <w:rPr>
      <w:rFonts w:ascii="宋体" w:hAnsi="宋体" w:eastAsia="宋体"/>
      <w:sz w:val="21"/>
    </w:rPr>
  </w:style>
  <w:style w:type="paragraph" w:customStyle="1" w:styleId="37">
    <w:name w:val="Char Char Char Char Char Char Char1 Char"/>
    <w:basedOn w:val="1"/>
    <w:qFormat/>
    <w:uiPriority w:val="99"/>
    <w:rPr>
      <w:rFonts w:ascii="Tahoma" w:hAnsi="Tahoma"/>
      <w:sz w:val="24"/>
    </w:rPr>
  </w:style>
  <w:style w:type="character" w:customStyle="1" w:styleId="38">
    <w:name w:val="标题 3 Char"/>
    <w:basedOn w:val="19"/>
    <w:link w:val="6"/>
    <w:qFormat/>
    <w:locked/>
    <w:uiPriority w:val="99"/>
    <w:rPr>
      <w:b/>
      <w:bCs/>
      <w:sz w:val="32"/>
      <w:szCs w:val="32"/>
    </w:rPr>
  </w:style>
  <w:style w:type="paragraph" w:customStyle="1" w:styleId="3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List Paragraph"/>
    <w:basedOn w:val="1"/>
    <w:unhideWhenUsed/>
    <w:qFormat/>
    <w:uiPriority w:val="99"/>
    <w:pPr>
      <w:ind w:firstLine="420" w:firstLineChars="200"/>
    </w:pPr>
    <w:rPr>
      <w:rFonts w:ascii="Calibri" w:hAnsi="Calibri"/>
      <w:szCs w:val="22"/>
    </w:rPr>
  </w:style>
  <w:style w:type="paragraph" w:customStyle="1" w:styleId="41">
    <w:name w:val="Table Paragraph"/>
    <w:basedOn w:val="1"/>
    <w:qFormat/>
    <w:uiPriority w:val="1"/>
  </w:style>
  <w:style w:type="paragraph" w:customStyle="1" w:styleId="42">
    <w:name w:val="_Style 1"/>
    <w:basedOn w:val="1"/>
    <w:qFormat/>
    <w:uiPriority w:val="0"/>
    <w:pPr>
      <w:ind w:firstLine="420" w:firstLineChars="200"/>
    </w:pPr>
    <w:rPr>
      <w:rFonts w:ascii="Calibri" w:hAnsi="Calibri"/>
      <w:szCs w:val="22"/>
    </w:rPr>
  </w:style>
  <w:style w:type="character" w:customStyle="1" w:styleId="43">
    <w:name w:val="fontborder"/>
    <w:basedOn w:val="19"/>
    <w:qFormat/>
    <w:uiPriority w:val="0"/>
    <w:rPr>
      <w:bdr w:val="single" w:color="000000" w:sz="6" w:space="0"/>
    </w:rPr>
  </w:style>
  <w:style w:type="character" w:customStyle="1" w:styleId="44">
    <w:name w:val="fontstrikethrough"/>
    <w:basedOn w:val="19"/>
    <w:qFormat/>
    <w:uiPriority w:val="0"/>
    <w:rPr>
      <w:strike/>
    </w:rPr>
  </w:style>
  <w:style w:type="character" w:customStyle="1" w:styleId="45">
    <w:name w:val="font11"/>
    <w:basedOn w:val="19"/>
    <w:qFormat/>
    <w:uiPriority w:val="0"/>
    <w:rPr>
      <w:rFonts w:hint="eastAsia" w:ascii="宋体" w:hAnsi="宋体" w:eastAsia="宋体" w:cs="宋体"/>
      <w:b/>
      <w:color w:val="000000"/>
      <w:sz w:val="18"/>
      <w:szCs w:val="18"/>
      <w:u w:val="none"/>
    </w:rPr>
  </w:style>
  <w:style w:type="character" w:customStyle="1" w:styleId="46">
    <w:name w:val="font61"/>
    <w:basedOn w:val="19"/>
    <w:qFormat/>
    <w:uiPriority w:val="0"/>
    <w:rPr>
      <w:rFonts w:hint="eastAsia" w:ascii="宋体" w:hAnsi="宋体" w:eastAsia="宋体" w:cs="宋体"/>
      <w:color w:val="000000"/>
      <w:sz w:val="18"/>
      <w:szCs w:val="18"/>
      <w:u w:val="none"/>
    </w:rPr>
  </w:style>
  <w:style w:type="character" w:customStyle="1" w:styleId="47">
    <w:name w:val="font01"/>
    <w:basedOn w:val="19"/>
    <w:qFormat/>
    <w:uiPriority w:val="0"/>
    <w:rPr>
      <w:rFonts w:hint="eastAsia" w:ascii="宋体" w:hAnsi="宋体" w:eastAsia="宋体" w:cs="宋体"/>
      <w:b/>
      <w:color w:val="000000"/>
      <w:sz w:val="18"/>
      <w:szCs w:val="18"/>
      <w:u w:val="none"/>
    </w:rPr>
  </w:style>
  <w:style w:type="character" w:customStyle="1" w:styleId="48">
    <w:name w:val="font51"/>
    <w:basedOn w:val="19"/>
    <w:qFormat/>
    <w:uiPriority w:val="0"/>
    <w:rPr>
      <w:rFonts w:hint="eastAsia" w:ascii="宋体" w:hAnsi="宋体" w:eastAsia="宋体" w:cs="宋体"/>
      <w:color w:val="000000"/>
      <w:sz w:val="18"/>
      <w:szCs w:val="18"/>
      <w:u w:val="none"/>
    </w:rPr>
  </w:style>
  <w:style w:type="paragraph" w:customStyle="1" w:styleId="49">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0">
    <w:name w:val="font71"/>
    <w:basedOn w:val="19"/>
    <w:qFormat/>
    <w:uiPriority w:val="0"/>
    <w:rPr>
      <w:rFonts w:hint="default" w:ascii="瀹嬩綋" w:hAnsi="瀹嬩綋" w:eastAsia="瀹嬩綋" w:cs="瀹嬩綋"/>
      <w:color w:val="888888"/>
      <w:sz w:val="21"/>
      <w:szCs w:val="21"/>
      <w:u w:val="none"/>
    </w:rPr>
  </w:style>
  <w:style w:type="character" w:customStyle="1" w:styleId="51">
    <w:name w:val="font21"/>
    <w:basedOn w:val="19"/>
    <w:uiPriority w:val="0"/>
    <w:rPr>
      <w:rFonts w:ascii="Arial" w:hAnsi="Arial" w:cs="Arial"/>
      <w:color w:val="000000"/>
      <w:sz w:val="22"/>
      <w:szCs w:val="22"/>
      <w:u w:val="none"/>
    </w:rPr>
  </w:style>
  <w:style w:type="character" w:customStyle="1" w:styleId="52">
    <w:name w:val="font81"/>
    <w:basedOn w:val="19"/>
    <w:uiPriority w:val="0"/>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2020-11-17T09:04:00Z</cp:lastPrinted>
  <dcterms:modified xsi:type="dcterms:W3CDTF">2020-11-19T00:27:53Z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