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adjustRightInd w:val="0"/>
        <w:snapToGrid w:val="0"/>
        <w:spacing w:line="360" w:lineRule="auto"/>
        <w:ind w:right="-10" w:rightChars="0"/>
        <w:jc w:val="center"/>
        <w:rPr>
          <w:rFonts w:hint="eastAsia" w:ascii="宋体" w:hAnsi="宋体"/>
          <w:b/>
        </w:rPr>
      </w:pPr>
      <w:r>
        <w:rPr>
          <w:rFonts w:hint="eastAsia" w:ascii="宋体" w:hAnsi="宋体"/>
          <w:b/>
          <w:lang w:val="en-US" w:eastAsia="zh-CN"/>
        </w:rPr>
        <w:t>三、</w:t>
      </w:r>
      <w:r>
        <w:rPr>
          <w:rFonts w:hint="eastAsia" w:ascii="宋体" w:hAnsi="宋体"/>
          <w:b/>
        </w:rPr>
        <w:t>《招标人质控材料一览》表</w:t>
      </w:r>
    </w:p>
    <w:tbl>
      <w:tblPr>
        <w:tblStyle w:val="6"/>
        <w:tblW w:w="0" w:type="auto"/>
        <w:tblInd w:w="0" w:type="dxa"/>
        <w:tblLayout w:type="fixed"/>
        <w:tblCellMar>
          <w:top w:w="15" w:type="dxa"/>
          <w:left w:w="15" w:type="dxa"/>
          <w:bottom w:w="15" w:type="dxa"/>
          <w:right w:w="15" w:type="dxa"/>
        </w:tblCellMar>
      </w:tblPr>
      <w:tblGrid>
        <w:gridCol w:w="567"/>
        <w:gridCol w:w="1701"/>
        <w:gridCol w:w="7370"/>
      </w:tblGrid>
      <w:tr>
        <w:tblPrEx>
          <w:tblCellMar>
            <w:top w:w="15" w:type="dxa"/>
            <w:left w:w="15" w:type="dxa"/>
            <w:bottom w:w="15" w:type="dxa"/>
            <w:right w:w="15" w:type="dxa"/>
          </w:tblCellMar>
        </w:tblPrEx>
        <w:trPr>
          <w:trHeight w:val="283" w:hRule="atLeast"/>
          <w:tblHeader/>
        </w:trPr>
        <w:tc>
          <w:tcPr>
            <w:tcW w:w="567"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bCs/>
              </w:rPr>
            </w:pPr>
            <w:r>
              <w:rPr>
                <w:rFonts w:hint="eastAsia" w:ascii="宋体" w:hAnsi="宋体" w:cs="宋体"/>
                <w:b/>
                <w:bCs/>
                <w:kern w:val="0"/>
                <w:lang w:bidi="ar"/>
              </w:rPr>
              <w:t>序号</w:t>
            </w:r>
          </w:p>
        </w:tc>
        <w:tc>
          <w:tcPr>
            <w:tcW w:w="1701"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bCs/>
              </w:rPr>
            </w:pPr>
            <w:r>
              <w:rPr>
                <w:rFonts w:hint="eastAsia" w:ascii="宋体" w:hAnsi="宋体" w:cs="宋体"/>
                <w:b/>
                <w:bCs/>
                <w:kern w:val="0"/>
                <w:lang w:bidi="ar"/>
              </w:rPr>
              <w:t>设备材料名称</w:t>
            </w:r>
          </w:p>
        </w:tc>
        <w:tc>
          <w:tcPr>
            <w:tcW w:w="7370"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宋体" w:hAnsi="宋体" w:cs="宋体"/>
                <w:b/>
                <w:bCs/>
              </w:rPr>
            </w:pPr>
            <w:r>
              <w:rPr>
                <w:rFonts w:hint="eastAsia" w:ascii="宋体" w:hAnsi="宋体" w:cs="宋体"/>
                <w:b/>
                <w:bCs/>
                <w:kern w:val="0"/>
                <w:lang w:bidi="ar"/>
              </w:rPr>
              <w:t>质控材料详情</w:t>
            </w:r>
          </w:p>
        </w:tc>
      </w:tr>
      <w:tr>
        <w:tblPrEx>
          <w:tblCellMar>
            <w:top w:w="15" w:type="dxa"/>
            <w:left w:w="15" w:type="dxa"/>
            <w:bottom w:w="15" w:type="dxa"/>
            <w:right w:w="15" w:type="dxa"/>
          </w:tblCellMar>
        </w:tblPrEx>
        <w:trPr>
          <w:trHeight w:val="718"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地砖地面</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8、▲吸水率：平均值≤0.05%。投标时提供权威检测报告证明并加盖厂商公章。</w:t>
            </w: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2</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10、▲莫氏硬度≥6级。投标时提供权威检测报告证明并加盖厂商公章。</w:t>
            </w: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3</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11、▲光泽度≥90。投标时提供权威检测报告证明并加盖厂商公章。</w:t>
            </w: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4</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防滑地砖楼面</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8、▲吸水率%：平均值≥12。投标时提供权威检测报告证明并加盖厂商公章。</w:t>
            </w:r>
          </w:p>
        </w:tc>
      </w:tr>
      <w:tr>
        <w:tblPrEx>
          <w:tblCellMar>
            <w:top w:w="15" w:type="dxa"/>
            <w:left w:w="15" w:type="dxa"/>
            <w:bottom w:w="15" w:type="dxa"/>
            <w:right w:w="15" w:type="dxa"/>
          </w:tblCellMar>
        </w:tblPrEx>
        <w:trPr>
          <w:trHeight w:val="69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5</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9、▲断裂模数（MPa）:平均值≥25。投标时提供权威检测报告证明并加盖厂商公章。</w:t>
            </w:r>
            <w:bookmarkStart w:id="0" w:name="_GoBack"/>
            <w:bookmarkEnd w:id="0"/>
          </w:p>
        </w:tc>
      </w:tr>
      <w:tr>
        <w:tblPrEx>
          <w:tblCellMar>
            <w:top w:w="15" w:type="dxa"/>
            <w:left w:w="15" w:type="dxa"/>
            <w:bottom w:w="15" w:type="dxa"/>
            <w:right w:w="15" w:type="dxa"/>
          </w:tblCellMar>
        </w:tblPrEx>
        <w:trPr>
          <w:trHeight w:val="718"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6</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10、▲破坏强度（N）：平均值≥1200。投标时提供权威检测报告证明并加盖厂商公章。</w:t>
            </w:r>
          </w:p>
        </w:tc>
      </w:tr>
      <w:tr>
        <w:tblPrEx>
          <w:tblCellMar>
            <w:top w:w="15" w:type="dxa"/>
            <w:left w:w="15" w:type="dxa"/>
            <w:bottom w:w="15" w:type="dxa"/>
            <w:right w:w="15" w:type="dxa"/>
          </w:tblCellMar>
        </w:tblPrEx>
        <w:trPr>
          <w:trHeight w:val="54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7</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11、▲有釉砖耐磨性不低于4级。投标时提供权威检测报告证明并加盖厂商公章。</w:t>
            </w:r>
          </w:p>
        </w:tc>
      </w:tr>
      <w:tr>
        <w:tblPrEx>
          <w:tblCellMar>
            <w:top w:w="15" w:type="dxa"/>
            <w:left w:w="15" w:type="dxa"/>
            <w:bottom w:w="15" w:type="dxa"/>
            <w:right w:w="15" w:type="dxa"/>
          </w:tblCellMar>
        </w:tblPrEx>
        <w:trPr>
          <w:trHeight w:val="568"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8</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内墙面砖墙面</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8、▲破坏强度N）：平均值≥1100。投标时提供权威检测报告证明并加盖厂商公章。</w:t>
            </w:r>
          </w:p>
        </w:tc>
      </w:tr>
      <w:tr>
        <w:tblPrEx>
          <w:tblCellMar>
            <w:top w:w="15" w:type="dxa"/>
            <w:left w:w="15" w:type="dxa"/>
            <w:bottom w:w="15" w:type="dxa"/>
            <w:right w:w="15" w:type="dxa"/>
          </w:tblCellMar>
        </w:tblPrEx>
        <w:trPr>
          <w:trHeight w:val="62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9</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9、▲断裂模数（MPa）平均值：≥22。投标时提供权威检测报告证明并加盖厂商公章。</w:t>
            </w:r>
          </w:p>
        </w:tc>
      </w:tr>
      <w:tr>
        <w:tblPrEx>
          <w:tblCellMar>
            <w:top w:w="15" w:type="dxa"/>
            <w:left w:w="15" w:type="dxa"/>
            <w:bottom w:w="15" w:type="dxa"/>
            <w:right w:w="15" w:type="dxa"/>
          </w:tblCellMar>
        </w:tblPrEx>
        <w:trPr>
          <w:trHeight w:val="717"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10</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防臭地漏</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▲耐压性能：承受≥0.19MPa水压，保持≥28s后本体应无泄漏、无变形。投标时提供权威检测报告证明并加盖厂商公章。</w:t>
            </w:r>
          </w:p>
        </w:tc>
      </w:tr>
      <w:tr>
        <w:tblPrEx>
          <w:tblCellMar>
            <w:top w:w="15" w:type="dxa"/>
            <w:left w:w="15" w:type="dxa"/>
            <w:bottom w:w="15" w:type="dxa"/>
            <w:right w:w="15" w:type="dxa"/>
          </w:tblCellMar>
        </w:tblPrEx>
        <w:trPr>
          <w:trHeight w:val="732"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11</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▲耐腐蚀性能：进行24H乙酸盐雾试验后，应不低于GB/T6461-2002规定的9级要求。投标时提供权威检测报告证明并加盖厂商公章。</w:t>
            </w:r>
          </w:p>
        </w:tc>
      </w:tr>
      <w:tr>
        <w:tblPrEx>
          <w:tblCellMar>
            <w:top w:w="15" w:type="dxa"/>
            <w:left w:w="15" w:type="dxa"/>
            <w:bottom w:w="15" w:type="dxa"/>
            <w:right w:w="15" w:type="dxa"/>
          </w:tblCellMar>
        </w:tblPrEx>
        <w:trPr>
          <w:trHeight w:val="86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12</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座便器</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1、▲最大允许变形要求：安装面变形≤3mm，表面变形≤4mm，整体变形≤6mm。投标时提供权威检测报告证明并加盖厂商公章。</w:t>
            </w:r>
          </w:p>
        </w:tc>
      </w:tr>
      <w:tr>
        <w:tblPrEx>
          <w:tblCellMar>
            <w:top w:w="15" w:type="dxa"/>
            <w:left w:w="15" w:type="dxa"/>
            <w:bottom w:w="15" w:type="dxa"/>
            <w:right w:w="15" w:type="dxa"/>
          </w:tblCellMar>
        </w:tblPrEx>
        <w:trPr>
          <w:trHeight w:val="72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13</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3、▲厚度要求：卫生陶瓷任何部位的坯体厚度应≥6mm。投标时提供权威检测报告证明并加盖厂商公章。</w:t>
            </w:r>
          </w:p>
        </w:tc>
      </w:tr>
      <w:tr>
        <w:tblPrEx>
          <w:tblCellMar>
            <w:top w:w="15" w:type="dxa"/>
            <w:left w:w="15" w:type="dxa"/>
            <w:bottom w:w="15" w:type="dxa"/>
            <w:right w:w="15" w:type="dxa"/>
          </w:tblCellMar>
        </w:tblPrEx>
        <w:trPr>
          <w:trHeight w:val="837"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14</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4、▲吸水率要求：陶瓷吸水率≤0.5％。投标时提供权威检测报告证明并加盖厂商公章。</w:t>
            </w:r>
          </w:p>
        </w:tc>
      </w:tr>
      <w:tr>
        <w:tblPrEx>
          <w:tblCellMar>
            <w:top w:w="15" w:type="dxa"/>
            <w:left w:w="15" w:type="dxa"/>
            <w:bottom w:w="15" w:type="dxa"/>
            <w:right w:w="15" w:type="dxa"/>
          </w:tblCellMar>
        </w:tblPrEx>
        <w:trPr>
          <w:trHeight w:val="1513"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15</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9、▲便器用水量要求：用水量≤4.8L；双冲式坐便器的半冲平均用水量应不大于全冲水用水量最大值的70％；节水型双冲式坐便器的全冲水用水量最大限定值应不大于6.0L 。投标时提供权威检测报告证明并加盖厂商公章。</w:t>
            </w:r>
          </w:p>
        </w:tc>
      </w:tr>
      <w:tr>
        <w:tblPrEx>
          <w:tblCellMar>
            <w:top w:w="15" w:type="dxa"/>
            <w:left w:w="15" w:type="dxa"/>
            <w:bottom w:w="15" w:type="dxa"/>
            <w:right w:w="15" w:type="dxa"/>
          </w:tblCellMar>
        </w:tblPrEx>
        <w:trPr>
          <w:trHeight w:val="1032"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16</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15、▲冲洗噪声L50≤55dBA,L10≤65dBA。陶瓷吸水率≤0.5％。投标时提供权威检测报告证明并加盖厂商公章。 </w:t>
            </w:r>
          </w:p>
        </w:tc>
      </w:tr>
      <w:tr>
        <w:tblPrEx>
          <w:tblCellMar>
            <w:top w:w="15" w:type="dxa"/>
            <w:left w:w="15" w:type="dxa"/>
            <w:bottom w:w="15" w:type="dxa"/>
            <w:right w:w="15" w:type="dxa"/>
          </w:tblCellMar>
        </w:tblPrEx>
        <w:trPr>
          <w:trHeight w:val="987"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17</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洗脸盆</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2、▲最大允许变形要求：安装面变形≤3mm，表面变形≤6mm，整体变形≤10mm。。投标时提供权威检测报告证明并加盖厂商公章。 </w:t>
            </w:r>
          </w:p>
        </w:tc>
      </w:tr>
      <w:tr>
        <w:tblPrEx>
          <w:tblCellMar>
            <w:top w:w="15" w:type="dxa"/>
            <w:left w:w="15" w:type="dxa"/>
            <w:bottom w:w="15" w:type="dxa"/>
            <w:right w:w="15" w:type="dxa"/>
          </w:tblCellMar>
        </w:tblPrEx>
        <w:trPr>
          <w:trHeight w:val="717"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18</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3、▲厚度要求：卫生陶瓷任何部位的坯体厚度应≥6mm。投标时提供权威检测报告证明并加盖厂商公章。 </w:t>
            </w:r>
          </w:p>
        </w:tc>
      </w:tr>
      <w:tr>
        <w:tblPrEx>
          <w:tblCellMar>
            <w:top w:w="15" w:type="dxa"/>
            <w:left w:w="15" w:type="dxa"/>
            <w:bottom w:w="15" w:type="dxa"/>
            <w:right w:w="15" w:type="dxa"/>
          </w:tblCellMar>
        </w:tblPrEx>
        <w:trPr>
          <w:trHeight w:val="688"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19</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4、▲吸水率要求：陶瓷吸水率≤0.5％；投标时提供权威检测报告证明并加盖厂商公章。 </w:t>
            </w:r>
          </w:p>
        </w:tc>
      </w:tr>
      <w:tr>
        <w:tblPrEx>
          <w:tblCellMar>
            <w:top w:w="15" w:type="dxa"/>
            <w:left w:w="15" w:type="dxa"/>
            <w:bottom w:w="15" w:type="dxa"/>
            <w:right w:w="15" w:type="dxa"/>
          </w:tblCellMar>
        </w:tblPrEx>
        <w:trPr>
          <w:trHeight w:val="702"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20</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7、▲溢流功能要求：设有溢水孔的洗面器进行溢流试验后，应保持5min不溢流 。投标时提供权威检测报告证明并加盖厂商公章。 </w:t>
            </w:r>
          </w:p>
        </w:tc>
      </w:tr>
      <w:tr>
        <w:tblPrEx>
          <w:tblCellMar>
            <w:top w:w="15" w:type="dxa"/>
            <w:left w:w="15" w:type="dxa"/>
            <w:bottom w:w="15" w:type="dxa"/>
            <w:right w:w="15" w:type="dxa"/>
          </w:tblCellMar>
        </w:tblPrEx>
        <w:trPr>
          <w:trHeight w:val="1078"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21</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淋浴器</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1、▲外观：镀层表面光泽均匀，不应有脱皮 、龟裂、烧焦、露底、 剥落、黑斑及明显的麻点 ，毛刺等缺陷 。投标时提供权威检测报告证明并加盖厂商公章。 </w:t>
            </w:r>
          </w:p>
        </w:tc>
      </w:tr>
      <w:tr>
        <w:tblPrEx>
          <w:tblCellMar>
            <w:top w:w="15" w:type="dxa"/>
            <w:left w:w="15" w:type="dxa"/>
            <w:bottom w:w="15" w:type="dxa"/>
            <w:right w:w="15" w:type="dxa"/>
          </w:tblCellMar>
        </w:tblPrEx>
        <w:trPr>
          <w:trHeight w:val="942"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22</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4、▲密封性能：冷，热水隔墙(适用于单柄双控水嘴阀芯关)：压力(0.40.02)MPa持续时间(60±5)s出水口及未连接的进水口无渗漏。投标时提供权威检测报告证明并加盖厂商公章。 </w:t>
            </w:r>
          </w:p>
        </w:tc>
      </w:tr>
      <w:tr>
        <w:tblPrEx>
          <w:tblCellMar>
            <w:top w:w="15" w:type="dxa"/>
            <w:left w:w="15" w:type="dxa"/>
            <w:bottom w:w="15" w:type="dxa"/>
            <w:right w:w="15" w:type="dxa"/>
          </w:tblCellMar>
        </w:tblPrEx>
        <w:trPr>
          <w:trHeight w:val="74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23</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5、▲灵敏度，mm:控制装置的位移≥12mm 。投标时提供权威检测报告证明并加盖厂商公章。 </w:t>
            </w:r>
          </w:p>
        </w:tc>
      </w:tr>
      <w:tr>
        <w:tblPrEx>
          <w:tblCellMar>
            <w:top w:w="15" w:type="dxa"/>
            <w:left w:w="15" w:type="dxa"/>
            <w:bottom w:w="15" w:type="dxa"/>
            <w:right w:w="15" w:type="dxa"/>
          </w:tblCellMar>
        </w:tblPrEx>
        <w:trPr>
          <w:trHeight w:val="104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24</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 xml:space="preserve">9、▲表面耐腐蚀性能：24h乙酸盐雾试验后，应不低于GB/T6461-2002标椎的表1中外观评级（Ra)9级的要求。投标时提供权威检测报告证明并加盖厂商公章。 </w:t>
            </w:r>
          </w:p>
        </w:tc>
      </w:tr>
      <w:tr>
        <w:tblPrEx>
          <w:tblCellMar>
            <w:top w:w="15" w:type="dxa"/>
            <w:left w:w="15" w:type="dxa"/>
            <w:bottom w:w="15" w:type="dxa"/>
            <w:right w:w="15" w:type="dxa"/>
          </w:tblCellMar>
        </w:tblPrEx>
        <w:trPr>
          <w:trHeight w:val="376"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25</w:t>
            </w:r>
          </w:p>
        </w:tc>
        <w:tc>
          <w:tcPr>
            <w:tcW w:w="170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热水器</w:t>
            </w: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▲提供</w:t>
            </w:r>
            <w:r>
              <w:rPr>
                <w:rFonts w:hint="eastAsia" w:ascii="宋体" w:hAnsi="宋体" w:eastAsia="宋体" w:cs="宋体"/>
                <w:kern w:val="0"/>
                <w:lang w:bidi="ar"/>
              </w:rPr>
              <w:t>中国节能产品认证证书</w:t>
            </w:r>
            <w:r>
              <w:rPr>
                <w:rFonts w:hint="eastAsia" w:ascii="宋体" w:hAnsi="宋体" w:cs="宋体"/>
                <w:kern w:val="0"/>
                <w:lang w:bidi="ar"/>
              </w:rPr>
              <w:t>。</w:t>
            </w: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rPr>
            </w:pPr>
            <w:r>
              <w:rPr>
                <w:rFonts w:hint="eastAsia" w:ascii="宋体" w:hAnsi="宋体" w:cs="宋体"/>
                <w:kern w:val="0"/>
                <w:lang w:bidi="ar"/>
              </w:rPr>
              <w:t>26</w:t>
            </w:r>
          </w:p>
        </w:tc>
        <w:tc>
          <w:tcPr>
            <w:tcW w:w="170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rPr>
            </w:pPr>
          </w:p>
        </w:tc>
        <w:tc>
          <w:tcPr>
            <w:tcW w:w="737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rPr>
            </w:pPr>
            <w:r>
              <w:rPr>
                <w:rFonts w:hint="eastAsia" w:ascii="宋体" w:hAnsi="宋体" w:cs="宋体"/>
                <w:kern w:val="0"/>
                <w:lang w:bidi="ar"/>
              </w:rPr>
              <w:t>▲提供国家强制性产品认证证书。</w:t>
            </w:r>
          </w:p>
        </w:tc>
      </w:tr>
    </w:tbl>
    <w:p>
      <w:pPr>
        <w:numPr>
          <w:numId w:val="0"/>
        </w:numPr>
        <w:adjustRightInd w:val="0"/>
        <w:snapToGrid w:val="0"/>
        <w:spacing w:line="360" w:lineRule="auto"/>
        <w:ind w:right="-10" w:rightChars="0"/>
        <w:jc w:val="center"/>
        <w:rPr>
          <w:rFonts w:hint="eastAsia" w:ascii="宋体" w:hAnsi="宋体"/>
          <w:b/>
          <w:sz w:val="24"/>
          <w:szCs w:val="24"/>
          <w:lang w:val="en-US" w:eastAsia="zh-CN"/>
        </w:rPr>
      </w:pPr>
    </w:p>
    <w:p>
      <w:pPr>
        <w:numPr>
          <w:numId w:val="0"/>
        </w:numPr>
        <w:adjustRightInd w:val="0"/>
        <w:snapToGrid w:val="0"/>
        <w:spacing w:line="360" w:lineRule="auto"/>
        <w:ind w:right="-10" w:rightChars="0"/>
        <w:jc w:val="center"/>
        <w:rPr>
          <w:rFonts w:hint="eastAsia" w:ascii="宋体" w:hAnsi="宋体"/>
          <w:b/>
          <w:sz w:val="24"/>
          <w:szCs w:val="24"/>
        </w:rPr>
      </w:pPr>
      <w:r>
        <w:rPr>
          <w:rFonts w:hint="eastAsia" w:ascii="宋体" w:hAnsi="宋体"/>
          <w:b/>
          <w:sz w:val="24"/>
          <w:szCs w:val="24"/>
          <w:lang w:val="en-US" w:eastAsia="zh-CN"/>
        </w:rPr>
        <w:t>四、</w:t>
      </w:r>
      <w:r>
        <w:rPr>
          <w:rFonts w:hint="eastAsia" w:ascii="宋体" w:hAnsi="宋体"/>
          <w:b/>
          <w:sz w:val="24"/>
          <w:szCs w:val="24"/>
        </w:rPr>
        <w:t>货物清单及技术参数</w:t>
      </w:r>
    </w:p>
    <w:p>
      <w:pPr>
        <w:pStyle w:val="2"/>
        <w:jc w:val="center"/>
        <w:rPr>
          <w:sz w:val="28"/>
          <w:szCs w:val="22"/>
        </w:rPr>
      </w:pPr>
      <w:r>
        <w:rPr>
          <w:rFonts w:hint="eastAsia" w:ascii="宋体" w:hAnsi="宋体"/>
          <w:sz w:val="28"/>
          <w:szCs w:val="28"/>
        </w:rPr>
        <w:t>1、地砖部分</w:t>
      </w:r>
    </w:p>
    <w:p>
      <w:pPr>
        <w:adjustRightInd w:val="0"/>
        <w:snapToGrid w:val="0"/>
        <w:spacing w:line="360" w:lineRule="auto"/>
        <w:ind w:right="-10"/>
        <w:rPr>
          <w:rFonts w:ascii="宋体" w:hAnsi="宋体"/>
          <w:b/>
          <w:sz w:val="24"/>
          <w:szCs w:val="24"/>
        </w:rPr>
      </w:pPr>
      <w:r>
        <w:rPr>
          <w:rFonts w:hint="eastAsia" w:ascii="宋体" w:hAnsi="宋体" w:cs="宋体"/>
          <w:kern w:val="0"/>
          <w:sz w:val="16"/>
          <w:szCs w:val="16"/>
          <w:lang w:bidi="ar"/>
        </w:rPr>
        <w:t>（一）霍山县磨子潭镇干部周转房地砖采购</w:t>
      </w:r>
    </w:p>
    <w:tbl>
      <w:tblPr>
        <w:tblStyle w:val="6"/>
        <w:tblW w:w="0" w:type="auto"/>
        <w:tblInd w:w="0" w:type="dxa"/>
        <w:tblLayout w:type="fixed"/>
        <w:tblCellMar>
          <w:top w:w="15" w:type="dxa"/>
          <w:left w:w="15" w:type="dxa"/>
          <w:bottom w:w="15" w:type="dxa"/>
          <w:right w:w="15" w:type="dxa"/>
        </w:tblCellMar>
      </w:tblPr>
      <w:tblGrid>
        <w:gridCol w:w="567"/>
        <w:gridCol w:w="1134"/>
        <w:gridCol w:w="5669"/>
        <w:gridCol w:w="454"/>
        <w:gridCol w:w="680"/>
        <w:gridCol w:w="454"/>
        <w:gridCol w:w="454"/>
      </w:tblGrid>
      <w:tr>
        <w:tblPrEx>
          <w:tblCellMar>
            <w:top w:w="15" w:type="dxa"/>
            <w:left w:w="15" w:type="dxa"/>
            <w:bottom w:w="15" w:type="dxa"/>
            <w:right w:w="15" w:type="dxa"/>
          </w:tblCellMar>
        </w:tblPrEx>
        <w:trPr>
          <w:trHeight w:val="283"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序号</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子目名称</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详细参数</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计量单位</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数量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单价</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合计</w:t>
            </w: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砖墙类</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0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44.39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1227.04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mm*300mm；产品等级：优等品。2，室内地面为300*300*9mm釉面。3，参考颜色淡黄色或灰色，具体以业主单位选定为准。4，尺寸及偏差：最大值边长±2.0mm，厚度最大值±0.5mm。5，边直角最大值±1.5mm。6，直角度最大值±2.0mm。7，表面平整度:边弯曲度、翘曲度、中心弯曲度最大值±2.0mm。8，吸水率%：平均值≥12。9，断裂模数（MPa）:平均值≥25。10，破坏强度（N）：平均值≥1200。11，有釉砖耐磨性不低于4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221.28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155.02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1，规格：100mm*800mm；上口磨圆边。2，厚度不低于10mm。3,材料为抛光砖。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174.76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花岗岩台阶平台面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600mm*600mm；参考品名芝麻白火烧面或山花火烧面，具体以业主单位选定为准。：厚度：≥20mm。2，具体以现场测量尺寸为准。3，外观质量色调应基本调和，花纹应基本一致。4，体积密度≥2.56g/cm³。5，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24.41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花岗岩台阶面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参考品名芝麻白火烧面或山花火烧面，具体以业主单位选定为准。：厚度：≥20mm，2，外观质量色调应基本调和，花纹应基本一致。3，体积密度≥2.56g/cm³。4，吸水率≤0.6%。5，台阶正面需磨圆边且开不少于两道防滑槽。</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25.74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mm*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1144.25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1，规格200mm*400mm；仿石喷墨瓷砖。2，吸水率%：平均值0.5﹤E≤3。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99.66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center"/>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（二）霍山县东西溪乡干部周转房地砖采购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44.99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1202.74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mm*300mm；产品等级：优等品。2，室内地面为300*300*9mm釉面。3，参考颜色淡黄色或灰色，具体以业主单位选定为准。4，尺寸及偏差：最大值边长±2.0mm，厚度最大值±0.5mm。5，边直角最大值±1.5mm。6，直角度最大值±2.0mm。7，表面平整度:边弯曲度、翘曲度、中心弯曲度最大值±2.0mm。8，吸水率%：平均值≥12。9，断裂模数（MPa）:平均值≥25。10，破坏强度（N）：平均值≥1200。11，有釉砖耐磨性不低于4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220.91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155.02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1，规格：100mm*800mm；上口磨圆边。2，厚度不低于10mm。3,材料为抛光砖。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156.62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花岗岩台阶平台面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600mm*600mm；参考品名芝麻白火烧面或山花火烧面，具体以业主单位选定为准。：厚度：≥20mm。2，具体以现场测量尺寸为准。3，外观质量色调应基本调和，花纹应基本一致。4，体积密度≥2.56g/cm³。5，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21.70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花岗岩台阶面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参考品名芝麻白火烧面或山花火烧面，具体以业主单位选定为准。：厚度：≥20mm，2，外观质量色调应基本调和，花纹应基本一致。3，体积密度≥2.56g/cm³。4，吸水率≤0.6%。5，台阶正面需磨圆边且开不少于两道防滑槽。</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23.89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mm*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1178.33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9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1，规格200mm*400mm；仿石喷墨瓷砖。2，吸水率%：平均值0.5﹤E≤3。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108.31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（三）霍山县大化坪镇干部周转房地砖采购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195.44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191.00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800*800</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800*800*10mm</w:t>
            </w:r>
            <w:r>
              <w:rPr>
                <w:rFonts w:hint="eastAsia" w:ascii="宋体" w:hAnsi="宋体" w:cs="宋体"/>
                <w:kern w:val="0"/>
                <w:sz w:val="16"/>
                <w:szCs w:val="16"/>
                <w:lang w:bidi="ar"/>
              </w:rPr>
              <w:t>瓷土抛光砖。</w:t>
            </w:r>
            <w:r>
              <w:rPr>
                <w:rFonts w:ascii="宋体" w:hAnsi="宋体" w:cs="宋体"/>
                <w:kern w:val="0"/>
                <w:sz w:val="16"/>
                <w:szCs w:val="16"/>
                <w:lang w:bidi="ar"/>
              </w:rPr>
              <w:t>3</w:t>
            </w:r>
            <w:r>
              <w:rPr>
                <w:rFonts w:hint="eastAsia" w:ascii="宋体" w:hAnsi="宋体" w:cs="宋体"/>
                <w:kern w:val="0"/>
                <w:sz w:val="16"/>
                <w:szCs w:val="16"/>
                <w:lang w:bidi="ar"/>
              </w:rPr>
              <w:t>，参考颜色米白色或淡黄色，具体以业主单位选定为准。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，尺寸及偏差：边长最大值±</w:t>
            </w:r>
            <w:r>
              <w:rPr>
                <w:rFonts w:ascii="宋体" w:hAnsi="宋体" w:cs="宋体"/>
                <w:kern w:val="0"/>
                <w:sz w:val="16"/>
                <w:szCs w:val="16"/>
                <w:lang w:bidi="ar"/>
              </w:rPr>
              <w:t>1.0mm</w:t>
            </w:r>
            <w:r>
              <w:rPr>
                <w:rFonts w:hint="eastAsia" w:ascii="宋体" w:hAnsi="宋体" w:cs="宋体"/>
                <w:kern w:val="0"/>
                <w:sz w:val="16"/>
                <w:szCs w:val="16"/>
                <w:lang w:bidi="ar"/>
              </w:rPr>
              <w:t>，厚度允许偏差最大值±</w:t>
            </w:r>
            <w:r>
              <w:rPr>
                <w:rFonts w:ascii="宋体" w:hAnsi="宋体" w:cs="宋体"/>
                <w:kern w:val="0"/>
                <w:sz w:val="16"/>
                <w:szCs w:val="16"/>
                <w:lang w:bidi="ar"/>
              </w:rPr>
              <w:t>0.5</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，表面平整度凹凸≤</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，吸水率：平均值≤</w:t>
            </w:r>
            <w:r>
              <w:rPr>
                <w:rFonts w:ascii="宋体" w:hAnsi="宋体" w:cs="宋体"/>
                <w:kern w:val="0"/>
                <w:sz w:val="16"/>
                <w:szCs w:val="16"/>
                <w:lang w:bidi="ar"/>
              </w:rPr>
              <w:t>0.05%</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1780</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，莫氏硬度≥</w:t>
            </w:r>
            <w:r>
              <w:rPr>
                <w:rFonts w:ascii="宋体" w:hAnsi="宋体" w:cs="宋体"/>
                <w:kern w:val="0"/>
                <w:sz w:val="16"/>
                <w:szCs w:val="16"/>
                <w:lang w:bidi="ar"/>
              </w:rPr>
              <w:t>6</w:t>
            </w:r>
            <w:r>
              <w:rPr>
                <w:rFonts w:hint="eastAsia" w:ascii="宋体" w:hAnsi="宋体" w:cs="宋体"/>
                <w:kern w:val="0"/>
                <w:sz w:val="16"/>
                <w:szCs w:val="16"/>
                <w:lang w:bidi="ar"/>
              </w:rPr>
              <w:t>级。</w:t>
            </w:r>
            <w:r>
              <w:rPr>
                <w:rFonts w:ascii="宋体" w:hAnsi="宋体" w:cs="宋体"/>
                <w:kern w:val="0"/>
                <w:sz w:val="16"/>
                <w:szCs w:val="16"/>
                <w:lang w:bidi="ar"/>
              </w:rPr>
              <w:t>11</w:t>
            </w:r>
            <w:r>
              <w:rPr>
                <w:rFonts w:hint="eastAsia" w:ascii="宋体" w:hAnsi="宋体" w:cs="宋体"/>
                <w:kern w:val="0"/>
                <w:sz w:val="16"/>
                <w:szCs w:val="16"/>
                <w:lang w:bidi="ar"/>
              </w:rPr>
              <w:t>，光泽度≥</w:t>
            </w:r>
            <w:r>
              <w:rPr>
                <w:rFonts w:ascii="宋体" w:hAnsi="宋体" w:cs="宋体"/>
                <w:kern w:val="0"/>
                <w:sz w:val="16"/>
                <w:szCs w:val="16"/>
                <w:lang w:bidi="ar"/>
              </w:rPr>
              <w:t>90</w:t>
            </w:r>
            <w:r>
              <w:rPr>
                <w:rFonts w:hint="eastAsia" w:ascii="宋体" w:hAnsi="宋体" w:cs="宋体"/>
                <w:kern w:val="0"/>
                <w:sz w:val="16"/>
                <w:szCs w:val="16"/>
                <w:lang w:bidi="ar"/>
              </w:rPr>
              <w:t>。</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615.49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800*800</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800*800*10mm</w:t>
            </w:r>
            <w:r>
              <w:rPr>
                <w:rFonts w:hint="eastAsia" w:ascii="宋体" w:hAnsi="宋体" w:cs="宋体"/>
                <w:kern w:val="0"/>
                <w:sz w:val="16"/>
                <w:szCs w:val="16"/>
                <w:lang w:bidi="ar"/>
              </w:rPr>
              <w:t>瓷土抛光砖。</w:t>
            </w:r>
            <w:r>
              <w:rPr>
                <w:rFonts w:ascii="宋体" w:hAnsi="宋体" w:cs="宋体"/>
                <w:kern w:val="0"/>
                <w:sz w:val="16"/>
                <w:szCs w:val="16"/>
                <w:lang w:bidi="ar"/>
              </w:rPr>
              <w:t>3</w:t>
            </w:r>
            <w:r>
              <w:rPr>
                <w:rFonts w:hint="eastAsia" w:ascii="宋体" w:hAnsi="宋体" w:cs="宋体"/>
                <w:kern w:val="0"/>
                <w:sz w:val="16"/>
                <w:szCs w:val="16"/>
                <w:lang w:bidi="ar"/>
              </w:rPr>
              <w:t>，参考颜色米白色或淡黄色，具体以业主单位选定为准。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，尺寸及偏差：边长最大值±</w:t>
            </w:r>
            <w:r>
              <w:rPr>
                <w:rFonts w:ascii="宋体" w:hAnsi="宋体" w:cs="宋体"/>
                <w:kern w:val="0"/>
                <w:sz w:val="16"/>
                <w:szCs w:val="16"/>
                <w:lang w:bidi="ar"/>
              </w:rPr>
              <w:t>1.0mm</w:t>
            </w:r>
            <w:r>
              <w:rPr>
                <w:rFonts w:hint="eastAsia" w:ascii="宋体" w:hAnsi="宋体" w:cs="宋体"/>
                <w:kern w:val="0"/>
                <w:sz w:val="16"/>
                <w:szCs w:val="16"/>
                <w:lang w:bidi="ar"/>
              </w:rPr>
              <w:t>，厚度允许偏差最大值±</w:t>
            </w:r>
            <w:r>
              <w:rPr>
                <w:rFonts w:ascii="宋体" w:hAnsi="宋体" w:cs="宋体"/>
                <w:kern w:val="0"/>
                <w:sz w:val="16"/>
                <w:szCs w:val="16"/>
                <w:lang w:bidi="ar"/>
              </w:rPr>
              <w:t>0.5</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，表面平整度凹凸≤</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，吸水率：平均值≤</w:t>
            </w:r>
            <w:r>
              <w:rPr>
                <w:rFonts w:ascii="宋体" w:hAnsi="宋体" w:cs="宋体"/>
                <w:kern w:val="0"/>
                <w:sz w:val="16"/>
                <w:szCs w:val="16"/>
                <w:lang w:bidi="ar"/>
              </w:rPr>
              <w:t>0.05%</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1780</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，莫氏硬度≥</w:t>
            </w:r>
            <w:r>
              <w:rPr>
                <w:rFonts w:ascii="宋体" w:hAnsi="宋体" w:cs="宋体"/>
                <w:kern w:val="0"/>
                <w:sz w:val="16"/>
                <w:szCs w:val="16"/>
                <w:lang w:bidi="ar"/>
              </w:rPr>
              <w:t>6</w:t>
            </w:r>
            <w:r>
              <w:rPr>
                <w:rFonts w:hint="eastAsia" w:ascii="宋体" w:hAnsi="宋体" w:cs="宋体"/>
                <w:kern w:val="0"/>
                <w:sz w:val="16"/>
                <w:szCs w:val="16"/>
                <w:lang w:bidi="ar"/>
              </w:rPr>
              <w:t>级。</w:t>
            </w:r>
            <w:r>
              <w:rPr>
                <w:rFonts w:ascii="宋体" w:hAnsi="宋体" w:cs="宋体"/>
                <w:kern w:val="0"/>
                <w:sz w:val="16"/>
                <w:szCs w:val="16"/>
                <w:lang w:bidi="ar"/>
              </w:rPr>
              <w:t>11</w:t>
            </w:r>
            <w:r>
              <w:rPr>
                <w:rFonts w:hint="eastAsia" w:ascii="宋体" w:hAnsi="宋体" w:cs="宋体"/>
                <w:kern w:val="0"/>
                <w:sz w:val="16"/>
                <w:szCs w:val="16"/>
                <w:lang w:bidi="ar"/>
              </w:rPr>
              <w:t>，光泽度≥</w:t>
            </w:r>
            <w:r>
              <w:rPr>
                <w:rFonts w:ascii="宋体" w:hAnsi="宋体" w:cs="宋体"/>
                <w:kern w:val="0"/>
                <w:sz w:val="16"/>
                <w:szCs w:val="16"/>
                <w:lang w:bidi="ar"/>
              </w:rPr>
              <w:t>90</w:t>
            </w:r>
            <w:r>
              <w:rPr>
                <w:rFonts w:hint="eastAsia" w:ascii="宋体" w:hAnsi="宋体" w:cs="宋体"/>
                <w:kern w:val="0"/>
                <w:sz w:val="16"/>
                <w:szCs w:val="16"/>
                <w:lang w:bidi="ar"/>
              </w:rPr>
              <w:t>。</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467.92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w:t>
            </w:r>
            <w:r>
              <w:rPr>
                <w:rFonts w:ascii="宋体" w:hAnsi="宋体" w:cs="宋体"/>
                <w:kern w:val="0"/>
                <w:sz w:val="16"/>
                <w:szCs w:val="16"/>
                <w:lang w:bidi="ar"/>
              </w:rPr>
              <w:t>300mm*</w:t>
            </w:r>
            <w:r>
              <w:rPr>
                <w:rFonts w:hint="eastAsia" w:ascii="宋体" w:hAnsi="宋体" w:cs="宋体"/>
                <w:kern w:val="0"/>
                <w:sz w:val="16"/>
                <w:szCs w:val="16"/>
                <w:lang w:bidi="ar"/>
              </w:rPr>
              <w:t>侧板</w:t>
            </w:r>
            <w:r>
              <w:rPr>
                <w:rFonts w:ascii="宋体" w:hAnsi="宋体" w:cs="宋体"/>
                <w:kern w:val="0"/>
                <w:sz w:val="16"/>
                <w:szCs w:val="16"/>
                <w:lang w:bidi="ar"/>
              </w:rPr>
              <w:t>170mm*</w:t>
            </w:r>
            <w:r>
              <w:rPr>
                <w:rFonts w:hint="eastAsia" w:ascii="宋体" w:hAnsi="宋体" w:cs="宋体"/>
                <w:kern w:val="0"/>
                <w:sz w:val="16"/>
                <w:szCs w:val="16"/>
                <w:lang w:bidi="ar"/>
              </w:rPr>
              <w:t>长</w:t>
            </w:r>
            <w:r>
              <w:rPr>
                <w:rFonts w:ascii="宋体" w:hAnsi="宋体" w:cs="宋体"/>
                <w:kern w:val="0"/>
                <w:sz w:val="16"/>
                <w:szCs w:val="16"/>
                <w:lang w:bidi="ar"/>
              </w:rPr>
              <w:t>800mm</w:t>
            </w:r>
            <w:r>
              <w:rPr>
                <w:rFonts w:hint="eastAsia" w:ascii="宋体" w:hAnsi="宋体" w:cs="宋体"/>
                <w:kern w:val="0"/>
                <w:sz w:val="16"/>
                <w:szCs w:val="16"/>
                <w:lang w:bidi="ar"/>
              </w:rPr>
              <w:t>；具体以现场测量尺寸为准。</w:t>
            </w:r>
            <w:r>
              <w:rPr>
                <w:rFonts w:ascii="宋体" w:hAnsi="宋体" w:cs="宋体"/>
                <w:kern w:val="0"/>
                <w:sz w:val="16"/>
                <w:szCs w:val="16"/>
                <w:lang w:bidi="ar"/>
              </w:rPr>
              <w:t>2</w:t>
            </w:r>
            <w:r>
              <w:rPr>
                <w:rFonts w:hint="eastAsia" w:ascii="宋体" w:hAnsi="宋体" w:cs="宋体"/>
                <w:kern w:val="0"/>
                <w:sz w:val="16"/>
                <w:szCs w:val="16"/>
                <w:lang w:bidi="ar"/>
              </w:rPr>
              <w:t>，面板需磨边开不低于三道防滑槽。</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99.50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111.84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花岗岩台阶面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参考品名芝麻白火烧面或山花火烧面，具体以业主单位选定为准。：厚度：≥20mm，2，外观质量色调应基本调和，花纹应基本一致。3，体积密度≥2.56g/cm³。4，吸水率≤0.6%。5，台阶正面需磨圆边且开不少于两道防滑槽。</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13.56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mm*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973.99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1，规格200mm*400mm；仿石喷墨瓷砖。2，吸水率%：平均值0.5﹤E≤3。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515.61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（四）霍山县单龙寺镇干部周转房地砖采购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777.03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121.86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规格：面板</w:t>
            </w:r>
            <w:r>
              <w:rPr>
                <w:rFonts w:ascii="宋体" w:hAnsi="宋体" w:cs="宋体"/>
                <w:kern w:val="0"/>
                <w:sz w:val="16"/>
                <w:szCs w:val="16"/>
                <w:lang w:bidi="ar"/>
              </w:rPr>
              <w:t>300mm*</w:t>
            </w:r>
            <w:r>
              <w:rPr>
                <w:rFonts w:hint="eastAsia" w:ascii="宋体" w:hAnsi="宋体" w:cs="宋体"/>
                <w:kern w:val="0"/>
                <w:sz w:val="16"/>
                <w:szCs w:val="16"/>
                <w:lang w:bidi="ar"/>
              </w:rPr>
              <w:t>侧板</w:t>
            </w:r>
            <w:r>
              <w:rPr>
                <w:rFonts w:ascii="宋体" w:hAnsi="宋体" w:cs="宋体"/>
                <w:kern w:val="0"/>
                <w:sz w:val="16"/>
                <w:szCs w:val="16"/>
                <w:lang w:bidi="ar"/>
              </w:rPr>
              <w:t>170mm*</w:t>
            </w:r>
            <w:r>
              <w:rPr>
                <w:rFonts w:hint="eastAsia" w:ascii="宋体" w:hAnsi="宋体" w:cs="宋体"/>
                <w:kern w:val="0"/>
                <w:sz w:val="16"/>
                <w:szCs w:val="16"/>
                <w:lang w:bidi="ar"/>
              </w:rPr>
              <w:t>长</w:t>
            </w:r>
            <w:r>
              <w:rPr>
                <w:rFonts w:ascii="宋体" w:hAnsi="宋体" w:cs="宋体"/>
                <w:kern w:val="0"/>
                <w:sz w:val="16"/>
                <w:szCs w:val="16"/>
                <w:lang w:bidi="ar"/>
              </w:rPr>
              <w:t>800mm</w:t>
            </w:r>
            <w:r>
              <w:rPr>
                <w:rFonts w:hint="eastAsia" w:ascii="宋体" w:hAnsi="宋体" w:cs="宋体"/>
                <w:kern w:val="0"/>
                <w:sz w:val="16"/>
                <w:szCs w:val="16"/>
                <w:lang w:bidi="ar"/>
              </w:rPr>
              <w:t>；具体以现场测量尺寸为准。</w:t>
            </w:r>
            <w:r>
              <w:rPr>
                <w:rFonts w:ascii="宋体" w:hAnsi="宋体" w:cs="宋体"/>
                <w:kern w:val="0"/>
                <w:sz w:val="16"/>
                <w:szCs w:val="16"/>
                <w:lang w:bidi="ar"/>
              </w:rPr>
              <w:t>2</w:t>
            </w:r>
            <w:r>
              <w:rPr>
                <w:rFonts w:hint="eastAsia" w:ascii="宋体" w:hAnsi="宋体" w:cs="宋体"/>
                <w:kern w:val="0"/>
                <w:sz w:val="16"/>
                <w:szCs w:val="16"/>
                <w:lang w:bidi="ar"/>
              </w:rPr>
              <w:t>，面板需磨边开不低于三道防滑槽。</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185.90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105.49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287.27</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102.60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20厚黑色带暗花花岗岩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1，规格150*900mm；参考品名中国黑光面或黑金沙光面，具体以业主单位选定为准。：厚度：≥20mm。2，具体以现场测量尺寸为准。3，体积密度≥2.56g/cm³。4，吸水率≤0.6%。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12.46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（五）霍山县漫水河镇干部周转房地砖采购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1621.14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275.83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160.10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202.80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1460.63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84.95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20厚黑色带暗花花岗岩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1，规格150*900mm；参考品名中国黑光面或黑金沙光面，具体以业主单位选定为准。：厚度：≥20mm。2，具体以现场测量尺寸为准。3，体积密度≥2.56g/cm³。4，吸水率≤0.6%。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30.26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（六）霍山县太平畈乡干部周转房地砖采购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755.81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130.19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64.99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82.65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984.16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177.12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20厚黑色带暗花花岗岩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1，规格150*900mm；参考品名中国黑光面或黑金沙光面，具体以业主单位选定为准。：厚度：≥20mm。2，具体以现场测量尺寸为准。3，体积密度≥2.56g/cm³。4，吸水率≤0.6%。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毛面花岗岩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600mm*600mm；参考品名芝麻白火烧面或山花火烧面，具体以业主单位选定为准。：厚度：≥20mm。2，具体以现场测量尺寸为准。3，外观质量色调应基本调和，花纹应基本一致。4，体积密度≥2.56g/cm³。5，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127.51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（七）霍山县与儿街镇干部周转房地砖采购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417.62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241.13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160.10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103.48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716.36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207.64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20厚黑色带暗花花岗岩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1，规格150*900mm；参考品名中国黑光面或黑金沙光面，具体以业主单位选定为准。：厚度：≥20mm。2，具体以现场测量尺寸为准。3，体积密度≥2.56g/cm³。4，吸水率≤0.6%。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17.22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（八）霍山县但家庙镇干部周转房地砖采购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1110.54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320.07</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189.91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99.34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922.50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190.83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20厚黑色带暗花花岗岩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1，规格150*900mm；参考品名中国黑光面或黑金沙光面，具体以业主单位选定为准。：厚度：≥20mm。2，具体以现场测量尺寸为准。3，体积密度≥2.56g/cm³。4，吸水率≤0.6%。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18.64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（九）霍山县落儿岭镇干部周转房地砖采购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913.14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199.26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防滑地砖走廊、楼梯面（水平投影）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386.18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163.51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1508.40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82.80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20厚黑色带暗花花岗岩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1，规格150*900mm；参考品名中国黑光面或黑金沙光面，具体以业主单位选定为准。：厚度：≥20mm。2，具体以现场测量尺寸为准。3，体积密度≥2.56g/cm³。4，吸水率≤0.6%。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24.11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（十）霍山县上土市镇干部周转房地砖采购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1361.61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236.89</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136.53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169.11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1318.15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79.65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20厚黑色带暗花花岗岩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1，规格150*900mm；参考品名中国黑光面或黑金沙光面，具体以业主单位选定为准。：厚度：≥20mm。2，具体以现场测量尺寸为准。3，体积密度≥2.56g/cm³。4，吸水率≤0.6%。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26.51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（十一）霍山县诸佛庵镇干部周转房地砖采购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800*800mm；产品等级：优等品。2，室内地面为800*800*10mm瓷土抛光砖。3，参考颜色米白色或淡黄色，具体以业主单位选定为准。4，尺寸及偏差：边长最大值±1.0mm，厚度允许偏差最大值±0.5。5，边直角最大值≤1.0mm。6，直角度最大值≤2.0mm。7，表面平整度凹凸≤1.5mm。8，吸水率：平均值≤0.05%。9,破坏强度（N）：平均值≥1780。10，莫氏硬度≥6级。11，光泽度≥90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1570.17</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防滑楼地面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300mm*300mm</w:t>
            </w:r>
            <w:r>
              <w:rPr>
                <w:rFonts w:hint="eastAsia" w:ascii="宋体" w:hAnsi="宋体" w:cs="宋体"/>
                <w:kern w:val="0"/>
                <w:sz w:val="16"/>
                <w:szCs w:val="16"/>
                <w:lang w:bidi="ar"/>
              </w:rPr>
              <w:t>；产品等级：优等品。</w:t>
            </w:r>
            <w:r>
              <w:rPr>
                <w:rFonts w:ascii="宋体" w:hAnsi="宋体" w:cs="宋体"/>
                <w:kern w:val="0"/>
                <w:sz w:val="16"/>
                <w:szCs w:val="16"/>
                <w:lang w:bidi="ar"/>
              </w:rPr>
              <w:t>2</w:t>
            </w:r>
            <w:r>
              <w:rPr>
                <w:rFonts w:hint="eastAsia" w:ascii="宋体" w:hAnsi="宋体" w:cs="宋体"/>
                <w:kern w:val="0"/>
                <w:sz w:val="16"/>
                <w:szCs w:val="16"/>
                <w:lang w:bidi="ar"/>
              </w:rPr>
              <w:t>，室内地面为</w:t>
            </w:r>
            <w:r>
              <w:rPr>
                <w:rFonts w:ascii="宋体" w:hAnsi="宋体" w:cs="宋体"/>
                <w:kern w:val="0"/>
                <w:sz w:val="16"/>
                <w:szCs w:val="16"/>
                <w:lang w:bidi="ar"/>
              </w:rPr>
              <w:t>300*300*9mm</w:t>
            </w:r>
            <w:r>
              <w:rPr>
                <w:rFonts w:hint="eastAsia" w:ascii="宋体" w:hAnsi="宋体" w:cs="宋体"/>
                <w:kern w:val="0"/>
                <w:sz w:val="16"/>
                <w:szCs w:val="16"/>
                <w:lang w:bidi="ar"/>
              </w:rPr>
              <w:t>釉面。</w:t>
            </w:r>
            <w:r>
              <w:rPr>
                <w:rFonts w:ascii="宋体" w:hAnsi="宋体" w:cs="宋体"/>
                <w:kern w:val="0"/>
                <w:sz w:val="16"/>
                <w:szCs w:val="16"/>
                <w:lang w:bidi="ar"/>
              </w:rPr>
              <w:t>3</w:t>
            </w:r>
            <w:r>
              <w:rPr>
                <w:rFonts w:hint="eastAsia" w:ascii="宋体" w:hAnsi="宋体" w:cs="宋体"/>
                <w:kern w:val="0"/>
                <w:sz w:val="16"/>
                <w:szCs w:val="16"/>
                <w:lang w:bidi="ar"/>
              </w:rPr>
              <w:t>，参考颜色淡黄色或灰色，具体以业主单位选定为准。</w:t>
            </w:r>
            <w:r>
              <w:rPr>
                <w:rFonts w:ascii="宋体" w:hAnsi="宋体" w:cs="宋体"/>
                <w:kern w:val="0"/>
                <w:sz w:val="16"/>
                <w:szCs w:val="16"/>
                <w:lang w:bidi="ar"/>
              </w:rPr>
              <w:t>4</w:t>
            </w:r>
            <w:r>
              <w:rPr>
                <w:rFonts w:hint="eastAsia" w:ascii="宋体" w:hAnsi="宋体" w:cs="宋体"/>
                <w:kern w:val="0"/>
                <w:sz w:val="16"/>
                <w:szCs w:val="16"/>
                <w:lang w:bidi="ar"/>
              </w:rPr>
              <w:t>，尺寸及偏差：最大值边长±</w:t>
            </w:r>
            <w:r>
              <w:rPr>
                <w:rFonts w:ascii="宋体" w:hAnsi="宋体" w:cs="宋体"/>
                <w:kern w:val="0"/>
                <w:sz w:val="16"/>
                <w:szCs w:val="16"/>
                <w:lang w:bidi="ar"/>
              </w:rPr>
              <w:t>2.0mm</w:t>
            </w:r>
            <w:r>
              <w:rPr>
                <w:rFonts w:hint="eastAsia" w:ascii="宋体" w:hAnsi="宋体" w:cs="宋体"/>
                <w:kern w:val="0"/>
                <w:sz w:val="16"/>
                <w:szCs w:val="16"/>
                <w:lang w:bidi="ar"/>
              </w:rPr>
              <w:t>，厚度最大值±</w:t>
            </w:r>
            <w:r>
              <w:rPr>
                <w:rFonts w:ascii="宋体" w:hAnsi="宋体" w:cs="宋体"/>
                <w:kern w:val="0"/>
                <w:sz w:val="16"/>
                <w:szCs w:val="16"/>
                <w:lang w:bidi="ar"/>
              </w:rPr>
              <w:t>0.5mm</w:t>
            </w:r>
            <w:r>
              <w:rPr>
                <w:rFonts w:hint="eastAsia" w:ascii="宋体" w:hAnsi="宋体" w:cs="宋体"/>
                <w:kern w:val="0"/>
                <w:sz w:val="16"/>
                <w:szCs w:val="16"/>
                <w:lang w:bidi="ar"/>
              </w:rPr>
              <w:t>。</w:t>
            </w:r>
            <w:r>
              <w:rPr>
                <w:rFonts w:ascii="宋体" w:hAnsi="宋体" w:cs="宋体"/>
                <w:kern w:val="0"/>
                <w:sz w:val="16"/>
                <w:szCs w:val="16"/>
                <w:lang w:bidi="ar"/>
              </w:rPr>
              <w:t>5</w:t>
            </w:r>
            <w:r>
              <w:rPr>
                <w:rFonts w:hint="eastAsia" w:ascii="宋体" w:hAnsi="宋体" w:cs="宋体"/>
                <w:kern w:val="0"/>
                <w:sz w:val="16"/>
                <w:szCs w:val="16"/>
                <w:lang w:bidi="ar"/>
              </w:rPr>
              <w:t>，边直角最大值±</w:t>
            </w:r>
            <w:r>
              <w:rPr>
                <w:rFonts w:ascii="宋体" w:hAnsi="宋体" w:cs="宋体"/>
                <w:kern w:val="0"/>
                <w:sz w:val="16"/>
                <w:szCs w:val="16"/>
                <w:lang w:bidi="ar"/>
              </w:rPr>
              <w:t>1.5mm</w:t>
            </w:r>
            <w:r>
              <w:rPr>
                <w:rFonts w:hint="eastAsia" w:ascii="宋体" w:hAnsi="宋体" w:cs="宋体"/>
                <w:kern w:val="0"/>
                <w:sz w:val="16"/>
                <w:szCs w:val="16"/>
                <w:lang w:bidi="ar"/>
              </w:rPr>
              <w:t>。</w:t>
            </w:r>
            <w:r>
              <w:rPr>
                <w:rFonts w:ascii="宋体" w:hAnsi="宋体" w:cs="宋体"/>
                <w:kern w:val="0"/>
                <w:sz w:val="16"/>
                <w:szCs w:val="16"/>
                <w:lang w:bidi="ar"/>
              </w:rPr>
              <w:t>6</w:t>
            </w:r>
            <w:r>
              <w:rPr>
                <w:rFonts w:hint="eastAsia" w:ascii="宋体" w:hAnsi="宋体" w:cs="宋体"/>
                <w:kern w:val="0"/>
                <w:sz w:val="16"/>
                <w:szCs w:val="16"/>
                <w:lang w:bidi="ar"/>
              </w:rPr>
              <w:t>，直角度最大值±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7</w:t>
            </w:r>
            <w:r>
              <w:rPr>
                <w:rFonts w:hint="eastAsia" w:ascii="宋体" w:hAnsi="宋体" w:cs="宋体"/>
                <w:kern w:val="0"/>
                <w:sz w:val="16"/>
                <w:szCs w:val="16"/>
                <w:lang w:bidi="ar"/>
              </w:rPr>
              <w:t>，表面平整度</w:t>
            </w:r>
            <w:r>
              <w:rPr>
                <w:rFonts w:ascii="宋体" w:hAnsi="宋体" w:cs="宋体"/>
                <w:kern w:val="0"/>
                <w:sz w:val="16"/>
                <w:szCs w:val="16"/>
                <w:lang w:bidi="ar"/>
              </w:rPr>
              <w:t>:</w:t>
            </w:r>
            <w:r>
              <w:rPr>
                <w:rFonts w:hint="eastAsia" w:ascii="宋体" w:hAnsi="宋体" w:cs="宋体"/>
                <w:kern w:val="0"/>
                <w:sz w:val="16"/>
                <w:szCs w:val="16"/>
                <w:lang w:bidi="ar"/>
              </w:rPr>
              <w:t>边弯曲度、翘曲度、中心弯曲度最大值±</w:t>
            </w:r>
            <w:r>
              <w:rPr>
                <w:rFonts w:ascii="宋体" w:hAnsi="宋体" w:cs="宋体"/>
                <w:kern w:val="0"/>
                <w:sz w:val="16"/>
                <w:szCs w:val="16"/>
                <w:lang w:bidi="ar"/>
              </w:rPr>
              <w:t>2.0mm</w:t>
            </w:r>
            <w:r>
              <w:rPr>
                <w:rFonts w:hint="eastAsia" w:ascii="宋体" w:hAnsi="宋体" w:cs="宋体"/>
                <w:kern w:val="0"/>
                <w:sz w:val="16"/>
                <w:szCs w:val="16"/>
                <w:lang w:bidi="ar"/>
              </w:rPr>
              <w:t>。</w:t>
            </w:r>
            <w:r>
              <w:rPr>
                <w:rFonts w:ascii="宋体" w:hAnsi="宋体" w:cs="宋体"/>
                <w:kern w:val="0"/>
                <w:sz w:val="16"/>
                <w:szCs w:val="16"/>
                <w:lang w:bidi="ar"/>
              </w:rPr>
              <w:t>8</w:t>
            </w:r>
            <w:r>
              <w:rPr>
                <w:rFonts w:hint="eastAsia" w:ascii="宋体" w:hAnsi="宋体" w:cs="宋体"/>
                <w:kern w:val="0"/>
                <w:sz w:val="16"/>
                <w:szCs w:val="16"/>
                <w:lang w:bidi="ar"/>
              </w:rPr>
              <w:t>，吸水率</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12</w:t>
            </w:r>
            <w:r>
              <w:rPr>
                <w:rFonts w:hint="eastAsia" w:ascii="宋体" w:hAnsi="宋体" w:cs="宋体"/>
                <w:kern w:val="0"/>
                <w:sz w:val="16"/>
                <w:szCs w:val="16"/>
                <w:lang w:bidi="ar"/>
              </w:rPr>
              <w:t>。</w:t>
            </w:r>
            <w:r>
              <w:rPr>
                <w:rFonts w:ascii="宋体" w:hAnsi="宋体" w:cs="宋体"/>
                <w:kern w:val="0"/>
                <w:sz w:val="16"/>
                <w:szCs w:val="16"/>
                <w:lang w:bidi="ar"/>
              </w:rPr>
              <w:t>9</w:t>
            </w:r>
            <w:r>
              <w:rPr>
                <w:rFonts w:hint="eastAsia" w:ascii="宋体" w:hAnsi="宋体" w:cs="宋体"/>
                <w:kern w:val="0"/>
                <w:sz w:val="16"/>
                <w:szCs w:val="16"/>
                <w:lang w:bidi="ar"/>
              </w:rPr>
              <w:t>，断裂模数（</w:t>
            </w:r>
            <w:r>
              <w:rPr>
                <w:rFonts w:ascii="宋体" w:hAnsi="宋体" w:cs="宋体"/>
                <w:kern w:val="0"/>
                <w:sz w:val="16"/>
                <w:szCs w:val="16"/>
                <w:lang w:bidi="ar"/>
              </w:rPr>
              <w:t>MPa</w:t>
            </w:r>
            <w:r>
              <w:rPr>
                <w:rFonts w:hint="eastAsia" w:ascii="宋体" w:hAnsi="宋体" w:cs="宋体"/>
                <w:kern w:val="0"/>
                <w:sz w:val="16"/>
                <w:szCs w:val="16"/>
                <w:lang w:bidi="ar"/>
              </w:rPr>
              <w:t>）</w:t>
            </w:r>
            <w:r>
              <w:rPr>
                <w:rFonts w:ascii="宋体" w:hAnsi="宋体" w:cs="宋体"/>
                <w:kern w:val="0"/>
                <w:sz w:val="16"/>
                <w:szCs w:val="16"/>
                <w:lang w:bidi="ar"/>
              </w:rPr>
              <w:t>:</w:t>
            </w:r>
            <w:r>
              <w:rPr>
                <w:rFonts w:hint="eastAsia" w:ascii="宋体" w:hAnsi="宋体" w:cs="宋体"/>
                <w:kern w:val="0"/>
                <w:sz w:val="16"/>
                <w:szCs w:val="16"/>
                <w:lang w:bidi="ar"/>
              </w:rPr>
              <w:t>平均值≥</w:t>
            </w:r>
            <w:r>
              <w:rPr>
                <w:rFonts w:ascii="宋体" w:hAnsi="宋体" w:cs="宋体"/>
                <w:kern w:val="0"/>
                <w:sz w:val="16"/>
                <w:szCs w:val="16"/>
                <w:lang w:bidi="ar"/>
              </w:rPr>
              <w:t>25</w:t>
            </w:r>
            <w:r>
              <w:rPr>
                <w:rFonts w:hint="eastAsia" w:ascii="宋体" w:hAnsi="宋体" w:cs="宋体"/>
                <w:kern w:val="0"/>
                <w:sz w:val="16"/>
                <w:szCs w:val="16"/>
                <w:lang w:bidi="ar"/>
              </w:rPr>
              <w:t>。</w:t>
            </w:r>
            <w:r>
              <w:rPr>
                <w:rFonts w:ascii="宋体" w:hAnsi="宋体" w:cs="宋体"/>
                <w:kern w:val="0"/>
                <w:sz w:val="16"/>
                <w:szCs w:val="16"/>
                <w:lang w:bidi="ar"/>
              </w:rPr>
              <w:t>10</w:t>
            </w:r>
            <w:r>
              <w:rPr>
                <w:rFonts w:hint="eastAsia" w:ascii="宋体" w:hAnsi="宋体" w:cs="宋体"/>
                <w:kern w:val="0"/>
                <w:sz w:val="16"/>
                <w:szCs w:val="16"/>
                <w:lang w:bidi="ar"/>
              </w:rPr>
              <w:t>，破坏强度（</w:t>
            </w:r>
            <w:r>
              <w:rPr>
                <w:rFonts w:ascii="宋体" w:hAnsi="宋体" w:cs="宋体"/>
                <w:kern w:val="0"/>
                <w:sz w:val="16"/>
                <w:szCs w:val="16"/>
                <w:lang w:bidi="ar"/>
              </w:rPr>
              <w:t>N</w:t>
            </w:r>
            <w:r>
              <w:rPr>
                <w:rFonts w:hint="eastAsia" w:ascii="宋体" w:hAnsi="宋体" w:cs="宋体"/>
                <w:kern w:val="0"/>
                <w:sz w:val="16"/>
                <w:szCs w:val="16"/>
                <w:lang w:bidi="ar"/>
              </w:rPr>
              <w:t>）：平均值≥</w:t>
            </w:r>
            <w:r>
              <w:rPr>
                <w:rFonts w:ascii="宋体" w:hAnsi="宋体" w:cs="宋体"/>
                <w:kern w:val="0"/>
                <w:sz w:val="16"/>
                <w:szCs w:val="16"/>
                <w:lang w:bidi="ar"/>
              </w:rPr>
              <w:t>1200</w:t>
            </w:r>
            <w:r>
              <w:rPr>
                <w:rFonts w:hint="eastAsia" w:ascii="宋体" w:hAnsi="宋体" w:cs="宋体"/>
                <w:kern w:val="0"/>
                <w:sz w:val="16"/>
                <w:szCs w:val="16"/>
                <w:lang w:bidi="ar"/>
              </w:rPr>
              <w:t>。</w:t>
            </w:r>
            <w:r>
              <w:rPr>
                <w:rFonts w:ascii="宋体" w:hAnsi="宋体" w:cs="宋体"/>
                <w:kern w:val="0"/>
                <w:sz w:val="16"/>
                <w:szCs w:val="16"/>
                <w:lang w:bidi="ar"/>
              </w:rPr>
              <w:t>11</w:t>
            </w:r>
            <w:r>
              <w:rPr>
                <w:rFonts w:hint="eastAsia" w:ascii="宋体" w:hAnsi="宋体" w:cs="宋体"/>
                <w:kern w:val="0"/>
                <w:sz w:val="16"/>
                <w:szCs w:val="16"/>
                <w:lang w:bidi="ar"/>
              </w:rPr>
              <w:t>，有釉砖耐磨性不低于</w:t>
            </w:r>
            <w:r>
              <w:rPr>
                <w:rFonts w:ascii="宋体" w:hAnsi="宋体" w:cs="宋体"/>
                <w:kern w:val="0"/>
                <w:sz w:val="16"/>
                <w:szCs w:val="16"/>
                <w:lang w:bidi="ar"/>
              </w:rPr>
              <w:t>4</w:t>
            </w:r>
            <w:r>
              <w:rPr>
                <w:rFonts w:hint="eastAsia" w:ascii="宋体" w:hAnsi="宋体" w:cs="宋体"/>
                <w:kern w:val="0"/>
                <w:sz w:val="16"/>
                <w:szCs w:val="16"/>
                <w:lang w:bidi="ar"/>
              </w:rPr>
              <w:t>级。</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204.20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防滑地砖楼梯面（水平投影）</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1，规格：面板300mm*侧板170mm*长800mm；具体以现场测量尺寸为准。2，面板需磨边开不低于三道防滑槽。3,材料为抛光砖。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148.52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地砖踢脚线</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ascii="宋体" w:hAnsi="宋体" w:cs="宋体"/>
                <w:kern w:val="0"/>
                <w:sz w:val="16"/>
                <w:szCs w:val="16"/>
                <w:lang w:bidi="ar"/>
              </w:rPr>
              <w:t>1</w:t>
            </w:r>
            <w:r>
              <w:rPr>
                <w:rFonts w:hint="eastAsia" w:ascii="宋体" w:hAnsi="宋体" w:cs="宋体"/>
                <w:kern w:val="0"/>
                <w:sz w:val="16"/>
                <w:szCs w:val="16"/>
                <w:lang w:bidi="ar"/>
              </w:rPr>
              <w:t>，规格：</w:t>
            </w:r>
            <w:r>
              <w:rPr>
                <w:rFonts w:ascii="宋体" w:hAnsi="宋体" w:cs="宋体"/>
                <w:kern w:val="0"/>
                <w:sz w:val="16"/>
                <w:szCs w:val="16"/>
                <w:lang w:bidi="ar"/>
              </w:rPr>
              <w:t>100mm*800mm</w:t>
            </w:r>
            <w:r>
              <w:rPr>
                <w:rFonts w:hint="eastAsia" w:ascii="宋体" w:hAnsi="宋体" w:cs="宋体"/>
                <w:kern w:val="0"/>
                <w:sz w:val="16"/>
                <w:szCs w:val="16"/>
                <w:lang w:bidi="ar"/>
              </w:rPr>
              <w:t>；上口磨圆边。</w:t>
            </w:r>
            <w:r>
              <w:rPr>
                <w:rFonts w:ascii="宋体" w:hAnsi="宋体" w:cs="宋体"/>
                <w:kern w:val="0"/>
                <w:sz w:val="16"/>
                <w:szCs w:val="16"/>
                <w:lang w:bidi="ar"/>
              </w:rPr>
              <w:t>2</w:t>
            </w:r>
            <w:r>
              <w:rPr>
                <w:rFonts w:hint="eastAsia" w:ascii="宋体" w:hAnsi="宋体" w:cs="宋体"/>
                <w:kern w:val="0"/>
                <w:sz w:val="16"/>
                <w:szCs w:val="16"/>
                <w:lang w:bidi="ar"/>
              </w:rPr>
              <w:t>，厚度不低于</w:t>
            </w:r>
            <w:r>
              <w:rPr>
                <w:rFonts w:ascii="宋体" w:hAnsi="宋体" w:cs="宋体"/>
                <w:kern w:val="0"/>
                <w:sz w:val="16"/>
                <w:szCs w:val="16"/>
                <w:lang w:bidi="ar"/>
              </w:rPr>
              <w:t>10mm</w:t>
            </w:r>
            <w:r>
              <w:rPr>
                <w:rFonts w:hint="eastAsia" w:ascii="宋体" w:hAnsi="宋体" w:cs="宋体"/>
                <w:kern w:val="0"/>
                <w:sz w:val="16"/>
                <w:szCs w:val="16"/>
                <w:lang w:bidi="ar"/>
              </w:rPr>
              <w:t>。</w:t>
            </w:r>
            <w:r>
              <w:rPr>
                <w:rFonts w:ascii="宋体" w:hAnsi="宋体" w:cs="宋体"/>
                <w:kern w:val="0"/>
                <w:sz w:val="16"/>
                <w:szCs w:val="16"/>
                <w:lang w:bidi="ar"/>
              </w:rPr>
              <w:t>3,</w:t>
            </w:r>
            <w:r>
              <w:rPr>
                <w:rFonts w:hint="eastAsia" w:ascii="宋体" w:hAnsi="宋体" w:cs="宋体"/>
                <w:kern w:val="0"/>
                <w:sz w:val="16"/>
                <w:szCs w:val="16"/>
                <w:lang w:bidi="ar"/>
              </w:rPr>
              <w:t>材料为抛光砖。</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205.11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300*600mm；产品等级：优等品。2，室内地面为300*600*9.5mm釉面内墙砖。3，参考颜色爵士白或灰色，具体以业主单位现场选定为准。4，尺寸及偏差：长、宽最大值±0.5mm，厚度允许偏差±0.5mm。5，边直角最大值±1.5mm。6，直角度最大值±2.0mm。7，表面平整度：边弯曲度最大值+2.0，-1.5。翘曲度最大值±2.0。中心弯曲度最大值+2.0，-1.5mm。8，破坏强度N）：平均值≥1100。9,断裂模数（MPa）平均值：≥22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960.61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外墙面砖墙面</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1，规格200*400mm；仿石喷墨瓷砖。2，吸水率%：平均值0.5﹤E≤3。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30.72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20厚黑色带暗花花岗岩</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1，规格150*900mm；参考品名中国黑光面或黑金沙光面，具体以业主单位选定为准。：厚度：≥20mm。2，具体以现场测量尺寸为准。3，体积密度≥2.56g/cm³。4，吸水率≤0.6%。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23.31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bl>
    <w:p>
      <w:pPr>
        <w:spacing w:line="360" w:lineRule="auto"/>
        <w:rPr>
          <w:rFonts w:hint="eastAsia" w:ascii="宋体" w:hAnsi="宋体" w:eastAsia="Times New Roman" w:cs="宋体"/>
          <w:kern w:val="0"/>
          <w:sz w:val="16"/>
          <w:szCs w:val="16"/>
          <w:lang w:bidi="ar"/>
        </w:rPr>
      </w:pPr>
    </w:p>
    <w:p>
      <w:pPr>
        <w:pStyle w:val="2"/>
        <w:jc w:val="center"/>
        <w:rPr>
          <w:rFonts w:ascii="宋体" w:hAnsi="宋体" w:eastAsia="Times New Roman" w:cs="宋体"/>
          <w:b w:val="0"/>
          <w:kern w:val="0"/>
          <w:sz w:val="16"/>
          <w:szCs w:val="16"/>
          <w:lang w:bidi="ar"/>
        </w:rPr>
      </w:pPr>
      <w:r>
        <w:rPr>
          <w:rFonts w:hint="eastAsia" w:ascii="宋体" w:hAnsi="宋体" w:eastAsia="Times New Roman" w:cs="宋体"/>
          <w:b w:val="0"/>
          <w:kern w:val="0"/>
          <w:sz w:val="16"/>
          <w:szCs w:val="16"/>
          <w:lang w:bidi="ar"/>
        </w:rPr>
        <w:t>2、卫浴部分</w:t>
      </w:r>
    </w:p>
    <w:p>
      <w:pPr>
        <w:spacing w:line="360" w:lineRule="auto"/>
        <w:rPr>
          <w:rFonts w:ascii="宋体" w:hAnsi="宋体" w:eastAsia="Times New Roman" w:cs="宋体"/>
          <w:kern w:val="0"/>
          <w:sz w:val="16"/>
          <w:szCs w:val="16"/>
          <w:lang w:bidi="ar"/>
        </w:rPr>
      </w:pPr>
      <w:r>
        <w:rPr>
          <w:rFonts w:hint="eastAsia" w:ascii="宋体" w:hAnsi="宋体" w:eastAsia="Times New Roman" w:cs="宋体"/>
          <w:kern w:val="0"/>
          <w:sz w:val="16"/>
          <w:szCs w:val="16"/>
          <w:lang w:bidi="ar"/>
        </w:rPr>
        <w:t>（一）霍山县磨子潭镇干部周转房卫浴采购</w:t>
      </w:r>
    </w:p>
    <w:tbl>
      <w:tblPr>
        <w:tblStyle w:val="6"/>
        <w:tblW w:w="0" w:type="auto"/>
        <w:tblInd w:w="0" w:type="dxa"/>
        <w:tblLayout w:type="fixed"/>
        <w:tblCellMar>
          <w:top w:w="15" w:type="dxa"/>
          <w:left w:w="15" w:type="dxa"/>
          <w:bottom w:w="15" w:type="dxa"/>
          <w:right w:w="15" w:type="dxa"/>
        </w:tblCellMar>
      </w:tblPr>
      <w:tblGrid>
        <w:gridCol w:w="567"/>
        <w:gridCol w:w="1134"/>
        <w:gridCol w:w="5669"/>
        <w:gridCol w:w="454"/>
        <w:gridCol w:w="680"/>
        <w:gridCol w:w="454"/>
        <w:gridCol w:w="454"/>
      </w:tblGrid>
      <w:tr>
        <w:tblPrEx>
          <w:tblCellMar>
            <w:top w:w="15" w:type="dxa"/>
            <w:left w:w="15" w:type="dxa"/>
            <w:bottom w:w="15" w:type="dxa"/>
            <w:right w:w="15" w:type="dxa"/>
          </w:tblCellMar>
        </w:tblPrEx>
        <w:trPr>
          <w:trHeight w:val="482"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序号</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子目名称</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规格参数</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计量单位</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数量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单价</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合计</w:t>
            </w: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120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（二）霍山县东西溪乡干部周转房卫浴采购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120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（三）霍山县大化坪镇干部周转房卫浴采购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104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（四）霍山县单龙寺镇干部周转房卫浴采购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（五）霍山县漫水河镇干部周转房卫浴采购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150</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（六）霍山县太平畈乡干部周转房卫浴采购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（七）霍山县与儿街镇干部周转房卫浴采购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（八）霍山县落儿岭镇干部周转房卫浴采购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108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（九）霍山县上土市镇干部周转房卫浴采购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128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noWrap w:val="0"/>
            <w:vAlign w:val="bottom"/>
          </w:tcPr>
          <w:p>
            <w:pPr>
              <w:rPr>
                <w:rFonts w:hint="eastAsia" w:ascii="宋体" w:hAnsi="宋体" w:cs="宋体"/>
                <w:kern w:val="0"/>
                <w:sz w:val="16"/>
                <w:szCs w:val="16"/>
                <w:lang w:bidi="ar"/>
              </w:rPr>
            </w:pPr>
          </w:p>
        </w:tc>
        <w:tc>
          <w:tcPr>
            <w:tcW w:w="6803" w:type="dxa"/>
            <w:gridSpan w:val="2"/>
            <w:noWrap w:val="0"/>
            <w:vAlign w:val="center"/>
          </w:tcPr>
          <w:p>
            <w:pPr>
              <w:rPr>
                <w:rFonts w:hint="eastAsia" w:ascii="宋体" w:hAnsi="宋体" w:cs="宋体"/>
                <w:kern w:val="0"/>
                <w:sz w:val="16"/>
                <w:szCs w:val="16"/>
                <w:lang w:bidi="ar"/>
              </w:rPr>
            </w:pPr>
            <w:r>
              <w:rPr>
                <w:rFonts w:hint="eastAsia" w:ascii="宋体" w:hAnsi="宋体" w:cs="宋体"/>
                <w:kern w:val="0"/>
                <w:sz w:val="16"/>
                <w:szCs w:val="16"/>
                <w:lang w:bidi="ar"/>
              </w:rPr>
              <w:t>（十）霍山县诸佛庵镇干部周转房卫浴采购</w:t>
            </w:r>
          </w:p>
        </w:tc>
        <w:tc>
          <w:tcPr>
            <w:tcW w:w="454" w:type="dxa"/>
            <w:noWrap w:val="0"/>
            <w:vAlign w:val="center"/>
          </w:tcPr>
          <w:p>
            <w:pPr>
              <w:rPr>
                <w:rFonts w:hint="eastAsia" w:ascii="宋体" w:hAnsi="宋体" w:cs="宋体"/>
                <w:kern w:val="0"/>
                <w:sz w:val="16"/>
                <w:szCs w:val="16"/>
                <w:lang w:bidi="ar"/>
              </w:rPr>
            </w:pPr>
          </w:p>
        </w:tc>
        <w:tc>
          <w:tcPr>
            <w:tcW w:w="680"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c>
          <w:tcPr>
            <w:tcW w:w="454" w:type="dxa"/>
            <w:noWrap w:val="0"/>
            <w:vAlign w:val="center"/>
          </w:tcPr>
          <w:p>
            <w:pP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给排水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防臭地漏</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DN50不锈钢有水封密闭型地漏(洗衣机处设中间带圆孔的洗衣机专用地漏）</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108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座便器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连体马桶675*350*685mm（虹吸式，下排式)；外观质量要求：除安装面（不包括炻陶质水箱）及瓷质坐便器水箱背部和底部，瓷质水箱盖底部和后部，瓷质水箱的内部，所有裸露表面和坐便器的排污管道内壁都应有釉层覆盖，釉面与陶瓷坯体完全结合；其他用于防止产品烧成变形的位于非可见面区域的支撑部件可以无釉覆盖；外观缺及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1、最大允许变形要求：安装面变形≤3mm，表面变形≤4mm，整体变形≤6mm。</w:t>
            </w:r>
            <w:r>
              <w:rPr>
                <w:rFonts w:hint="eastAsia" w:ascii="宋体" w:hAnsi="宋体" w:cs="宋体"/>
                <w:kern w:val="0"/>
                <w:sz w:val="16"/>
                <w:szCs w:val="16"/>
                <w:lang w:bidi="ar"/>
              </w:rPr>
              <w:br w:type="textWrapping"/>
            </w:r>
            <w:r>
              <w:rPr>
                <w:rFonts w:hint="eastAsia" w:ascii="宋体" w:hAnsi="宋体" w:cs="宋体"/>
                <w:kern w:val="0"/>
                <w:sz w:val="16"/>
                <w:szCs w:val="16"/>
                <w:lang w:bidi="ar"/>
              </w:rPr>
              <w:t>2、安装孔平面度：0mm~2mm；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6、耐荷重性要求：无变形或任何可见破损</w:t>
            </w:r>
            <w:r>
              <w:rPr>
                <w:rFonts w:hint="eastAsia" w:ascii="宋体" w:hAnsi="宋体" w:cs="宋体"/>
                <w:kern w:val="0"/>
                <w:sz w:val="16"/>
                <w:szCs w:val="16"/>
                <w:lang w:bidi="ar"/>
              </w:rPr>
              <w:br w:type="textWrapping"/>
            </w:r>
            <w:r>
              <w:rPr>
                <w:rFonts w:hint="eastAsia" w:ascii="宋体" w:hAnsi="宋体" w:cs="宋体"/>
                <w:kern w:val="0"/>
                <w:sz w:val="16"/>
                <w:szCs w:val="16"/>
                <w:lang w:bidi="ar"/>
              </w:rPr>
              <w:t>7、配套技术要求：便器类产品应配备满足用水量要求的冲水装置，并应保证其整体的密封性；所配套的冲水装置应具有防虹吸功能；安全水位：10mm≤H1≤38mm；H2≥25mm;H3≥5mm;H4≥5mm;H5≥20mm</w:t>
            </w:r>
            <w:r>
              <w:rPr>
                <w:rFonts w:hint="eastAsia" w:ascii="宋体" w:hAnsi="宋体" w:cs="宋体"/>
                <w:kern w:val="0"/>
                <w:sz w:val="16"/>
                <w:szCs w:val="16"/>
                <w:lang w:bidi="ar"/>
              </w:rPr>
              <w:br w:type="textWrapping"/>
            </w:r>
            <w:r>
              <w:rPr>
                <w:rFonts w:hint="eastAsia" w:ascii="宋体" w:hAnsi="宋体" w:cs="宋体"/>
                <w:kern w:val="0"/>
                <w:sz w:val="16"/>
                <w:szCs w:val="16"/>
                <w:lang w:bidi="ar"/>
              </w:rPr>
              <w:t>8、 尺寸要求：排水口安装距离：下排式：275mm~305mm，排污口尺寸：下排式坐便器排污口外径≤100mm；虹吸式坐便器安装深度应为13mm~19mm；下排虹吸式坐便器排污口周围应具有直径不小于185mm的安装空间；水封深度≥50mm；水封表面尺寸≥100mm*85mm，坐便器存水弯水道应能通过直径为41mm的固体球</w:t>
            </w:r>
            <w:r>
              <w:rPr>
                <w:rFonts w:hint="eastAsia" w:ascii="宋体" w:hAnsi="宋体" w:cs="宋体"/>
                <w:kern w:val="0"/>
                <w:sz w:val="16"/>
                <w:szCs w:val="16"/>
                <w:lang w:bidi="ar"/>
              </w:rPr>
              <w:br w:type="textWrapping"/>
            </w:r>
            <w:r>
              <w:rPr>
                <w:rFonts w:hint="eastAsia" w:ascii="宋体" w:hAnsi="宋体" w:cs="宋体"/>
                <w:kern w:val="0"/>
                <w:sz w:val="16"/>
                <w:szCs w:val="16"/>
                <w:lang w:bidi="ar"/>
              </w:rPr>
              <w:t>9、便器用水量要求：用水量≤4.8L；双冲式坐便器的半冲平均用水量应不大于全冲水用水量最大值的70％；节水型双冲式坐便器的全冲水用水量最大限定值应不大于6.0L                                                                                                                                   10、冲洗功能：全冲：每次冲洗后累积残留墨线的总长度≤50mm；且每一段残留墨线长度≤13mm；半冲：每次冲洗后累积残留墨线的总长度≤50mm；且每一段残留墨线长度≤13mm                                                                  11、排放功能：球排放实验三次实验平均数≥90个；颗粒排放连续三次实验，坐便器存水弯中留存的可见聚乙烯颗粒三次平均数≤125个；可见尼龙球三次平均数≤5个混合介质排放第一次冲出坐便器的混合介质≥22个；如有残余介质，第二次应全部冲出</w:t>
            </w:r>
            <w:r>
              <w:rPr>
                <w:rFonts w:hint="eastAsia" w:ascii="宋体" w:hAnsi="宋体" w:cs="宋体"/>
                <w:kern w:val="0"/>
                <w:sz w:val="16"/>
                <w:szCs w:val="16"/>
                <w:lang w:bidi="ar"/>
              </w:rPr>
              <w:br w:type="textWrapping"/>
            </w:r>
            <w:r>
              <w:rPr>
                <w:rFonts w:hint="eastAsia" w:ascii="宋体" w:hAnsi="宋体" w:cs="宋体"/>
                <w:kern w:val="0"/>
                <w:sz w:val="16"/>
                <w:szCs w:val="16"/>
                <w:lang w:bidi="ar"/>
              </w:rPr>
              <w:t>12、排水管</w:t>
            </w:r>
            <w:r>
              <w:rPr>
                <w:rFonts w:ascii="宋体" w:hAnsi="宋体" w:cs="宋体"/>
                <w:kern w:val="0"/>
                <w:sz w:val="16"/>
                <w:szCs w:val="16"/>
                <w:lang w:bidi="ar"/>
              </w:rPr>
              <w:t>道输送特性要求：球的平均传输距离应≥12m</w:t>
            </w:r>
            <w:r>
              <w:rPr>
                <w:rFonts w:ascii="宋体" w:hAnsi="宋体" w:cs="宋体"/>
                <w:kern w:val="0"/>
                <w:sz w:val="16"/>
                <w:szCs w:val="16"/>
                <w:lang w:bidi="ar"/>
              </w:rPr>
              <w:br w:type="textWrapping"/>
            </w:r>
            <w:r>
              <w:rPr>
                <w:rFonts w:ascii="宋体" w:hAnsi="宋体" w:cs="宋体"/>
                <w:kern w:val="0"/>
                <w:sz w:val="16"/>
                <w:szCs w:val="16"/>
                <w:lang w:bidi="ar"/>
              </w:rPr>
              <w:t>13、放射性要求：内照射指数：IRa≤1.0；外照射指数：Iγ≤1.3；</w:t>
            </w:r>
            <w:r>
              <w:rPr>
                <w:rFonts w:ascii="宋体" w:hAnsi="宋体" w:cs="宋体"/>
                <w:kern w:val="0"/>
                <w:sz w:val="16"/>
                <w:szCs w:val="16"/>
                <w:lang w:bidi="ar"/>
              </w:rPr>
              <w:br w:type="textWrapping"/>
            </w:r>
            <w:r>
              <w:rPr>
                <w:rFonts w:ascii="宋体" w:hAnsi="宋体" w:cs="宋体"/>
                <w:kern w:val="0"/>
                <w:sz w:val="16"/>
                <w:szCs w:val="16"/>
                <w:lang w:bidi="ar"/>
              </w:rPr>
              <w:t>14、连体座便器，尺寸675*350*685mm（下排水陶瓷，虹吸式排水，4.0L＜平均用水量≤5.0L）水效等级2级，</w:t>
            </w:r>
            <w:r>
              <w:rPr>
                <w:rFonts w:ascii="宋体" w:hAnsi="宋体" w:cs="宋体"/>
                <w:kern w:val="0"/>
                <w:sz w:val="16"/>
                <w:szCs w:val="16"/>
                <w:lang w:bidi="ar"/>
              </w:rPr>
              <w:br w:type="textWrapping"/>
            </w:r>
            <w:r>
              <w:rPr>
                <w:rFonts w:ascii="宋体" w:hAnsi="宋体" w:cs="宋体"/>
                <w:kern w:val="0"/>
                <w:sz w:val="16"/>
                <w:szCs w:val="16"/>
                <w:lang w:bidi="ar"/>
              </w:rPr>
              <w:t xml:space="preserve">15、冲洗噪声L50≤55dBA,L10≤65dBA。陶瓷吸水率≤0.5％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水龙头</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银色金属单冷洗衣机龙头，出水口流量≤9L/min</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洗脸盆</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柱盆530*460*820mm，配套防雾镜加托盘。</w:t>
            </w:r>
            <w:r>
              <w:rPr>
                <w:rFonts w:hint="eastAsia" w:ascii="宋体" w:hAnsi="宋体" w:cs="宋体"/>
                <w:kern w:val="0"/>
                <w:sz w:val="16"/>
                <w:szCs w:val="16"/>
                <w:lang w:bidi="ar"/>
              </w:rPr>
              <w:br w:type="textWrapping"/>
            </w:r>
            <w:r>
              <w:rPr>
                <w:rFonts w:hint="eastAsia" w:ascii="宋体" w:hAnsi="宋体" w:cs="宋体"/>
                <w:kern w:val="0"/>
                <w:sz w:val="16"/>
                <w:szCs w:val="16"/>
                <w:lang w:bidi="ar"/>
              </w:rPr>
              <w:t>1、外观质量要求：所有裸露表面都应有釉层覆盖，釉面与陶瓷坯体完全结合；外观缺陷应符合GB/T6952-2015之第5.1.2条要求；同一件产品或配套产品之间无明显色差。</w:t>
            </w:r>
            <w:r>
              <w:rPr>
                <w:rFonts w:hint="eastAsia" w:ascii="宋体" w:hAnsi="宋体" w:cs="宋体"/>
                <w:kern w:val="0"/>
                <w:sz w:val="16"/>
                <w:szCs w:val="16"/>
                <w:lang w:bidi="ar"/>
              </w:rPr>
              <w:br w:type="textWrapping"/>
            </w:r>
            <w:r>
              <w:rPr>
                <w:rFonts w:hint="eastAsia" w:ascii="宋体" w:hAnsi="宋体" w:cs="宋体"/>
                <w:kern w:val="0"/>
                <w:sz w:val="16"/>
                <w:szCs w:val="16"/>
                <w:lang w:bidi="ar"/>
              </w:rPr>
              <w:t>2、最大允许变形要求：安装面变形≤3mm，表面变形≤6mm，整体变形≤10mm。</w:t>
            </w:r>
            <w:r>
              <w:rPr>
                <w:rFonts w:hint="eastAsia" w:ascii="宋体" w:hAnsi="宋体" w:cs="宋体"/>
                <w:kern w:val="0"/>
                <w:sz w:val="16"/>
                <w:szCs w:val="16"/>
                <w:lang w:bidi="ar"/>
              </w:rPr>
              <w:br w:type="textWrapping"/>
            </w:r>
            <w:r>
              <w:rPr>
                <w:rFonts w:hint="eastAsia" w:ascii="宋体" w:hAnsi="宋体" w:cs="宋体"/>
                <w:kern w:val="0"/>
                <w:sz w:val="16"/>
                <w:szCs w:val="16"/>
                <w:lang w:bidi="ar"/>
              </w:rPr>
              <w:t>3、厚度要求：卫生陶瓷任何部位的坯体厚度应≥6mm</w:t>
            </w:r>
            <w:r>
              <w:rPr>
                <w:rFonts w:hint="eastAsia" w:ascii="宋体" w:hAnsi="宋体" w:cs="宋体"/>
                <w:kern w:val="0"/>
                <w:sz w:val="16"/>
                <w:szCs w:val="16"/>
                <w:lang w:bidi="ar"/>
              </w:rPr>
              <w:br w:type="textWrapping"/>
            </w:r>
            <w:r>
              <w:rPr>
                <w:rFonts w:hint="eastAsia" w:ascii="宋体" w:hAnsi="宋体" w:cs="宋体"/>
                <w:kern w:val="0"/>
                <w:sz w:val="16"/>
                <w:szCs w:val="16"/>
                <w:lang w:bidi="ar"/>
              </w:rPr>
              <w:t>4、吸水率要求：陶瓷吸水率≤0.5％</w:t>
            </w:r>
            <w:r>
              <w:rPr>
                <w:rFonts w:hint="eastAsia" w:ascii="宋体" w:hAnsi="宋体" w:cs="宋体"/>
                <w:kern w:val="0"/>
                <w:sz w:val="16"/>
                <w:szCs w:val="16"/>
                <w:lang w:bidi="ar"/>
              </w:rPr>
              <w:br w:type="textWrapping"/>
            </w:r>
            <w:r>
              <w:rPr>
                <w:rFonts w:hint="eastAsia" w:ascii="宋体" w:hAnsi="宋体" w:cs="宋体"/>
                <w:kern w:val="0"/>
                <w:sz w:val="16"/>
                <w:szCs w:val="16"/>
                <w:lang w:bidi="ar"/>
              </w:rPr>
              <w:t>5、抗裂性要求：经抗裂实验应无釉裂、无坯裂</w:t>
            </w:r>
            <w:r>
              <w:rPr>
                <w:rFonts w:hint="eastAsia" w:ascii="宋体" w:hAnsi="宋体" w:cs="宋体"/>
                <w:kern w:val="0"/>
                <w:sz w:val="16"/>
                <w:szCs w:val="16"/>
                <w:lang w:bidi="ar"/>
              </w:rPr>
              <w:br w:type="textWrapping"/>
            </w:r>
            <w:r>
              <w:rPr>
                <w:rFonts w:hint="eastAsia" w:ascii="宋体" w:hAnsi="宋体" w:cs="宋体"/>
                <w:kern w:val="0"/>
                <w:sz w:val="16"/>
                <w:szCs w:val="16"/>
                <w:lang w:bidi="ar"/>
              </w:rPr>
              <w:t>6、尺寸要求：排水口上沿：60mm~70mm;排水口下沿：45mm~57mm，安装面直径≥64mm；安装孔背平面半径应至少比安装孔半径大9mm，水嘴安装平面至少应高于产品最低溢水口位13mm。</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7、溢流功能要求：设有溢水孔的洗面器进行溢流试验后，应保持5min不溢流 </w:t>
            </w:r>
            <w:r>
              <w:rPr>
                <w:rFonts w:hint="eastAsia" w:ascii="宋体" w:hAnsi="宋体" w:cs="宋体"/>
                <w:kern w:val="0"/>
                <w:sz w:val="16"/>
                <w:szCs w:val="16"/>
                <w:lang w:bidi="ar"/>
              </w:rPr>
              <w:br w:type="textWrapping"/>
            </w:r>
            <w:r>
              <w:rPr>
                <w:rFonts w:hint="eastAsia" w:ascii="宋体" w:hAnsi="宋体" w:cs="宋体"/>
                <w:kern w:val="0"/>
                <w:sz w:val="16"/>
                <w:szCs w:val="16"/>
                <w:lang w:bidi="ar"/>
              </w:rPr>
              <w:t>8、放射性要求：内照射指数：IRa≤1.0；外照射指数：Iγ≤1.3；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淋浴器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埋入式单柄混水阀淋浴器（固定式莲蓬头200mm*200mm，埋入式单柄混水阀DN15。）</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1、外观：镀层表面光泽均匀，不应有脱皮 、龟裂、烧焦、露底、 剥落、黑斑及明显的麻点 ，毛刺等缺陷 </w:t>
            </w:r>
            <w:r>
              <w:rPr>
                <w:rFonts w:hint="eastAsia" w:ascii="宋体" w:hAnsi="宋体" w:cs="宋体"/>
                <w:kern w:val="0"/>
                <w:sz w:val="16"/>
                <w:szCs w:val="16"/>
                <w:lang w:bidi="ar"/>
              </w:rPr>
              <w:br w:type="textWrapping"/>
            </w:r>
            <w:r>
              <w:rPr>
                <w:rFonts w:hint="eastAsia" w:ascii="宋体" w:hAnsi="宋体" w:cs="宋体"/>
                <w:kern w:val="0"/>
                <w:sz w:val="16"/>
                <w:szCs w:val="16"/>
                <w:lang w:bidi="ar"/>
              </w:rPr>
              <w:t>2、螺纹：螺纹表面应光洁，不应有凹痕断牙等明显缺陷；产品外接非密封管螺纹 数应符合GB/T7307的要求，其中外螺纹应不低于GB/T7307的B级精度                                                                                                             3、装配：装改好的手柄或手轮动作应轻便平稳、无卡阻。转换开关应提拉平稳、轻便无卡阻，转换开关提拉部位与提拉杆件应连接牢固。水嘴旋转出水管应旋转轻便无卡阻。冷、热水混合水嘴应有冷、热标记，标记与水嘴本体结合牢固。冷水用蓝色或字母C或冷字表示，热水用红色或字母H或热字表示。双控水嘴控制装置水平排列时，冷水标记在右热水标记在左；控制装置竖直排列时，冷水标记在下，热水标记在上。可采用其他易于识别的含义标记冷、热水</w:t>
            </w:r>
            <w:r>
              <w:rPr>
                <w:rFonts w:hint="eastAsia" w:ascii="宋体" w:hAnsi="宋体" w:cs="宋体"/>
                <w:kern w:val="0"/>
                <w:sz w:val="16"/>
                <w:szCs w:val="16"/>
                <w:lang w:bidi="ar"/>
              </w:rPr>
              <w:br w:type="textWrapping"/>
            </w:r>
            <w:r>
              <w:rPr>
                <w:rFonts w:hint="eastAsia" w:ascii="宋体" w:hAnsi="宋体" w:cs="宋体"/>
                <w:kern w:val="0"/>
                <w:sz w:val="16"/>
                <w:szCs w:val="16"/>
                <w:lang w:bidi="ar"/>
              </w:rPr>
              <w:t>4、密封性能：冷，热水隔墙(适用于单柄双控水嘴阀芯关)：压力(0.40.02)MPa持续时间(60±5)s出水口及未连接的进水口无渗漏</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5、灵敏度，mm:控制装置的位移≥12 </w:t>
            </w:r>
            <w:r>
              <w:rPr>
                <w:rFonts w:hint="eastAsia" w:ascii="宋体" w:hAnsi="宋体" w:cs="宋体"/>
                <w:kern w:val="0"/>
                <w:sz w:val="16"/>
                <w:szCs w:val="16"/>
                <w:lang w:bidi="ar"/>
              </w:rPr>
              <w:br w:type="textWrapping"/>
            </w:r>
            <w:r>
              <w:rPr>
                <w:rFonts w:hint="eastAsia" w:ascii="宋体" w:hAnsi="宋体" w:cs="宋体"/>
                <w:kern w:val="0"/>
                <w:sz w:val="16"/>
                <w:szCs w:val="16"/>
                <w:lang w:bidi="ar"/>
              </w:rPr>
              <w:t xml:space="preserve">6、抗安装负载：试验后螺纹应无裂纹、无损坏 </w:t>
            </w:r>
            <w:r>
              <w:rPr>
                <w:rFonts w:hint="eastAsia" w:ascii="宋体" w:hAnsi="宋体" w:cs="宋体"/>
                <w:kern w:val="0"/>
                <w:sz w:val="16"/>
                <w:szCs w:val="16"/>
                <w:lang w:bidi="ar"/>
              </w:rPr>
              <w:br w:type="textWrapping"/>
            </w:r>
            <w:r>
              <w:rPr>
                <w:rFonts w:hint="eastAsia" w:ascii="宋体" w:hAnsi="宋体" w:cs="宋体"/>
                <w:kern w:val="0"/>
                <w:sz w:val="16"/>
                <w:szCs w:val="16"/>
                <w:lang w:bidi="ar"/>
              </w:rPr>
              <w:t>7、抗使用负载：水嘴手柄或手轮在开启和关闭方向上施加(6±0.2)N.m后，应无变形或损坏等削弱水嘴功能的情况出现，水嘴阀芯上游密封性能应符合7.6.2的要求；浴缸和淋浴水嘴手柄或手轮承受445N的轴向拉力应无松动现象</w:t>
            </w:r>
            <w:r>
              <w:rPr>
                <w:rFonts w:hint="eastAsia" w:ascii="宋体" w:hAnsi="宋体" w:cs="宋体"/>
                <w:kern w:val="0"/>
                <w:sz w:val="16"/>
                <w:szCs w:val="16"/>
                <w:lang w:bidi="ar"/>
              </w:rPr>
              <w:br w:type="textWrapping"/>
            </w:r>
            <w:r>
              <w:rPr>
                <w:rFonts w:hint="eastAsia" w:ascii="宋体" w:hAnsi="宋体" w:cs="宋体"/>
                <w:kern w:val="0"/>
                <w:sz w:val="16"/>
                <w:szCs w:val="16"/>
                <w:lang w:bidi="ar"/>
              </w:rPr>
              <w:t>8、金属基体镀层附着强度：热震试验后，不应出现裂纹，起皮或脱落现象                                                                                                                          9、表面耐腐蚀性能：24h乙酸盐雾试验后，应不低于GB/T6461-2002标椎的表1中外观评级（Ra)9级的要求</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r>
        <w:tblPrEx>
          <w:tblCellMar>
            <w:top w:w="15" w:type="dxa"/>
            <w:left w:w="15" w:type="dxa"/>
            <w:bottom w:w="15" w:type="dxa"/>
            <w:right w:w="15" w:type="dxa"/>
          </w:tblCellMar>
        </w:tblPrEx>
        <w:trPr>
          <w:trHeight w:val="480" w:hRule="atLeast"/>
        </w:trPr>
        <w:tc>
          <w:tcPr>
            <w:tcW w:w="56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热水器</w:t>
            </w:r>
          </w:p>
        </w:tc>
        <w:tc>
          <w:tcPr>
            <w:tcW w:w="566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16"/>
                <w:szCs w:val="16"/>
                <w:lang w:bidi="ar"/>
              </w:rPr>
            </w:pPr>
            <w:r>
              <w:rPr>
                <w:rFonts w:hint="eastAsia" w:ascii="宋体" w:hAnsi="宋体" w:cs="宋体"/>
                <w:kern w:val="0"/>
                <w:sz w:val="16"/>
                <w:szCs w:val="16"/>
                <w:lang w:bidi="ar"/>
              </w:rPr>
              <w:t xml:space="preserve">3000W速热电热水器60升；双防电盾：防电闸（外置式漏保，防止电路漏电），防电墙（双防电墙，防止沐浴带电）；电脑控制，遥控操作；E+增容，一键预约功能；超高温双效抑菌；两档变频调节（通过功率变化实现加热速度变化）；热水不足提醒；防冰冻技术（通电关机状态下水温低于5℃智能加热到10℃以防冻坏内胆）; 节能产品，热水输出率80%;电脑数码温显 。 </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个</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16"/>
                <w:szCs w:val="16"/>
                <w:lang w:bidi="ar"/>
              </w:rPr>
            </w:pPr>
            <w:r>
              <w:rPr>
                <w:rFonts w:hint="eastAsia" w:ascii="宋体" w:hAnsi="宋体" w:cs="宋体"/>
                <w:kern w:val="0"/>
                <w:sz w:val="16"/>
                <w:szCs w:val="16"/>
                <w:lang w:bidi="ar"/>
              </w:rPr>
              <w:t>54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kern w:val="0"/>
                <w:sz w:val="16"/>
                <w:szCs w:val="16"/>
                <w:lang w:bidi="ar"/>
              </w:rPr>
            </w:pPr>
          </w:p>
        </w:tc>
      </w:tr>
    </w:tbl>
    <w:p>
      <w:pPr>
        <w:pStyle w:val="2"/>
      </w:pPr>
    </w:p>
    <w:p>
      <w:pPr>
        <w:pStyle w:val="5"/>
        <w:ind w:firstLine="640"/>
        <w:rPr>
          <w:rFonts w:hint="eastAsia"/>
        </w:rPr>
      </w:pPr>
    </w:p>
    <w:p>
      <w:pPr>
        <w:spacing w:line="360" w:lineRule="auto"/>
        <w:rPr>
          <w:rFonts w:hint="eastAsia" w:ascii="宋体" w:hAnsi="宋体" w:cs="宋体"/>
          <w:b/>
          <w:bCs/>
          <w:sz w:val="24"/>
          <w:szCs w:val="24"/>
        </w:rPr>
      </w:pPr>
      <w:r>
        <w:rPr>
          <w:rFonts w:hint="eastAsia" w:ascii="宋体" w:hAnsi="宋体" w:cs="宋体"/>
          <w:b/>
          <w:bCs/>
          <w:sz w:val="24"/>
          <w:szCs w:val="24"/>
        </w:rPr>
        <w:t>注意事项：</w:t>
      </w:r>
    </w:p>
    <w:p>
      <w:pPr>
        <w:numPr>
          <w:ilvl w:val="0"/>
          <w:numId w:val="1"/>
        </w:numPr>
        <w:spacing w:line="360" w:lineRule="auto"/>
        <w:rPr>
          <w:rFonts w:hint="eastAsia" w:ascii="宋体" w:hAnsi="宋体" w:cs="宋体"/>
          <w:b/>
          <w:bCs/>
          <w:sz w:val="24"/>
          <w:szCs w:val="24"/>
        </w:rPr>
      </w:pPr>
      <w:r>
        <w:rPr>
          <w:rFonts w:hint="eastAsia" w:ascii="宋体" w:hAnsi="宋体" w:cs="宋体"/>
          <w:b/>
          <w:bCs/>
          <w:sz w:val="24"/>
          <w:szCs w:val="24"/>
        </w:rPr>
        <w:t>以上货物清单所述墙砖类数量为设计面积，投标人报价时应综合考虑实际使用中的损耗，并在合同中承诺如实际使用数量不大于上表所述数量的106%时仍按合同总价执行。</w:t>
      </w:r>
    </w:p>
    <w:p>
      <w:pPr>
        <w:numPr>
          <w:ilvl w:val="0"/>
          <w:numId w:val="1"/>
        </w:numPr>
        <w:spacing w:line="360" w:lineRule="auto"/>
        <w:rPr>
          <w:rFonts w:hint="eastAsia" w:ascii="宋体" w:hAnsi="宋体" w:cs="宋体"/>
          <w:b/>
          <w:bCs/>
          <w:sz w:val="24"/>
          <w:szCs w:val="24"/>
          <w:shd w:val="clear" w:color="FFFFFF" w:fill="D9D9D9"/>
        </w:rPr>
      </w:pPr>
      <w:r>
        <w:rPr>
          <w:rFonts w:hint="eastAsia" w:ascii="宋体" w:hAnsi="宋体" w:cs="宋体"/>
          <w:b/>
          <w:bCs/>
          <w:sz w:val="24"/>
          <w:szCs w:val="24"/>
          <w:shd w:val="clear" w:color="FFFFFF" w:fill="D9D9D9"/>
        </w:rPr>
        <w:t>投标人的商务报价中应包含5%的总包服务费（据实收取）。</w:t>
      </w:r>
    </w:p>
    <w:p>
      <w:pPr>
        <w:numPr>
          <w:ilvl w:val="0"/>
          <w:numId w:val="1"/>
        </w:numPr>
        <w:spacing w:line="360" w:lineRule="auto"/>
        <w:rPr>
          <w:rFonts w:hint="eastAsia" w:ascii="宋体" w:hAnsi="宋体" w:cs="宋体"/>
          <w:b/>
          <w:bCs/>
          <w:sz w:val="24"/>
          <w:szCs w:val="24"/>
        </w:rPr>
      </w:pPr>
      <w:r>
        <w:rPr>
          <w:rFonts w:hint="eastAsia" w:ascii="宋体" w:hAnsi="宋体" w:cs="宋体"/>
          <w:b/>
          <w:bCs/>
          <w:sz w:val="24"/>
          <w:szCs w:val="24"/>
        </w:rPr>
        <w:t>投标人的投标报价应包含本项目所发生的一切费用，包括货到现场到招标人指定位置落地（包括落地）及材料费（包含原材料、标准件、配套件、外协件及加工成产品以及二次加工整个过程中的一切费用）、运杂费、包装费、装卸费、保险费、税金、检验试验费、技术服务费、性能测试、考察监造费、售后服务费等一切措施费及质保期内维修等所有费用。报价应考虑一切风险因素（如材料价格或运输价格上涨等）。</w:t>
      </w:r>
    </w:p>
    <w:p>
      <w:pPr>
        <w:numPr>
          <w:ilvl w:val="0"/>
          <w:numId w:val="1"/>
        </w:numPr>
        <w:spacing w:line="360" w:lineRule="auto"/>
        <w:rPr>
          <w:rFonts w:hint="eastAsia" w:ascii="宋体" w:hAnsi="宋体" w:cs="宋体"/>
          <w:b/>
          <w:bCs/>
          <w:sz w:val="24"/>
          <w:szCs w:val="24"/>
        </w:rPr>
      </w:pPr>
      <w:r>
        <w:rPr>
          <w:rFonts w:hint="eastAsia" w:ascii="宋体" w:hAnsi="宋体" w:cs="宋体"/>
          <w:b/>
          <w:bCs/>
          <w:sz w:val="24"/>
          <w:szCs w:val="24"/>
        </w:rPr>
        <w:t>供应商中标后须与项目总包单位签订支付费用协议。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宋?">
    <w:altName w:val="宋体"/>
    <w:panose1 w:val="00000000000000000000"/>
    <w:charset w:val="81"/>
    <w:family w:val="roman"/>
    <w:pitch w:val="default"/>
    <w:sig w:usb0="00000000" w:usb1="00000000" w:usb2="00000010" w:usb3="00000000" w:csb0="0008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65E2EE"/>
    <w:multiLevelType w:val="singleLevel"/>
    <w:tmpl w:val="3865E2E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6E6ADD"/>
    <w:rsid w:val="008E7C18"/>
    <w:rsid w:val="056E6ADD"/>
    <w:rsid w:val="4CED5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2"/>
    <w:basedOn w:val="1"/>
    <w:uiPriority w:val="0"/>
    <w:rPr>
      <w:rFonts w:ascii="仿宋_GB2312" w:hAnsi="Times New Roman" w:eastAsia="仿宋_GB2312" w:cs="Times New Roman"/>
      <w:b/>
      <w:sz w:val="24"/>
    </w:rPr>
  </w:style>
  <w:style w:type="paragraph" w:styleId="3">
    <w:name w:val="Body Text Indent"/>
    <w:basedOn w:val="1"/>
    <w:next w:val="4"/>
    <w:uiPriority w:val="0"/>
    <w:pPr>
      <w:ind w:firstLine="645"/>
    </w:pPr>
    <w:rPr>
      <w:rFonts w:ascii="楷体_GB2312" w:hAnsi="Times New Roman" w:eastAsia="楷体_GB2312" w:cs="Times New Roman"/>
      <w:sz w:val="32"/>
    </w:rPr>
  </w:style>
  <w:style w:type="paragraph" w:styleId="4">
    <w:name w:val="envelope return"/>
    <w:basedOn w:val="1"/>
    <w:qFormat/>
    <w:uiPriority w:val="0"/>
    <w:pPr>
      <w:snapToGrid w:val="0"/>
    </w:pPr>
    <w:rPr>
      <w:rFonts w:ascii="Arial" w:hAnsi="Arial"/>
    </w:rPr>
  </w:style>
  <w:style w:type="paragraph" w:styleId="5">
    <w:name w:val="Body Text First Indent 2"/>
    <w:basedOn w:val="3"/>
    <w:qFormat/>
    <w:uiPriority w:val="0"/>
    <w:pPr>
      <w:ind w:left="420" w:firstLine="420" w:firstLineChars="200"/>
    </w:pPr>
    <w:rPr>
      <w:rFonts w:ascii="Times New Roman" w:eastAsia="宋?"/>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2020-09-30T09:50:00Z</dcterms:created>
  <dc:creator>NTKO</dc:creator>
  <cp:lastModifiedBy>NTKO</cp:lastModifiedBy>
  <dcterms:modified xsi:type="dcterms:W3CDTF">2020-09-30T09:59:11Z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