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adjustRightInd w:val="0"/>
        <w:snapToGrid w:val="0"/>
        <w:spacing w:before="62" w:beforeLines="20" w:after="62" w:afterLines="20" w:line="240" w:lineRule="atLeast"/>
        <w:jc w:val="center"/>
        <w:outlineLvl w:val="0"/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30"/>
          <w:szCs w:val="30"/>
          <w:highlight w:val="none"/>
          <w:lang w:val="en-US" w:eastAsia="zh-CN"/>
        </w:rPr>
        <w:t>采购</w:t>
      </w:r>
      <w:r>
        <w:rPr>
          <w:rFonts w:hint="eastAsia" w:ascii="宋体" w:hAnsi="宋体" w:cs="宋体"/>
          <w:b/>
          <w:bCs/>
          <w:color w:val="auto"/>
          <w:sz w:val="30"/>
          <w:szCs w:val="30"/>
          <w:highlight w:val="none"/>
          <w:lang w:eastAsia="zh-CN"/>
        </w:rPr>
        <w:t>需求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before="62" w:beforeLines="20" w:after="62" w:afterLines="20" w:line="240" w:lineRule="atLeast"/>
        <w:jc w:val="both"/>
        <w:outlineLvl w:val="0"/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</w:rPr>
      </w:pP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1、项目概述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pacing w:before="0" w:beforeAutospacing="0" w:after="0" w:afterAutospacing="0" w:line="460" w:lineRule="exact"/>
        <w:ind w:left="0" w:right="0"/>
        <w:jc w:val="left"/>
        <w:rPr>
          <w:rFonts w:hint="default" w:ascii="宋体" w:hAnsi="宋体" w:eastAsia="宋体" w:cs="宋体"/>
          <w:b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4"/>
          <w:szCs w:val="24"/>
          <w:lang w:val="en-US" w:eastAsia="zh-CN" w:bidi="ar-SA"/>
        </w:rPr>
        <w:t>项目概况及投资规模：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"/>
        </w:rPr>
        <w:t>磨子潭电站大桥位于省道S333毛太路，桥梁全长（老桥）165米，地处霍山县磨子潭镇。</w:t>
      </w:r>
    </w:p>
    <w:p>
      <w:pPr>
        <w:ind w:firstLine="562" w:firstLineChars="20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2、项目要求</w:t>
      </w:r>
    </w:p>
    <w:p>
      <w:pPr>
        <w:pStyle w:val="2"/>
        <w:rPr>
          <w:rFonts w:hint="eastAsia" w:ascii="宋体" w:hAnsi="宋体" w:eastAsia="宋体" w:cs="宋体"/>
          <w:b w:val="0"/>
          <w:color w:val="auto"/>
          <w:szCs w:val="24"/>
        </w:rPr>
      </w:pPr>
      <w:r>
        <w:rPr>
          <w:rFonts w:hint="eastAsia" w:ascii="宋体" w:hAnsi="宋体" w:eastAsia="宋体" w:cs="宋体"/>
          <w:b w:val="0"/>
          <w:color w:val="auto"/>
          <w:szCs w:val="24"/>
        </w:rPr>
        <w:t>项目防洪影响评价报告书前期资料收集、现场勘测、编制报告书、专家评审、修改报告、送审，直至完成批复等相关服务。</w:t>
      </w:r>
    </w:p>
    <w:p>
      <w:pPr>
        <w:rPr>
          <w:rFonts w:hint="eastAsia"/>
          <w:b/>
          <w:bCs/>
          <w:sz w:val="28"/>
          <w:szCs w:val="28"/>
        </w:rPr>
      </w:pPr>
      <w:bookmarkStart w:id="0" w:name="_Toc129773852"/>
      <w:bookmarkStart w:id="1" w:name="_Toc232321209"/>
      <w:r>
        <w:rPr>
          <w:rFonts w:hint="eastAsia"/>
          <w:b/>
          <w:bCs/>
          <w:sz w:val="28"/>
          <w:szCs w:val="28"/>
        </w:rPr>
        <w:t>2.1、时间要求</w:t>
      </w:r>
      <w:bookmarkEnd w:id="0"/>
      <w:bookmarkEnd w:id="1"/>
    </w:p>
    <w:p>
      <w:pPr>
        <w:spacing w:line="500" w:lineRule="exact"/>
        <w:ind w:firstLine="54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本项目编制期为</w:t>
      </w: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45</w:t>
      </w:r>
      <w:r>
        <w:rPr>
          <w:rFonts w:hint="eastAsia" w:ascii="宋体" w:hAnsi="宋体" w:cs="宋体"/>
          <w:bCs/>
          <w:color w:val="auto"/>
          <w:sz w:val="24"/>
          <w:szCs w:val="24"/>
        </w:rPr>
        <w:t>日历天。</w:t>
      </w:r>
    </w:p>
    <w:p>
      <w:pPr>
        <w:rPr>
          <w:rFonts w:hint="eastAsia"/>
          <w:b/>
          <w:bCs/>
          <w:sz w:val="28"/>
          <w:szCs w:val="28"/>
        </w:rPr>
      </w:pPr>
      <w:bookmarkStart w:id="2" w:name="_Toc232321210"/>
      <w:bookmarkStart w:id="3" w:name="_Toc129773853"/>
      <w:r>
        <w:rPr>
          <w:rFonts w:hint="eastAsia"/>
          <w:b/>
          <w:bCs/>
          <w:sz w:val="28"/>
          <w:szCs w:val="28"/>
        </w:rPr>
        <w:t>2.2、</w:t>
      </w:r>
      <w:bookmarkEnd w:id="2"/>
      <w:bookmarkEnd w:id="3"/>
      <w:r>
        <w:rPr>
          <w:rFonts w:hint="eastAsia"/>
          <w:b/>
          <w:bCs/>
          <w:sz w:val="28"/>
          <w:szCs w:val="28"/>
        </w:rPr>
        <w:t>保障承包人人员的合法权益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 供应商应与其雇佣的人员签订劳动合同，并按时发放工资。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 供应商应按劳动法的规定安排工作时间，保证其雇佣人员享有休息和休假的权利。因工程施工的特殊需要占用休假日或延长工作时间的，应不超过法律规定的限度，并按法律规定给予补休或付酬。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 供应商应为其雇佣人员提供必要的食宿条件，以及符合环境保护和卫生要求的生活环境，在远离城镇的施工场地，还应配备必要的伤病防治和急救的医务人员与医疗设施。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 供应商应按国家有关劳动保护的规定，采取有效的防止粉尘、降低噪声、控制有害气体和保障高温、高寒、高空作业安全等劳动保护措施。其雇佣人员在施工中受到伤害的，承包人应立即采取有效措施进行抢救和治疗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5 供应商应按有关法律规定和合同约定，为其雇佣人员办理保险。</w:t>
      </w:r>
    </w:p>
    <w:p>
      <w:pPr>
        <w:rPr>
          <w:rFonts w:hint="eastAsia"/>
          <w:b/>
          <w:bCs/>
          <w:sz w:val="28"/>
          <w:szCs w:val="28"/>
        </w:rPr>
      </w:pPr>
      <w:bookmarkStart w:id="4" w:name="_Toc232321213"/>
      <w:r>
        <w:rPr>
          <w:rFonts w:hint="eastAsia"/>
          <w:b/>
          <w:bCs/>
          <w:sz w:val="28"/>
          <w:szCs w:val="28"/>
        </w:rPr>
        <w:t>2.3、售后服务要求</w:t>
      </w:r>
      <w:bookmarkEnd w:id="4"/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本项目防洪影响评价报告需由中标人办理省水利厅报批。</w:t>
      </w:r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127D75"/>
    <w:multiLevelType w:val="singleLevel"/>
    <w:tmpl w:val="D3127D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50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400" w:lineRule="atLeast"/>
      <w:ind w:firstLine="426"/>
    </w:pPr>
    <w:rPr>
      <w:rFonts w:ascii="Times New Roman" w:hAnsi="Times New Roman"/>
      <w:sz w:val="24"/>
      <w:szCs w:val="20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szCs w:val="24"/>
    </w:rPr>
  </w:style>
  <w:style w:type="paragraph" w:customStyle="1" w:styleId="4">
    <w:name w:val="_Style 2"/>
    <w:basedOn w:val="1"/>
    <w:next w:val="1"/>
    <w:qFormat/>
    <w:uiPriority w:val="99"/>
    <w:pPr>
      <w:ind w:firstLine="420" w:firstLineChars="200"/>
    </w:pPr>
  </w:style>
  <w:style w:type="paragraph" w:styleId="5">
    <w:name w:val="Normal (Web)"/>
    <w:basedOn w:val="1"/>
    <w:unhideWhenUsed/>
    <w:qFormat/>
    <w:uiPriority w:val="99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2020-09-17T09:57:32Z</dcterms:created>
  <dc:creator>Administrator</dc:creator>
  <cp:lastModifiedBy>小ద短న腿</cp:lastModifiedBy>
  <dcterms:modified xsi:type="dcterms:W3CDTF">2020-09-17T09:57:37Z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