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霍山县黑石渡镇加油站对面堆场内水压砂销售(二次)</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eastAsia="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DBSXS-2020-007</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年八月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40"/>
          <w:szCs w:val="40"/>
          <w:lang w:val="en-US" w:eastAsia="zh-CN" w:bidi="ar-SA"/>
        </w:rPr>
        <w:t>霍山县黑石渡镇加油站对面堆场内水压砂销售(二次)</w:t>
      </w: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000000"/>
          <w:spacing w:val="0"/>
          <w:kern w:val="0"/>
          <w:sz w:val="24"/>
          <w:szCs w:val="24"/>
          <w:shd w:val="clear" w:fill="FFFFFF"/>
          <w:lang w:val="en-US" w:eastAsia="zh-CN" w:bidi="ar"/>
        </w:rPr>
        <w:t>受霍山县矿产资源开发有限责任公司委托</w:t>
      </w:r>
      <w:r>
        <w:rPr>
          <w:rFonts w:hint="eastAsia" w:ascii="宋体" w:hAnsi="宋体" w:cs="宋体"/>
          <w:i w:val="0"/>
          <w:caps w:val="0"/>
          <w:color w:val="000000"/>
          <w:spacing w:val="0"/>
          <w:kern w:val="0"/>
          <w:sz w:val="24"/>
          <w:szCs w:val="24"/>
          <w:shd w:val="clear" w:fill="FFFFFF"/>
          <w:lang w:val="en-US" w:eastAsia="zh-CN" w:bidi="ar"/>
        </w:rPr>
        <w:t>，</w:t>
      </w:r>
      <w:r>
        <w:rPr>
          <w:rFonts w:hint="eastAsia" w:ascii="宋体" w:hAnsi="宋体" w:eastAsia="宋体" w:cs="宋体"/>
          <w:i w:val="0"/>
          <w:caps w:val="0"/>
          <w:color w:val="000000"/>
          <w:spacing w:val="0"/>
          <w:kern w:val="0"/>
          <w:sz w:val="24"/>
          <w:szCs w:val="24"/>
          <w:shd w:val="clear" w:fill="FFFFFF"/>
          <w:lang w:val="en-US" w:eastAsia="zh-CN" w:bidi="ar"/>
        </w:rPr>
        <w:t>定于2020年</w:t>
      </w:r>
      <w:r>
        <w:rPr>
          <w:rFonts w:hint="eastAsia" w:ascii="宋体" w:hAnsi="宋体" w:cs="宋体"/>
          <w:i w:val="0"/>
          <w:caps w:val="0"/>
          <w:color w:val="000000"/>
          <w:spacing w:val="0"/>
          <w:kern w:val="0"/>
          <w:sz w:val="24"/>
          <w:szCs w:val="24"/>
          <w:shd w:val="clear" w:fill="FFFFFF"/>
          <w:lang w:val="en-US" w:eastAsia="zh-CN" w:bidi="ar"/>
        </w:rPr>
        <w:t>9月3日15时00分</w:t>
      </w:r>
      <w:r>
        <w:rPr>
          <w:rFonts w:hint="eastAsia" w:ascii="宋体" w:hAnsi="宋体" w:eastAsia="宋体" w:cs="宋体"/>
          <w:i w:val="0"/>
          <w:caps w:val="0"/>
          <w:color w:val="000000"/>
          <w:spacing w:val="0"/>
          <w:kern w:val="0"/>
          <w:sz w:val="24"/>
          <w:szCs w:val="24"/>
          <w:shd w:val="clear" w:fill="FFFFFF"/>
          <w:lang w:val="en-US" w:eastAsia="zh-CN" w:bidi="ar"/>
        </w:rPr>
        <w:t>在安徽大别山工程咨询有限公司一楼开标厅</w:t>
      </w:r>
      <w:r>
        <w:rPr>
          <w:rFonts w:hint="eastAsia" w:ascii="宋体" w:hAnsi="宋体" w:cs="宋体"/>
          <w:i w:val="0"/>
          <w:caps w:val="0"/>
          <w:color w:val="000000"/>
          <w:spacing w:val="0"/>
          <w:kern w:val="0"/>
          <w:sz w:val="24"/>
          <w:szCs w:val="24"/>
          <w:shd w:val="clear" w:fill="FFFFFF"/>
          <w:lang w:val="en-US" w:eastAsia="zh-CN" w:bidi="ar"/>
        </w:rPr>
        <w:t>，对霍山县黑石渡镇加油站对面堆场内水压砂销售(二次)进行公开竞价销售，</w:t>
      </w:r>
      <w:r>
        <w:rPr>
          <w:rFonts w:hint="eastAsia" w:ascii="宋体" w:hAnsi="宋体" w:eastAsia="宋体" w:cs="宋体"/>
          <w:i w:val="0"/>
          <w:caps w:val="0"/>
          <w:color w:val="000000"/>
          <w:spacing w:val="0"/>
          <w:kern w:val="0"/>
          <w:sz w:val="24"/>
          <w:szCs w:val="24"/>
          <w:shd w:val="clear" w:fill="FFFFFF"/>
          <w:lang w:val="en-US" w:eastAsia="zh-CN" w:bidi="ar"/>
        </w:rPr>
        <w:t>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2"/>
        <w:gridCol w:w="1245"/>
        <w:gridCol w:w="1920"/>
        <w:gridCol w:w="2221"/>
        <w:gridCol w:w="1711"/>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color w:val="000000"/>
                <w:kern w:val="0"/>
                <w:sz w:val="24"/>
                <w:lang w:val="en-US" w:eastAsia="zh-CN"/>
              </w:rPr>
              <w:t>竞价标的名称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sz w:val="24"/>
                <w:szCs w:val="24"/>
                <w:lang w:val="en-US" w:eastAsia="zh-CN"/>
              </w:rPr>
              <w:t>霍山县黑石渡镇加油站对面堆场内水压砂销售(二次)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售卖起始价单价50元/吨</w:t>
            </w:r>
          </w:p>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cs="Times New Roman"/>
                <w:sz w:val="21"/>
                <w:szCs w:val="21"/>
              </w:rPr>
            </w:pPr>
            <w:r>
              <w:rPr>
                <w:rFonts w:hint="eastAsia" w:ascii="宋体" w:hAnsi="宋体" w:cs="宋体"/>
                <w:sz w:val="24"/>
                <w:szCs w:val="24"/>
                <w:lang w:val="en-US" w:eastAsia="zh-CN"/>
              </w:rPr>
              <w:t>(不含砂石税费,挖装上车费)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70" w:hRule="atLeast"/>
          <w:jc w:val="center"/>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ascii="宋体" w:cs="宋体"/>
                <w:kern w:val="0"/>
                <w:sz w:val="24"/>
                <w:szCs w:val="24"/>
              </w:rPr>
            </w:pPr>
            <w:r>
              <w:rPr>
                <w:rFonts w:hint="eastAsia" w:ascii="宋体" w:hAnsi="宋体" w:cs="宋体"/>
                <w:kern w:val="0"/>
                <w:sz w:val="24"/>
                <w:szCs w:val="24"/>
              </w:rPr>
              <w:t>标的</w:t>
            </w:r>
          </w:p>
          <w:p>
            <w:pPr>
              <w:spacing w:line="380" w:lineRule="exact"/>
              <w:jc w:val="center"/>
              <w:rPr>
                <w:rFonts w:hint="default" w:ascii="Times New Roman" w:hAnsi="Times New Roman" w:cs="Times New Roman"/>
                <w:sz w:val="21"/>
                <w:szCs w:val="21"/>
              </w:rPr>
            </w:pPr>
            <w:r>
              <w:rPr>
                <w:rFonts w:hint="eastAsia" w:ascii="宋体" w:hAnsi="宋体" w:cs="宋体"/>
                <w:kern w:val="0"/>
                <w:sz w:val="24"/>
                <w:szCs w:val="24"/>
              </w:rPr>
              <w:t>概况</w:t>
            </w:r>
          </w:p>
        </w:tc>
        <w:tc>
          <w:tcPr>
            <w:tcW w:w="3165"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pPr>
            <w:r>
              <w:rPr>
                <w:rFonts w:hint="eastAsia" w:ascii="宋体" w:hAnsi="宋体" w:cs="宋体"/>
                <w:sz w:val="24"/>
                <w:szCs w:val="24"/>
              </w:rPr>
              <w:t>标的位置</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spacing w:before="100" w:after="100" w:line="380" w:lineRule="exact"/>
              <w:jc w:val="center"/>
              <w:rPr>
                <w:rFonts w:hint="default" w:ascii="Times New Roman" w:hAnsi="Times New Roman" w:cs="Times New Roman"/>
                <w:sz w:val="21"/>
                <w:szCs w:val="21"/>
                <w:lang w:val="en-US"/>
              </w:rPr>
            </w:pPr>
            <w:r>
              <w:rPr>
                <w:rFonts w:hint="eastAsia" w:ascii="宋体" w:hAnsi="宋体" w:cs="宋体"/>
                <w:sz w:val="24"/>
                <w:szCs w:val="24"/>
                <w:lang w:val="en-US" w:eastAsia="zh-CN"/>
              </w:rPr>
              <w:t>霍山县黑石渡镇加油站对面堆场内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ascii="宋体" w:cs="宋体"/>
                <w:kern w:val="0"/>
                <w:sz w:val="24"/>
                <w:szCs w:val="24"/>
              </w:rPr>
            </w:pPr>
            <w:r>
              <w:rPr>
                <w:rFonts w:hint="eastAsia" w:ascii="宋体" w:hAnsi="宋体" w:cs="宋体"/>
                <w:kern w:val="0"/>
                <w:sz w:val="24"/>
                <w:szCs w:val="24"/>
              </w:rPr>
              <w:t>基本</w:t>
            </w:r>
          </w:p>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情况</w:t>
            </w: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kern w:val="0"/>
                <w:sz w:val="24"/>
                <w:szCs w:val="24"/>
                <w:lang w:eastAsia="zh-CN"/>
              </w:rPr>
              <w:t>数</w:t>
            </w:r>
            <w:r>
              <w:rPr>
                <w:rFonts w:hint="eastAsia" w:ascii="宋体" w:hAnsi="宋体" w:cs="宋体"/>
                <w:kern w:val="0"/>
                <w:sz w:val="24"/>
                <w:szCs w:val="24"/>
              </w:rPr>
              <w:t>量（</w:t>
            </w:r>
            <w:r>
              <w:rPr>
                <w:rFonts w:hint="eastAsia" w:ascii="宋体" w:hAnsi="宋体" w:cs="宋体"/>
                <w:kern w:val="0"/>
                <w:sz w:val="24"/>
                <w:szCs w:val="24"/>
                <w:lang w:eastAsia="zh-CN"/>
              </w:rPr>
              <w:t>吨</w:t>
            </w:r>
            <w:r>
              <w:rPr>
                <w:rFonts w:hint="eastAsia" w:ascii="宋体" w:hAnsi="宋体" w:cs="宋体"/>
                <w:kern w:val="0"/>
                <w:sz w:val="24"/>
                <w:szCs w:val="24"/>
              </w:rPr>
              <w:t>）</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hint="default" w:ascii="宋体" w:hAnsi="宋体" w:cs="宋体"/>
                <w:sz w:val="24"/>
                <w:szCs w:val="24"/>
                <w:lang w:val="en-US" w:eastAsia="zh-CN"/>
              </w:rPr>
            </w:pPr>
            <w:r>
              <w:rPr>
                <w:rFonts w:hint="eastAsia" w:ascii="宋体" w:hAnsi="宋体" w:cs="宋体"/>
                <w:sz w:val="24"/>
                <w:szCs w:val="24"/>
                <w:lang w:val="en-US" w:eastAsia="zh-CN"/>
              </w:rPr>
              <w:t>2879.85</w:t>
            </w:r>
            <w:r>
              <w:rPr>
                <w:rFonts w:hint="eastAsia" w:ascii="宋体" w:hAnsi="宋体" w:cs="宋体"/>
                <w:kern w:val="0"/>
                <w:sz w:val="24"/>
                <w:szCs w:val="24"/>
                <w:lang w:eastAsia="zh-CN"/>
              </w:rPr>
              <w:t>吨</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both"/>
            </w:pPr>
            <w:r>
              <w:rPr>
                <w:rFonts w:hint="eastAsia" w:ascii="宋体" w:hAnsi="宋体" w:cs="宋体"/>
                <w:color w:val="000000"/>
                <w:kern w:val="0"/>
                <w:sz w:val="24"/>
                <w:szCs w:val="24"/>
              </w:rPr>
              <w:t>销售期（天）</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color w:val="000000"/>
                <w:sz w:val="24"/>
                <w:szCs w:val="24"/>
                <w:lang w:val="en-US" w:eastAsia="zh-CN"/>
              </w:rPr>
              <w:t>5日历天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sz w:val="21"/>
                <w:szCs w:val="21"/>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承包费支付方式</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ind w:firstLine="120" w:firstLineChars="50"/>
              <w:jc w:val="center"/>
              <w:rPr>
                <w:rFonts w:hint="default" w:ascii="Times New Roman" w:hAnsi="Times New Roman" w:cs="Times New Roman"/>
                <w:sz w:val="21"/>
                <w:szCs w:val="21"/>
              </w:rPr>
            </w:pPr>
            <w:r>
              <w:rPr>
                <w:rFonts w:hint="eastAsia" w:ascii="宋体" w:hAnsi="宋体" w:cs="宋体"/>
                <w:kern w:val="0"/>
                <w:sz w:val="24"/>
                <w:szCs w:val="24"/>
              </w:rPr>
              <w:t>一次性</w:t>
            </w:r>
            <w:r>
              <w:rPr>
                <w:rFonts w:hint="eastAsia" w:ascii="宋体" w:hAnsi="宋体" w:cs="宋体"/>
                <w:sz w:val="24"/>
                <w:szCs w:val="24"/>
              </w:rPr>
              <w:t>支付</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lang w:eastAsia="zh-CN"/>
              </w:rPr>
              <w:t>单价</w:t>
            </w:r>
            <w:r>
              <w:rPr>
                <w:rFonts w:hint="eastAsia" w:ascii="宋体" w:hAnsi="宋体" w:cs="宋体"/>
                <w:kern w:val="0"/>
                <w:sz w:val="24"/>
                <w:szCs w:val="24"/>
              </w:rPr>
              <w:t>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竞价人付款方式</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总额支付</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竞价保证金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r>
              <w:rPr>
                <w:rFonts w:hint="eastAsia" w:ascii="宋体" w:hAnsi="宋体" w:cs="宋体"/>
                <w:color w:val="000000"/>
                <w:kern w:val="0"/>
                <w:sz w:val="24"/>
                <w:lang w:val="en-US" w:eastAsia="zh-CN"/>
              </w:rPr>
              <w:t>壹拾肆万叁仟玖佰玖拾贰元伍角</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143992.5</w:t>
            </w:r>
            <w:r>
              <w:rPr>
                <w:rFonts w:hint="eastAsia" w:ascii="宋体" w:hAnsi="宋体" w:cs="宋体"/>
                <w:color w:val="000000"/>
                <w:kern w:val="0"/>
                <w:sz w:val="24"/>
                <w:lang w:eastAsia="zh-CN"/>
              </w:rPr>
              <w:t>）</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b/>
                <w:bCs/>
                <w:sz w:val="24"/>
                <w:szCs w:val="24"/>
                <w:lang w:eastAsia="zh-CN"/>
              </w:rPr>
              <w:t>壹元或壹元的整数倍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合同履约保证金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无</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6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r>
              <w:rPr>
                <w:rFonts w:hint="eastAsia" w:ascii="宋体" w:hAnsi="宋体" w:cs="宋体"/>
                <w:kern w:val="0"/>
                <w:sz w:val="24"/>
                <w:szCs w:val="24"/>
                <w:lang w:eastAsia="zh-CN"/>
              </w:rPr>
              <w:t>竞价</w:t>
            </w:r>
            <w:r>
              <w:rPr>
                <w:rFonts w:hint="eastAsia" w:ascii="宋体" w:hAnsi="宋体" w:cs="宋体"/>
                <w:kern w:val="0"/>
                <w:sz w:val="24"/>
                <w:szCs w:val="24"/>
              </w:rPr>
              <w:t>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tabs>
                <w:tab w:val="left" w:pos="1800"/>
              </w:tabs>
              <w:spacing w:before="100" w:after="100" w:line="380" w:lineRule="exact"/>
              <w:ind w:firstLine="0" w:firstLineChars="0"/>
              <w:jc w:val="left"/>
              <w:rPr>
                <w:rFonts w:hint="default"/>
                <w:lang w:val="en-US"/>
              </w:rPr>
            </w:pPr>
            <w:r>
              <w:rPr>
                <w:rFonts w:hint="eastAsia" w:ascii="宋体" w:hAnsi="宋体" w:cs="宋体"/>
                <w:sz w:val="24"/>
                <w:szCs w:val="24"/>
                <w:lang w:val="en-US" w:eastAsia="zh-CN"/>
              </w:rPr>
              <w:t>水压砂装载、外运销售等内容。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r>
              <w:rPr>
                <w:rFonts w:hint="eastAsia" w:ascii="宋体" w:hAnsi="宋体" w:cs="宋体"/>
                <w:kern w:val="0"/>
                <w:sz w:val="24"/>
                <w:szCs w:val="24"/>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rPr>
                <w:rFonts w:hint="default"/>
                <w:lang w:val="en-US"/>
              </w:rPr>
            </w:pPr>
            <w:r>
              <w:rPr>
                <w:rFonts w:hint="eastAsia" w:ascii="宋体" w:hAnsi="宋体" w:cs="宋体"/>
                <w:color w:val="000000"/>
                <w:kern w:val="0"/>
                <w:sz w:val="24"/>
                <w:szCs w:val="24"/>
              </w:rPr>
              <w:t>合同签订后</w:t>
            </w:r>
            <w:r>
              <w:rPr>
                <w:rFonts w:hint="eastAsia" w:ascii="宋体" w:hAnsi="宋体" w:cs="宋体"/>
                <w:color w:val="000000"/>
                <w:kern w:val="0"/>
                <w:sz w:val="24"/>
                <w:szCs w:val="24"/>
                <w:lang w:val="en-US" w:eastAsia="zh-CN"/>
              </w:rPr>
              <w:t>5日内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9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eastAsia="宋体" w:cs="Times New Roman"/>
                <w:kern w:val="2"/>
                <w:sz w:val="21"/>
                <w:szCs w:val="21"/>
                <w:lang w:val="en-US" w:eastAsia="zh-CN" w:bidi="ar-SA"/>
              </w:rPr>
            </w:pPr>
            <w:r>
              <w:rPr>
                <w:rFonts w:hint="eastAsia" w:ascii="宋体" w:hAnsi="宋体" w:cs="宋体"/>
                <w:color w:val="000000"/>
                <w:kern w:val="0"/>
                <w:sz w:val="24"/>
                <w:lang w:val="en-US" w:eastAsia="zh-CN"/>
              </w:rPr>
              <w:t>壹拾肆万叁仟玖佰玖拾贰元伍角</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143992.5</w:t>
            </w:r>
            <w:r>
              <w:rPr>
                <w:rFonts w:hint="eastAsia" w:ascii="宋体" w:hAnsi="宋体" w:cs="宋体"/>
                <w:color w:val="000000"/>
                <w:kern w:val="0"/>
                <w:sz w:val="24"/>
                <w:lang w:eastAsia="zh-CN"/>
              </w:rPr>
              <w:t>）</w:t>
            </w:r>
          </w:p>
        </w:tc>
      </w:tr>
    </w:tbl>
    <w:p>
      <w:pPr>
        <w:keepNext w:val="0"/>
        <w:keepLines w:val="0"/>
        <w:widowControl/>
        <w:suppressLineNumbers w:val="0"/>
        <w:spacing w:before="0" w:beforeAutospacing="0" w:after="0" w:afterAutospacing="0" w:line="400" w:lineRule="atLeast"/>
        <w:ind w:left="0" w:right="0" w:firstLine="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备注：此竞价费不含砂石税费，挖装上车费。</w:t>
      </w:r>
    </w:p>
    <w:p>
      <w:pPr>
        <w:keepNext w:val="0"/>
        <w:keepLines w:val="0"/>
        <w:widowControl/>
        <w:suppressLineNumbers w:val="0"/>
        <w:spacing w:before="0" w:beforeAutospacing="0" w:after="0" w:afterAutospacing="0" w:line="400" w:lineRule="atLeast"/>
        <w:ind w:left="0" w:right="0" w:firstLine="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特别说明：</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default" w:ascii="Times New Roman" w:hAnsi="Times New Roman" w:cs="Times New Roman"/>
          <w:b/>
          <w:bCs w:val="0"/>
          <w:i w:val="0"/>
          <w:caps w:val="0"/>
          <w:color w:val="000000" w:themeColor="text1"/>
          <w:spacing w:val="0"/>
          <w:sz w:val="21"/>
          <w:szCs w:val="21"/>
          <w:lang w:val="en-US"/>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1、</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销售期为</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5</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天，自合同签</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第二日开始计算</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，在合同期内因竞得方各种原因造成未完成合同销售量，损失由竞得方自行承担并且所收货款（成交价款）不予退还；</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销售标的委托人另</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行</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处置</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。竞得人需在公告期满</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cs="宋体"/>
          <w:b/>
          <w:bCs/>
          <w:sz w:val="24"/>
          <w:szCs w:val="24"/>
        </w:rPr>
      </w:pPr>
      <w:r>
        <w:rPr>
          <w:rFonts w:hint="eastAsia" w:ascii="宋体" w:hAnsi="宋体" w:cs="宋体"/>
          <w:b/>
          <w:bCs/>
          <w:sz w:val="24"/>
          <w:szCs w:val="24"/>
          <w:lang w:val="en-US" w:eastAsia="zh-CN"/>
        </w:rPr>
        <w:t>2、</w:t>
      </w:r>
      <w:r>
        <w:rPr>
          <w:rFonts w:hint="eastAsia" w:ascii="宋体" w:hAnsi="宋体" w:cs="宋体"/>
          <w:b/>
          <w:bCs/>
          <w:sz w:val="24"/>
          <w:szCs w:val="24"/>
          <w:lang w:eastAsia="zh-CN"/>
        </w:rPr>
        <w:t>竞价确认后竞得人不得在县内中转、堆放</w:t>
      </w:r>
      <w:r>
        <w:rPr>
          <w:rFonts w:hint="eastAsia" w:ascii="宋体" w:hAnsi="宋体" w:cs="宋体"/>
          <w:b/>
          <w:bCs/>
          <w:sz w:val="24"/>
          <w:szCs w:val="24"/>
        </w:rPr>
        <w:t>。</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cs="宋体"/>
          <w:b/>
          <w:bCs/>
          <w:sz w:val="24"/>
          <w:szCs w:val="24"/>
        </w:rPr>
      </w:pPr>
      <w:r>
        <w:rPr>
          <w:rFonts w:hint="eastAsia" w:ascii="宋体" w:hAnsi="宋体" w:cs="宋体"/>
          <w:b/>
          <w:bCs/>
          <w:sz w:val="24"/>
          <w:szCs w:val="24"/>
          <w:lang w:val="en-US" w:eastAsia="zh-CN"/>
        </w:rPr>
        <w:t>3、</w:t>
      </w:r>
      <w:r>
        <w:rPr>
          <w:rFonts w:hint="eastAsia" w:ascii="宋体" w:hAnsi="宋体" w:cs="宋体"/>
          <w:b/>
          <w:bCs/>
          <w:sz w:val="24"/>
          <w:szCs w:val="24"/>
        </w:rPr>
        <w:t>本项目装载、外运销售全过程以及安全问题由竞得人自行承担。</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cs="宋体"/>
          <w:b/>
          <w:bCs/>
          <w:sz w:val="24"/>
          <w:szCs w:val="24"/>
        </w:rPr>
      </w:pPr>
      <w:r>
        <w:rPr>
          <w:rFonts w:hint="eastAsia" w:ascii="宋体" w:hAnsi="宋体" w:cs="宋体"/>
          <w:b/>
          <w:bCs/>
          <w:sz w:val="24"/>
          <w:szCs w:val="24"/>
          <w:lang w:val="en-US" w:eastAsia="zh-CN"/>
        </w:rPr>
        <w:t>4、</w:t>
      </w:r>
      <w:r>
        <w:rPr>
          <w:rFonts w:hint="eastAsia" w:ascii="宋体" w:hAnsi="宋体" w:cs="宋体"/>
          <w:b/>
          <w:bCs/>
          <w:sz w:val="24"/>
          <w:szCs w:val="24"/>
        </w:rPr>
        <w:t>本次招标销售标的物为水压砂，计2879.85吨，此工程量由霍山县公安局委托第三方测量计算。竞价人应自行踏勘，竞得后方量、砂石质量、地理环境等均不予调整。各潜在竞价人自行考虑，竞得人不得以任何理由要求调整或以此为理由影响本次处置活动。</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cs="宋体"/>
          <w:b/>
          <w:bCs/>
          <w:sz w:val="24"/>
          <w:szCs w:val="24"/>
        </w:rPr>
      </w:pPr>
      <w:r>
        <w:rPr>
          <w:rFonts w:hint="eastAsia" w:ascii="宋体" w:hAnsi="宋体" w:cs="宋体"/>
          <w:b/>
          <w:bCs/>
          <w:sz w:val="24"/>
          <w:szCs w:val="24"/>
          <w:lang w:val="en-US" w:eastAsia="zh-CN"/>
        </w:rPr>
        <w:t>5、</w:t>
      </w:r>
      <w:r>
        <w:rPr>
          <w:rFonts w:hint="eastAsia" w:ascii="宋体" w:hAnsi="宋体" w:cs="宋体"/>
          <w:b/>
          <w:bCs/>
          <w:sz w:val="24"/>
          <w:szCs w:val="24"/>
        </w:rPr>
        <w:t>竞价产生的溢价价款须在成交公告期满之日起</w:t>
      </w:r>
      <w:r>
        <w:rPr>
          <w:rFonts w:hint="eastAsia" w:ascii="宋体" w:hAnsi="宋体" w:cs="宋体"/>
          <w:b/>
          <w:bCs/>
          <w:sz w:val="24"/>
          <w:szCs w:val="24"/>
          <w:lang w:val="en-US" w:eastAsia="zh-CN"/>
        </w:rPr>
        <w:t>2</w:t>
      </w:r>
      <w:r>
        <w:rPr>
          <w:rFonts w:hint="eastAsia" w:ascii="宋体" w:hAnsi="宋体" w:cs="宋体"/>
          <w:b/>
          <w:bCs/>
          <w:sz w:val="24"/>
          <w:szCs w:val="24"/>
        </w:rPr>
        <w:t>日内，由竞得人一次性支付委托人。若竞得人未在成交公告期满之日起</w:t>
      </w:r>
      <w:r>
        <w:rPr>
          <w:rFonts w:hint="eastAsia" w:ascii="宋体" w:hAnsi="宋体" w:cs="宋体"/>
          <w:b/>
          <w:bCs/>
          <w:sz w:val="24"/>
          <w:szCs w:val="24"/>
          <w:lang w:val="en-US" w:eastAsia="zh-CN"/>
        </w:rPr>
        <w:t>2</w:t>
      </w:r>
      <w:r>
        <w:rPr>
          <w:rFonts w:hint="eastAsia" w:ascii="宋体" w:hAnsi="宋体" w:cs="宋体"/>
          <w:b/>
          <w:bCs/>
          <w:sz w:val="24"/>
          <w:szCs w:val="24"/>
        </w:rPr>
        <w:t>日内把溢价价款部分一次性支付委托人，委托人将取消竞得人资格，竞得人的竞价保证金不予退还。</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宋体" w:cs="宋体"/>
          <w:b/>
          <w:bCs/>
          <w:sz w:val="24"/>
          <w:szCs w:val="24"/>
        </w:rPr>
      </w:pPr>
      <w:r>
        <w:rPr>
          <w:rFonts w:hint="eastAsia" w:ascii="宋体" w:hAnsi="宋体" w:cs="宋体"/>
          <w:b/>
          <w:bCs/>
          <w:sz w:val="24"/>
          <w:szCs w:val="24"/>
          <w:lang w:val="en-US" w:eastAsia="zh-CN"/>
        </w:rPr>
        <w:t>6、</w:t>
      </w:r>
      <w:r>
        <w:rPr>
          <w:rFonts w:hint="eastAsia" w:ascii="宋体" w:hAnsi="宋体" w:cs="宋体"/>
          <w:b/>
          <w:bCs/>
          <w:sz w:val="24"/>
          <w:szCs w:val="24"/>
        </w:rPr>
        <w:t>砂石管理费10元/吨，共计28798.50元，由竞得人自成交公告期满之日起</w:t>
      </w:r>
      <w:r>
        <w:rPr>
          <w:rFonts w:hint="eastAsia" w:ascii="宋体" w:hAnsi="宋体" w:cs="宋体"/>
          <w:b/>
          <w:bCs/>
          <w:sz w:val="24"/>
          <w:szCs w:val="24"/>
          <w:lang w:val="en-US" w:eastAsia="zh-CN"/>
        </w:rPr>
        <w:t>2</w:t>
      </w:r>
      <w:r>
        <w:rPr>
          <w:rFonts w:hint="eastAsia" w:ascii="宋体" w:hAnsi="宋体" w:cs="宋体"/>
          <w:b/>
          <w:bCs/>
          <w:sz w:val="24"/>
          <w:szCs w:val="24"/>
        </w:rPr>
        <w:t>日内缴纳至霍山县砂石服务有限责任公司指定账户。</w:t>
      </w:r>
    </w:p>
    <w:p>
      <w:pPr>
        <w:pStyle w:val="28"/>
        <w:keepNext w:val="0"/>
        <w:keepLines w:val="0"/>
        <w:pageBreakBefore w:val="0"/>
        <w:tabs>
          <w:tab w:val="left" w:pos="312"/>
        </w:tabs>
        <w:kinsoku/>
        <w:wordWrap/>
        <w:overflowPunct/>
        <w:topLinePunct w:val="0"/>
        <w:autoSpaceDE/>
        <w:autoSpaceDN/>
        <w:bidi w:val="0"/>
        <w:adjustRightInd/>
        <w:snapToGrid/>
        <w:spacing w:line="400" w:lineRule="exact"/>
        <w:ind w:left="420" w:firstLine="480" w:firstLineChars="200"/>
        <w:textAlignment w:val="auto"/>
        <w:rPr>
          <w:rFonts w:hint="eastAsia" w:ascii="宋体" w:hAnsi="宋体" w:cs="宋体"/>
          <w:b/>
          <w:bCs/>
          <w:sz w:val="24"/>
          <w:szCs w:val="24"/>
        </w:rPr>
      </w:pPr>
      <w:r>
        <w:rPr>
          <w:rFonts w:hint="eastAsia" w:ascii="宋体" w:hAnsi="宋体" w:cs="宋体"/>
          <w:b/>
          <w:bCs/>
          <w:sz w:val="24"/>
          <w:szCs w:val="24"/>
        </w:rPr>
        <w:t>汇入账户名称：霍山县砂石服务有限责任公司</w:t>
      </w:r>
    </w:p>
    <w:p>
      <w:pPr>
        <w:pStyle w:val="28"/>
        <w:keepNext w:val="0"/>
        <w:keepLines w:val="0"/>
        <w:pageBreakBefore w:val="0"/>
        <w:tabs>
          <w:tab w:val="left" w:pos="312"/>
        </w:tabs>
        <w:kinsoku/>
        <w:wordWrap/>
        <w:overflowPunct/>
        <w:topLinePunct w:val="0"/>
        <w:autoSpaceDE/>
        <w:autoSpaceDN/>
        <w:bidi w:val="0"/>
        <w:adjustRightInd/>
        <w:snapToGrid/>
        <w:spacing w:line="400" w:lineRule="exact"/>
        <w:ind w:left="420" w:firstLine="480" w:firstLineChars="200"/>
        <w:textAlignment w:val="auto"/>
        <w:rPr>
          <w:rFonts w:hint="eastAsia" w:ascii="宋体" w:hAnsi="宋体" w:cs="宋体"/>
          <w:b/>
          <w:bCs/>
          <w:sz w:val="24"/>
          <w:szCs w:val="24"/>
        </w:rPr>
      </w:pPr>
      <w:r>
        <w:rPr>
          <w:rFonts w:hint="eastAsia" w:ascii="宋体" w:hAnsi="宋体" w:cs="宋体"/>
          <w:b/>
          <w:bCs/>
          <w:sz w:val="24"/>
          <w:szCs w:val="24"/>
        </w:rPr>
        <w:t>汇入银行：徽商银行六安霍山支行</w:t>
      </w:r>
    </w:p>
    <w:p>
      <w:pPr>
        <w:pStyle w:val="28"/>
        <w:keepNext w:val="0"/>
        <w:keepLines w:val="0"/>
        <w:pageBreakBefore w:val="0"/>
        <w:tabs>
          <w:tab w:val="left" w:pos="312"/>
        </w:tabs>
        <w:kinsoku/>
        <w:wordWrap/>
        <w:overflowPunct/>
        <w:topLinePunct w:val="0"/>
        <w:autoSpaceDE/>
        <w:autoSpaceDN/>
        <w:bidi w:val="0"/>
        <w:adjustRightInd/>
        <w:snapToGrid/>
        <w:spacing w:line="400" w:lineRule="exact"/>
        <w:ind w:left="420" w:firstLine="480" w:firstLineChars="200"/>
        <w:textAlignment w:val="auto"/>
        <w:rPr>
          <w:rFonts w:ascii="宋体" w:cs="宋体"/>
          <w:b/>
          <w:bCs/>
          <w:sz w:val="24"/>
          <w:szCs w:val="24"/>
        </w:rPr>
      </w:pPr>
      <w:r>
        <w:rPr>
          <w:rFonts w:hint="eastAsia" w:ascii="宋体" w:hAnsi="宋体" w:cs="宋体"/>
          <w:b/>
          <w:bCs/>
          <w:sz w:val="24"/>
          <w:szCs w:val="24"/>
        </w:rPr>
        <w:t>汇入银行账号：223014020941000002</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cs="宋体"/>
          <w:b/>
          <w:bCs/>
          <w:sz w:val="24"/>
          <w:szCs w:val="24"/>
        </w:rPr>
      </w:pPr>
      <w:r>
        <w:rPr>
          <w:rFonts w:hint="eastAsia" w:ascii="宋体" w:hAnsi="宋体" w:cs="宋体"/>
          <w:b/>
          <w:bCs/>
          <w:sz w:val="24"/>
          <w:szCs w:val="24"/>
          <w:lang w:val="en-US" w:eastAsia="zh-CN"/>
        </w:rPr>
        <w:t>7、</w:t>
      </w:r>
      <w:r>
        <w:rPr>
          <w:rFonts w:hint="eastAsia" w:ascii="宋体" w:hAnsi="宋体" w:cs="宋体"/>
          <w:b/>
          <w:bCs/>
          <w:sz w:val="24"/>
          <w:szCs w:val="24"/>
        </w:rPr>
        <w:t>竞得人运输车辆、路线等在施工前需报霍山县砂石管理综合执法大队备案，备案后方可组织机械、人员进入施工现场。</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cs="宋体"/>
          <w:b/>
          <w:bCs/>
          <w:sz w:val="24"/>
          <w:szCs w:val="24"/>
        </w:rPr>
      </w:pPr>
      <w:r>
        <w:rPr>
          <w:rFonts w:hint="eastAsia" w:ascii="宋体" w:hAnsi="宋体" w:cs="宋体"/>
          <w:b/>
          <w:bCs/>
          <w:sz w:val="24"/>
          <w:szCs w:val="24"/>
          <w:lang w:val="en-US" w:eastAsia="zh-CN"/>
        </w:rPr>
        <w:t>8、</w:t>
      </w:r>
      <w:r>
        <w:rPr>
          <w:rFonts w:hint="eastAsia" w:ascii="宋体" w:hAnsi="宋体" w:cs="宋体"/>
          <w:b/>
          <w:bCs/>
          <w:sz w:val="24"/>
          <w:szCs w:val="24"/>
        </w:rPr>
        <w:t>本次竞价以</w:t>
      </w:r>
      <w:r>
        <w:rPr>
          <w:rFonts w:hint="eastAsia" w:ascii="宋体" w:hAnsi="宋体" w:cs="宋体"/>
          <w:b/>
          <w:bCs/>
          <w:sz w:val="24"/>
          <w:szCs w:val="24"/>
          <w:lang w:eastAsia="zh-CN"/>
        </w:rPr>
        <w:t>壹元或壹元的整数倍</w:t>
      </w:r>
      <w:r>
        <w:rPr>
          <w:rFonts w:hint="eastAsia" w:ascii="宋体" w:hAnsi="宋体" w:cs="宋体"/>
          <w:b/>
          <w:bCs/>
          <w:sz w:val="24"/>
          <w:szCs w:val="24"/>
        </w:rPr>
        <w:t>。</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cs="宋体"/>
          <w:b/>
          <w:bCs/>
          <w:sz w:val="24"/>
          <w:szCs w:val="24"/>
        </w:rPr>
      </w:pPr>
      <w:r>
        <w:rPr>
          <w:rFonts w:hint="eastAsia" w:ascii="宋体" w:hAnsi="宋体" w:cs="宋体"/>
          <w:b/>
          <w:bCs/>
          <w:sz w:val="24"/>
          <w:szCs w:val="24"/>
          <w:lang w:val="en-US" w:eastAsia="zh-CN"/>
        </w:rPr>
        <w:t>9、</w:t>
      </w:r>
      <w:r>
        <w:rPr>
          <w:rFonts w:hint="eastAsia" w:ascii="宋体" w:hAnsi="宋体" w:cs="宋体"/>
          <w:b/>
          <w:bCs/>
          <w:sz w:val="24"/>
          <w:szCs w:val="24"/>
        </w:rPr>
        <w:t>严禁任何形式的转包行为，本次竞价的标需竞得人独立完成。</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textAlignment w:val="auto"/>
        <w:rPr>
          <w:rFonts w:ascii="宋体" w:cs="宋体"/>
          <w:b/>
          <w:bCs/>
          <w:sz w:val="24"/>
          <w:szCs w:val="24"/>
        </w:rPr>
      </w:pPr>
      <w:r>
        <w:rPr>
          <w:rFonts w:hint="eastAsia" w:ascii="宋体" w:hAnsi="宋体" w:cs="宋体"/>
          <w:b/>
          <w:bCs/>
          <w:sz w:val="24"/>
          <w:szCs w:val="24"/>
          <w:lang w:val="en-US" w:eastAsia="zh-CN"/>
        </w:rPr>
        <w:t>10、</w:t>
      </w:r>
      <w:r>
        <w:rPr>
          <w:rFonts w:hint="eastAsia" w:ascii="宋体" w:hAnsi="宋体" w:cs="宋体"/>
          <w:b/>
          <w:bCs/>
          <w:sz w:val="24"/>
          <w:szCs w:val="24"/>
        </w:rPr>
        <w:t>竞得人在开挖及运输过程中应遵守霍山县交通运输部门和霍山县城市管理行政执法局的相关规定，若出现违规违法行为，竞得人自行承担一切责任。</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汪满</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15156496010。</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，联系电话：0564-5020033；15305645303</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  号：20010048352066600000021</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霍山县黑石渡镇加油站对面堆场内水压砂销售(二次)</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1.有意参加竞价的企业或个人在投标截止时间前将竞价文件以及资格审查资料递交至竞价文件指定地点并按竞价招标要求参加竞价会。潜在竞价人自行登录安徽大别山工程咨询有限公司网（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九、开标、定标</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2020年9月3日15时00分</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竞价结果在安徽大别山工程咨询有限公司网（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8月29</w:t>
      </w:r>
      <w:bookmarkStart w:id="5" w:name="_GoBack"/>
      <w:bookmarkEnd w:id="5"/>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日</w:t>
      </w:r>
    </w:p>
    <w:p>
      <w:pPr>
        <w:spacing w:line="600" w:lineRule="exact"/>
        <w:jc w:val="center"/>
        <w:rPr>
          <w:rFonts w:ascii="仿宋_GB2312" w:eastAsia="仿宋_GB2312" w:cs="仿宋_GB2312"/>
          <w:b/>
          <w:bCs/>
          <w:sz w:val="32"/>
          <w:szCs w:val="32"/>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霍山县黑石渡镇加油站对面堆场内水压砂销售(二次)</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2020年9月3日15时00分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霍山县黑石渡镇加油站对面堆场内水压砂销售(二次)竞价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ascii="宋体" w:cs="宋体"/>
          <w:sz w:val="24"/>
          <w:szCs w:val="24"/>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3</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共计金额：人民币壹千元整(</w:t>
      </w:r>
      <w:r>
        <w:rPr>
          <w:rFonts w:hint="default" w:ascii="Arial" w:hAnsi="Arial" w:cs="Arial"/>
          <w:b/>
          <w:bCs/>
          <w:sz w:val="24"/>
          <w:szCs w:val="24"/>
          <w:lang w:val="en-US" w:eastAsia="zh-CN"/>
        </w:rPr>
        <w:t>¥</w:t>
      </w:r>
      <w:r>
        <w:rPr>
          <w:rFonts w:hint="eastAsia" w:ascii="宋体" w:hAnsi="宋体" w:cs="宋体"/>
          <w:b/>
          <w:bCs/>
          <w:sz w:val="24"/>
          <w:szCs w:val="24"/>
          <w:lang w:val="en-US" w:eastAsia="zh-CN"/>
        </w:rPr>
        <w:t>1000元)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霍山县黑石渡镇加油站对面堆场内水压砂销售(二次)竞价</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
          <w:bCs/>
          <w:color w:val="000000"/>
          <w:u w:val="single"/>
          <w:shd w:val="clear" w:color="auto" w:fill="FFFFFF"/>
          <w:lang w:eastAsia="zh-CN"/>
        </w:rPr>
        <w:t>霍山县黑石渡镇加油站对面堆场内水压砂销售(二次)竞价</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霍山县黑石渡镇加油站对面堆场内水压砂销售(二次)竞价</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5748"/>
      <w:bookmarkStart w:id="4" w:name="_Toc24680"/>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霍山县黑石渡镇加油站对面堆场内水压砂销售(二次)竞价</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1840" w:tblpY="426"/>
        <w:tblOverlap w:val="never"/>
        <w:tblW w:w="92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7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1995"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723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霍山县黑石渡镇加油站对面堆场内水压砂销售(二次)竞价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1995"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7230" w:type="dxa"/>
            <w:vAlign w:val="center"/>
          </w:tcPr>
          <w:p>
            <w:pPr>
              <w:spacing w:line="500" w:lineRule="exact"/>
              <w:rPr>
                <w:rFonts w:cs="宋体"/>
                <w:sz w:val="28"/>
                <w:szCs w:val="28"/>
              </w:rPr>
            </w:pPr>
            <w:r>
              <w:rPr>
                <w:rFonts w:hint="eastAsia" w:cs="宋体"/>
                <w:sz w:val="28"/>
                <w:szCs w:val="28"/>
              </w:rPr>
              <w:t>单价：</w:t>
            </w:r>
            <w:r>
              <w:rPr>
                <w:rFonts w:hint="eastAsia" w:cs="宋体"/>
                <w:sz w:val="28"/>
                <w:szCs w:val="28"/>
                <w:lang w:val="en-US" w:eastAsia="zh-CN"/>
              </w:rPr>
              <w:t xml:space="preserve">     </w:t>
            </w: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1995"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723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3481EE5"/>
    <w:rsid w:val="038F6FB0"/>
    <w:rsid w:val="03D10E11"/>
    <w:rsid w:val="05267DD8"/>
    <w:rsid w:val="05B1497B"/>
    <w:rsid w:val="05B5616B"/>
    <w:rsid w:val="05FE6D8C"/>
    <w:rsid w:val="06966DE4"/>
    <w:rsid w:val="06BD5D53"/>
    <w:rsid w:val="070143BD"/>
    <w:rsid w:val="079E04DA"/>
    <w:rsid w:val="081A6E8F"/>
    <w:rsid w:val="08DD6DF5"/>
    <w:rsid w:val="095C696D"/>
    <w:rsid w:val="0A4B0FDB"/>
    <w:rsid w:val="0A951494"/>
    <w:rsid w:val="0B47625D"/>
    <w:rsid w:val="0B860E80"/>
    <w:rsid w:val="0BD803BE"/>
    <w:rsid w:val="0C372739"/>
    <w:rsid w:val="0CD44DBF"/>
    <w:rsid w:val="0CF933E9"/>
    <w:rsid w:val="0D754E6B"/>
    <w:rsid w:val="0EF26FA9"/>
    <w:rsid w:val="0F22685D"/>
    <w:rsid w:val="0F480FCC"/>
    <w:rsid w:val="0FE54F0E"/>
    <w:rsid w:val="10701A7A"/>
    <w:rsid w:val="108319E0"/>
    <w:rsid w:val="11F97D7B"/>
    <w:rsid w:val="120E5F6D"/>
    <w:rsid w:val="12BC6896"/>
    <w:rsid w:val="12F82D5C"/>
    <w:rsid w:val="13965F86"/>
    <w:rsid w:val="13B506FB"/>
    <w:rsid w:val="16835EAD"/>
    <w:rsid w:val="17386069"/>
    <w:rsid w:val="173A6F74"/>
    <w:rsid w:val="17606C2D"/>
    <w:rsid w:val="186C1FBE"/>
    <w:rsid w:val="18AE1E31"/>
    <w:rsid w:val="18E8113A"/>
    <w:rsid w:val="19BD47BF"/>
    <w:rsid w:val="1B1E0E7F"/>
    <w:rsid w:val="1C7835EA"/>
    <w:rsid w:val="1CF402DE"/>
    <w:rsid w:val="1D875955"/>
    <w:rsid w:val="1DB02215"/>
    <w:rsid w:val="1E774EC8"/>
    <w:rsid w:val="1E7762A2"/>
    <w:rsid w:val="1EBC62CE"/>
    <w:rsid w:val="1EDB1FA4"/>
    <w:rsid w:val="1F245185"/>
    <w:rsid w:val="1F3C520B"/>
    <w:rsid w:val="1FD83F49"/>
    <w:rsid w:val="202B3F48"/>
    <w:rsid w:val="20321A3E"/>
    <w:rsid w:val="204B56B0"/>
    <w:rsid w:val="207F77E2"/>
    <w:rsid w:val="2096471A"/>
    <w:rsid w:val="20D05FEF"/>
    <w:rsid w:val="216F2842"/>
    <w:rsid w:val="218B22F8"/>
    <w:rsid w:val="220F35EF"/>
    <w:rsid w:val="225613DB"/>
    <w:rsid w:val="225C0D90"/>
    <w:rsid w:val="22CA5373"/>
    <w:rsid w:val="24AC5014"/>
    <w:rsid w:val="250800DC"/>
    <w:rsid w:val="259C6867"/>
    <w:rsid w:val="25D14C3E"/>
    <w:rsid w:val="25E778B2"/>
    <w:rsid w:val="274C0980"/>
    <w:rsid w:val="28004472"/>
    <w:rsid w:val="289137E3"/>
    <w:rsid w:val="29A65A66"/>
    <w:rsid w:val="2A672F66"/>
    <w:rsid w:val="2A726815"/>
    <w:rsid w:val="2AB1374D"/>
    <w:rsid w:val="2BDE7E95"/>
    <w:rsid w:val="2C021B7A"/>
    <w:rsid w:val="2CF91DC1"/>
    <w:rsid w:val="2DC12CAF"/>
    <w:rsid w:val="2E6C4BE3"/>
    <w:rsid w:val="2E977E51"/>
    <w:rsid w:val="2FF659E2"/>
    <w:rsid w:val="30284BEE"/>
    <w:rsid w:val="303D7063"/>
    <w:rsid w:val="30C94FD6"/>
    <w:rsid w:val="30E0042B"/>
    <w:rsid w:val="31854B08"/>
    <w:rsid w:val="31857D98"/>
    <w:rsid w:val="31C53851"/>
    <w:rsid w:val="324918C0"/>
    <w:rsid w:val="324D2FFF"/>
    <w:rsid w:val="32E14C9D"/>
    <w:rsid w:val="32F8164D"/>
    <w:rsid w:val="333D2CD7"/>
    <w:rsid w:val="33D408DE"/>
    <w:rsid w:val="33DB2AA5"/>
    <w:rsid w:val="34464807"/>
    <w:rsid w:val="34543BB3"/>
    <w:rsid w:val="348E21FC"/>
    <w:rsid w:val="37636142"/>
    <w:rsid w:val="37A25CB0"/>
    <w:rsid w:val="39FB2D1B"/>
    <w:rsid w:val="3A383AD2"/>
    <w:rsid w:val="3A974A70"/>
    <w:rsid w:val="3A9C78C2"/>
    <w:rsid w:val="3B1D6AD4"/>
    <w:rsid w:val="3B3A04D7"/>
    <w:rsid w:val="3C1669F1"/>
    <w:rsid w:val="3C4A5509"/>
    <w:rsid w:val="3C6C65F3"/>
    <w:rsid w:val="3D3F730F"/>
    <w:rsid w:val="3F6B480E"/>
    <w:rsid w:val="3FCA3A1B"/>
    <w:rsid w:val="3FDA16F6"/>
    <w:rsid w:val="402E557B"/>
    <w:rsid w:val="40D36C8D"/>
    <w:rsid w:val="40F9320A"/>
    <w:rsid w:val="413670F9"/>
    <w:rsid w:val="41B25C37"/>
    <w:rsid w:val="41DF348F"/>
    <w:rsid w:val="43150272"/>
    <w:rsid w:val="43717A6D"/>
    <w:rsid w:val="43917411"/>
    <w:rsid w:val="43D24E65"/>
    <w:rsid w:val="43E96F11"/>
    <w:rsid w:val="43ED673B"/>
    <w:rsid w:val="440B258F"/>
    <w:rsid w:val="44B04574"/>
    <w:rsid w:val="44E8312C"/>
    <w:rsid w:val="454A62FC"/>
    <w:rsid w:val="45FE73E1"/>
    <w:rsid w:val="46367AC8"/>
    <w:rsid w:val="464B5240"/>
    <w:rsid w:val="4651018A"/>
    <w:rsid w:val="468E0697"/>
    <w:rsid w:val="47747C52"/>
    <w:rsid w:val="482C707A"/>
    <w:rsid w:val="484F34F6"/>
    <w:rsid w:val="48B21B12"/>
    <w:rsid w:val="48E563C1"/>
    <w:rsid w:val="48E92FAE"/>
    <w:rsid w:val="49263A69"/>
    <w:rsid w:val="49265872"/>
    <w:rsid w:val="49FB27B3"/>
    <w:rsid w:val="4A2D79D6"/>
    <w:rsid w:val="4B1C2E1E"/>
    <w:rsid w:val="4B6869C4"/>
    <w:rsid w:val="4BA05EE2"/>
    <w:rsid w:val="4BEB687C"/>
    <w:rsid w:val="4BF27AD6"/>
    <w:rsid w:val="4C3B1553"/>
    <w:rsid w:val="4C5B6984"/>
    <w:rsid w:val="4C6F02A5"/>
    <w:rsid w:val="4C7B51D3"/>
    <w:rsid w:val="4CE7247B"/>
    <w:rsid w:val="4CF6489B"/>
    <w:rsid w:val="4E331C7D"/>
    <w:rsid w:val="4E3D3B49"/>
    <w:rsid w:val="4E6E2F76"/>
    <w:rsid w:val="4EA65E4A"/>
    <w:rsid w:val="4ECB5840"/>
    <w:rsid w:val="504B1832"/>
    <w:rsid w:val="5091050E"/>
    <w:rsid w:val="510B4238"/>
    <w:rsid w:val="5185437F"/>
    <w:rsid w:val="51F04496"/>
    <w:rsid w:val="525C78F1"/>
    <w:rsid w:val="52BB667E"/>
    <w:rsid w:val="536F2F57"/>
    <w:rsid w:val="53995DA3"/>
    <w:rsid w:val="549A0845"/>
    <w:rsid w:val="55A4263D"/>
    <w:rsid w:val="56CD2C6A"/>
    <w:rsid w:val="56F95F22"/>
    <w:rsid w:val="57CA78C5"/>
    <w:rsid w:val="57CE4418"/>
    <w:rsid w:val="584349BA"/>
    <w:rsid w:val="5893730A"/>
    <w:rsid w:val="59914AA2"/>
    <w:rsid w:val="5A164CC4"/>
    <w:rsid w:val="5B764883"/>
    <w:rsid w:val="5BB43522"/>
    <w:rsid w:val="5BE3707C"/>
    <w:rsid w:val="5C094AC5"/>
    <w:rsid w:val="5C270878"/>
    <w:rsid w:val="5C917BB7"/>
    <w:rsid w:val="5CB345C5"/>
    <w:rsid w:val="5D412A95"/>
    <w:rsid w:val="5D4351F0"/>
    <w:rsid w:val="5DBB7989"/>
    <w:rsid w:val="5DEC3948"/>
    <w:rsid w:val="5E704321"/>
    <w:rsid w:val="5EE441EF"/>
    <w:rsid w:val="5F550024"/>
    <w:rsid w:val="5F8017E8"/>
    <w:rsid w:val="5F9575E1"/>
    <w:rsid w:val="5FA16F9B"/>
    <w:rsid w:val="5FE73FF8"/>
    <w:rsid w:val="5FE96583"/>
    <w:rsid w:val="5FFD5BB1"/>
    <w:rsid w:val="60D03134"/>
    <w:rsid w:val="611F147D"/>
    <w:rsid w:val="619A0DE8"/>
    <w:rsid w:val="62634EB5"/>
    <w:rsid w:val="62720F73"/>
    <w:rsid w:val="63A25F6F"/>
    <w:rsid w:val="63F269F3"/>
    <w:rsid w:val="640A6A24"/>
    <w:rsid w:val="64295FC9"/>
    <w:rsid w:val="64BF3C20"/>
    <w:rsid w:val="64C00E68"/>
    <w:rsid w:val="64D90751"/>
    <w:rsid w:val="64F94C0F"/>
    <w:rsid w:val="661D3984"/>
    <w:rsid w:val="66367C9B"/>
    <w:rsid w:val="669E51E5"/>
    <w:rsid w:val="67567E5D"/>
    <w:rsid w:val="675F487B"/>
    <w:rsid w:val="67D37FBF"/>
    <w:rsid w:val="68384241"/>
    <w:rsid w:val="69A46E50"/>
    <w:rsid w:val="6AAE10CB"/>
    <w:rsid w:val="6B6E7015"/>
    <w:rsid w:val="6B882E74"/>
    <w:rsid w:val="6BFA7C95"/>
    <w:rsid w:val="6C9B6ED7"/>
    <w:rsid w:val="6D401DE3"/>
    <w:rsid w:val="6D705932"/>
    <w:rsid w:val="6DD965B8"/>
    <w:rsid w:val="6E8000CE"/>
    <w:rsid w:val="6ECA658D"/>
    <w:rsid w:val="6F4363BF"/>
    <w:rsid w:val="6FC709B7"/>
    <w:rsid w:val="70840BE4"/>
    <w:rsid w:val="70EF633D"/>
    <w:rsid w:val="71E628B4"/>
    <w:rsid w:val="72252214"/>
    <w:rsid w:val="729B2AB5"/>
    <w:rsid w:val="73700A43"/>
    <w:rsid w:val="73A30FCD"/>
    <w:rsid w:val="74780329"/>
    <w:rsid w:val="749D0EDA"/>
    <w:rsid w:val="74C70120"/>
    <w:rsid w:val="75E6364B"/>
    <w:rsid w:val="76134F28"/>
    <w:rsid w:val="762D6E52"/>
    <w:rsid w:val="76E9210A"/>
    <w:rsid w:val="782952E9"/>
    <w:rsid w:val="79051CEA"/>
    <w:rsid w:val="793B0B72"/>
    <w:rsid w:val="7943591B"/>
    <w:rsid w:val="79EF39D3"/>
    <w:rsid w:val="7A3F3885"/>
    <w:rsid w:val="7A590157"/>
    <w:rsid w:val="7A925E2A"/>
    <w:rsid w:val="7B173F8B"/>
    <w:rsid w:val="7C057F0D"/>
    <w:rsid w:val="7C8103FD"/>
    <w:rsid w:val="7CB5606D"/>
    <w:rsid w:val="7D131CD0"/>
    <w:rsid w:val="7D501BA8"/>
    <w:rsid w:val="7D6B4B94"/>
    <w:rsid w:val="7DB5433B"/>
    <w:rsid w:val="7DCC0493"/>
    <w:rsid w:val="7EAF06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20</TotalTime>
  <ScaleCrop>false</ScaleCrop>
  <LinksUpToDate>false</LinksUpToDate>
  <CharactersWithSpaces>6762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Administrator</cp:lastModifiedBy>
  <cp:lastPrinted>2020-07-03T09:30:00Z</cp:lastPrinted>
  <dcterms:modified xsi:type="dcterms:W3CDTF">2020-08-29T01:31:06Z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