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20" w:lineRule="auto"/>
        <w:jc w:val="left"/>
        <w:rPr>
          <w:rFonts w:hint="default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附件2</w:t>
      </w:r>
    </w:p>
    <w:p>
      <w:pPr>
        <w:adjustRightInd w:val="0"/>
        <w:snapToGrid w:val="0"/>
        <w:spacing w:line="320" w:lineRule="auto"/>
        <w:jc w:val="center"/>
        <w:rPr>
          <w:rFonts w:hint="eastAsia" w:ascii="宋体" w:hAnsi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</w:rPr>
        <w:t>八、最终磋商报价书</w:t>
      </w:r>
    </w:p>
    <w:tbl>
      <w:tblPr>
        <w:tblStyle w:val="6"/>
        <w:tblW w:w="78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0"/>
        <w:gridCol w:w="5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9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cs="宋体"/>
                <w:color w:val="auto"/>
                <w:szCs w:val="21"/>
                <w:u w:val="single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项目名称</w:t>
            </w:r>
          </w:p>
        </w:tc>
        <w:tc>
          <w:tcPr>
            <w:tcW w:w="5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9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cs="宋体"/>
                <w:color w:val="auto"/>
                <w:szCs w:val="21"/>
                <w:u w:val="single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招标编号</w:t>
            </w:r>
          </w:p>
        </w:tc>
        <w:tc>
          <w:tcPr>
            <w:tcW w:w="5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9" w:hRule="atLeast"/>
          <w:jc w:val="center"/>
        </w:trPr>
        <w:tc>
          <w:tcPr>
            <w:tcW w:w="1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供应商全称</w:t>
            </w:r>
          </w:p>
        </w:tc>
        <w:tc>
          <w:tcPr>
            <w:tcW w:w="59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8" w:hRule="atLeast"/>
          <w:jc w:val="center"/>
        </w:trPr>
        <w:tc>
          <w:tcPr>
            <w:tcW w:w="1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投标报价（人民币）</w:t>
            </w:r>
          </w:p>
        </w:tc>
        <w:tc>
          <w:tcPr>
            <w:tcW w:w="59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ind w:right="-670"/>
              <w:rPr>
                <w:rFonts w:hint="eastAsia" w:ascii="宋体" w:hAnsi="宋体" w:eastAsia="宋体" w:cs="宋体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</w:rPr>
              <w:t>总报价大写：</w:t>
            </w:r>
            <w:r>
              <w:rPr>
                <w:rFonts w:hint="eastAsia" w:ascii="宋体" w:hAnsi="宋体" w:eastAsia="宋体" w:cs="宋体"/>
                <w:color w:val="auto"/>
                <w:u w:val="single"/>
              </w:rPr>
              <w:t xml:space="preserve">                                   </w:t>
            </w:r>
            <w:r>
              <w:rPr>
                <w:rFonts w:hint="eastAsia" w:ascii="宋体" w:hAnsi="宋体" w:eastAsia="宋体" w:cs="宋体"/>
                <w:color w:val="auto"/>
              </w:rPr>
              <w:t>元</w:t>
            </w:r>
          </w:p>
          <w:p>
            <w:pPr>
              <w:spacing w:line="440" w:lineRule="exact"/>
              <w:ind w:right="-670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</w:rPr>
              <w:t>总报价小写：</w:t>
            </w:r>
            <w:r>
              <w:rPr>
                <w:rFonts w:hint="eastAsia" w:ascii="宋体" w:hAnsi="宋体" w:eastAsia="宋体" w:cs="宋体"/>
                <w:color w:val="auto"/>
                <w:u w:val="single"/>
              </w:rPr>
              <w:t xml:space="preserve">                                   </w:t>
            </w:r>
            <w:r>
              <w:rPr>
                <w:rFonts w:hint="eastAsia" w:ascii="宋体" w:hAnsi="宋体" w:eastAsia="宋体" w:cs="宋体"/>
                <w:color w:val="auto"/>
              </w:rPr>
              <w:t xml:space="preserve">元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宋体" w:hAnsi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服务期</w:t>
            </w:r>
          </w:p>
        </w:tc>
        <w:tc>
          <w:tcPr>
            <w:tcW w:w="5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default"/>
                <w:color w:val="auto"/>
                <w:kern w:val="2"/>
                <w:sz w:val="21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45天</w:t>
            </w:r>
            <w:r>
              <w:rPr>
                <w:rFonts w:hint="eastAsia"/>
                <w:color w:val="auto"/>
                <w:kern w:val="2"/>
                <w:sz w:val="21"/>
                <w:lang w:val="en-US" w:eastAsia="zh-CN" w:bidi="ar-SA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宋体" w:hAnsi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  <w:t>质量要求</w:t>
            </w:r>
          </w:p>
        </w:tc>
        <w:tc>
          <w:tcPr>
            <w:tcW w:w="5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</w:rPr>
              <w:t>付款方式是否响应</w:t>
            </w:r>
          </w:p>
        </w:tc>
        <w:tc>
          <w:tcPr>
            <w:tcW w:w="5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宋体" w:hAnsi="宋体" w:cs="宋体"/>
                <w:color w:val="auto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备    注</w:t>
            </w:r>
          </w:p>
        </w:tc>
        <w:tc>
          <w:tcPr>
            <w:tcW w:w="5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20" w:lineRule="auto"/>
              <w:jc w:val="left"/>
              <w:rPr>
                <w:rFonts w:hint="eastAsia" w:ascii="宋体" w:hAnsi="宋体" w:cs="宋体"/>
                <w:b/>
                <w:color w:val="auto"/>
                <w:szCs w:val="21"/>
              </w:rPr>
            </w:pPr>
          </w:p>
        </w:tc>
      </w:tr>
    </w:tbl>
    <w:p>
      <w:pPr>
        <w:pStyle w:val="5"/>
        <w:adjustRightInd w:val="0"/>
        <w:snapToGrid w:val="0"/>
        <w:spacing w:line="320" w:lineRule="auto"/>
        <w:rPr>
          <w:rFonts w:hint="eastAsia" w:ascii="宋体" w:hAnsi="宋体" w:eastAsia="宋体" w:cs="宋体"/>
          <w:b w:val="0"/>
          <w:color w:val="auto"/>
          <w:sz w:val="21"/>
          <w:szCs w:val="21"/>
        </w:rPr>
      </w:pPr>
    </w:p>
    <w:p>
      <w:pPr>
        <w:pStyle w:val="5"/>
        <w:adjustRightInd w:val="0"/>
        <w:snapToGrid w:val="0"/>
        <w:spacing w:line="320" w:lineRule="auto"/>
        <w:rPr>
          <w:rFonts w:hint="eastAsia" w:ascii="宋体" w:hAnsi="宋体" w:eastAsia="宋体" w:cs="宋体"/>
          <w:b w:val="0"/>
          <w:color w:val="auto"/>
          <w:sz w:val="21"/>
          <w:szCs w:val="21"/>
          <w:u w:val="single"/>
        </w:rPr>
      </w:pPr>
      <w:r>
        <w:rPr>
          <w:rFonts w:hint="eastAsia" w:ascii="宋体" w:hAnsi="宋体" w:eastAsia="宋体" w:cs="宋体"/>
          <w:b w:val="0"/>
          <w:color w:val="auto"/>
          <w:sz w:val="21"/>
          <w:szCs w:val="21"/>
        </w:rPr>
        <w:t xml:space="preserve"> 法定代表人或其委托代理人(签字或盖法人印章)：</w:t>
      </w:r>
      <w:r>
        <w:rPr>
          <w:rFonts w:hint="eastAsia" w:ascii="宋体" w:hAnsi="宋体" w:eastAsia="宋体" w:cs="宋体"/>
          <w:b w:val="0"/>
          <w:color w:val="auto"/>
          <w:sz w:val="21"/>
          <w:szCs w:val="21"/>
          <w:u w:val="single"/>
        </w:rPr>
        <w:t xml:space="preserve">                    </w:t>
      </w:r>
    </w:p>
    <w:p>
      <w:pPr>
        <w:spacing w:line="440" w:lineRule="exact"/>
        <w:ind w:firstLine="315" w:firstLineChars="150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 xml:space="preserve">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315" w:firstLineChars="150"/>
        <w:jc w:val="left"/>
        <w:textAlignment w:val="auto"/>
        <w:rPr>
          <w:rFonts w:hint="eastAsia" w:ascii="宋体" w:hAnsi="宋体" w:cs="宋体"/>
          <w:color w:val="auto"/>
          <w:szCs w:val="21"/>
        </w:rPr>
      </w:pPr>
      <w:r>
        <w:rPr>
          <w:rFonts w:hint="eastAsia" w:ascii="宋体" w:hAnsi="宋体" w:cs="宋体"/>
          <w:color w:val="auto"/>
          <w:szCs w:val="21"/>
        </w:rPr>
        <w:t>备注：1、</w:t>
      </w:r>
      <w:r>
        <w:rPr>
          <w:rFonts w:hint="eastAsia" w:ascii="宋体" w:hAnsi="宋体" w:cs="宋体"/>
          <w:color w:val="auto"/>
          <w:szCs w:val="21"/>
          <w:lang w:val="zh-CN"/>
        </w:rPr>
        <w:t>磋商报价为供应商在竞争磋商文件中提出的各项支付金额的总和。包括本次磋商全部内容及人员工资、材料费、工具费、税费等所发生的所有费用</w:t>
      </w:r>
      <w:r>
        <w:rPr>
          <w:rFonts w:hint="eastAsia" w:ascii="宋体" w:hAnsi="宋体" w:cs="宋体"/>
          <w:color w:val="auto"/>
          <w:szCs w:val="21"/>
        </w:rPr>
        <w:t>等。成交人应向采购单位出具税务发票。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textAlignment w:val="auto"/>
        <w:rPr>
          <w:rFonts w:hint="eastAsia" w:ascii="宋体" w:hAnsi="宋体" w:eastAsia="宋体" w:cs="宋体"/>
          <w:b w:val="0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  </w:t>
      </w:r>
      <w:r>
        <w:rPr>
          <w:rFonts w:hint="eastAsia" w:ascii="宋体" w:hAnsi="宋体" w:eastAsia="宋体" w:cs="宋体"/>
          <w:b w:val="0"/>
          <w:bCs/>
          <w:color w:val="auto"/>
          <w:sz w:val="21"/>
          <w:szCs w:val="21"/>
        </w:rPr>
        <w:t>2、本《最终磋商报价书》中如存在大写金额与小写金额不一致的，供应商须以大写金额为准进行修正；总价金额与依据单价计算出的结果不一致的，须以单价金额为准进行修正，除单价金额小数点有明显错误。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22" w:firstLineChars="200"/>
        <w:jc w:val="left"/>
        <w:textAlignment w:val="auto"/>
        <w:rPr>
          <w:rFonts w:hint="eastAsia" w:ascii="宋体" w:hAnsi="宋体" w:cs="宋体"/>
          <w:b/>
          <w:color w:val="auto"/>
          <w:szCs w:val="21"/>
        </w:rPr>
      </w:pPr>
      <w:r>
        <w:rPr>
          <w:rFonts w:hint="eastAsia" w:ascii="宋体" w:hAnsi="宋体" w:cs="宋体"/>
          <w:b/>
          <w:color w:val="auto"/>
          <w:szCs w:val="21"/>
        </w:rPr>
        <w:t xml:space="preserve">   3、本项目为二轮报价，本《项目报价书》为第二轮报价，即最终报价，最终报价高于或等于第一轮报价的按无效磋商处理。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ind w:left="0" w:leftChars="0" w:firstLine="422" w:firstLineChars="200"/>
        <w:textAlignment w:val="auto"/>
        <w:rPr>
          <w:rFonts w:hint="eastAsia" w:ascii="宋体" w:hAnsi="宋体" w:eastAsia="宋体" w:cs="宋体"/>
          <w:b/>
          <w:bCs/>
          <w:color w:val="auto"/>
          <w:kern w:val="2"/>
          <w:sz w:val="21"/>
          <w:szCs w:val="21"/>
          <w:lang w:val="zh-CN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1"/>
          <w:szCs w:val="21"/>
          <w:lang w:val="zh-CN" w:eastAsia="zh-CN" w:bidi="ar-SA"/>
        </w:rPr>
        <w:t>注：</w:t>
      </w:r>
      <w:r>
        <w:rPr>
          <w:rFonts w:hint="eastAsia" w:ascii="宋体" w:hAnsi="宋体" w:eastAsia="宋体" w:cs="宋体"/>
          <w:b/>
          <w:bCs/>
          <w:color w:val="auto"/>
          <w:kern w:val="2"/>
          <w:sz w:val="21"/>
          <w:szCs w:val="21"/>
          <w:lang w:val="en-US" w:eastAsia="zh-CN" w:bidi="ar-SA"/>
        </w:rPr>
        <w:t>本页《最终磋商报价书》由供应商在谈判现场依谈判情况填写，请带至谈判现场备填。考虑谈判报价的方便，供应商在填写最终磋商报价书后，（第一次报价-最终磋商报价书）除以第一次报价后得出的优惠率视同为清单中全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auto"/>
          <w:kern w:val="2"/>
          <w:sz w:val="21"/>
          <w:szCs w:val="21"/>
          <w:lang w:val="en-US" w:eastAsia="zh-CN" w:bidi="ar-SA"/>
        </w:rPr>
        <w:t>部分项工程量的优惠浮动值（清单报价表中暂定价、固定价及预留金等已填充部分除外）。此优惠率调整原则适用于合同内价格的计算及项目增减、变更时价格的计算。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?">
    <w:altName w:val="宋体"/>
    <w:panose1 w:val="00000000000000000000"/>
    <w:charset w:val="81"/>
    <w:family w:val="roman"/>
    <w:pitch w:val="default"/>
    <w:sig w:usb0="00000000" w:usb1="00000000" w:usb2="00000010" w:usb3="00000000" w:csb0="0008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6966F8"/>
    <w:rsid w:val="64B07EC0"/>
    <w:rsid w:val="6E696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420" w:firstLine="420" w:firstLineChars="200"/>
    </w:pPr>
    <w:rPr>
      <w:rFonts w:ascii="Times New Roman" w:eastAsia="宋?"/>
    </w:rPr>
  </w:style>
  <w:style w:type="paragraph" w:styleId="3">
    <w:name w:val="Body Text Indent"/>
    <w:basedOn w:val="1"/>
    <w:next w:val="4"/>
    <w:uiPriority w:val="0"/>
    <w:pPr>
      <w:ind w:firstLine="645"/>
    </w:pPr>
    <w:rPr>
      <w:rFonts w:ascii="楷体_GB2312" w:hAnsi="Times New Roman" w:eastAsia="楷体_GB2312" w:cs="Times New Roman"/>
      <w:sz w:val="32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Body Text 2"/>
    <w:basedOn w:val="1"/>
    <w:uiPriority w:val="0"/>
    <w:rPr>
      <w:rFonts w:ascii="仿宋_GB2312" w:eastAsia="仿宋_GB2312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2020-08-22T02:16:00Z</dcterms:created>
  <dc:creator>NTKO</dc:creator>
  <cp:lastModifiedBy>有为</cp:lastModifiedBy>
  <dcterms:modified xsi:type="dcterms:W3CDTF">2020-08-22T04:44:57Z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