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6"/>
          <w:kern w:val="0"/>
          <w:sz w:val="32"/>
          <w:szCs w:val="32"/>
          <w:lang w:val="en-US" w:eastAsia="zh-CN"/>
        </w:rPr>
        <w:t>霍山县矿产资源开发有限责任公司洒水车采购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40"/>
          <w:kern w:val="0"/>
          <w:sz w:val="32"/>
          <w:szCs w:val="32"/>
          <w:lang w:eastAsia="zh-CN"/>
        </w:rPr>
        <w:t>DBSCG-2020-085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68"/>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102"/>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340"/>
          <w:kern w:val="0"/>
          <w:sz w:val="32"/>
          <w:szCs w:val="32"/>
          <w:u w:val="none"/>
        </w:rPr>
        <w:t>二0</w:t>
      </w:r>
      <w:r>
        <w:rPr>
          <w:rFonts w:hint="eastAsia" w:ascii="宋体" w:hAnsi="宋体" w:cs="宋体"/>
          <w:b/>
          <w:color w:val="auto"/>
          <w:spacing w:val="340"/>
          <w:kern w:val="0"/>
          <w:sz w:val="32"/>
          <w:szCs w:val="32"/>
          <w:u w:val="none"/>
          <w:lang w:val="en-US" w:eastAsia="zh-CN"/>
        </w:rPr>
        <w:t>二0</w:t>
      </w:r>
      <w:r>
        <w:rPr>
          <w:rFonts w:hint="eastAsia" w:ascii="宋体" w:hAnsi="宋体" w:eastAsia="宋体" w:cs="宋体"/>
          <w:b/>
          <w:color w:val="auto"/>
          <w:spacing w:val="340"/>
          <w:kern w:val="0"/>
          <w:sz w:val="32"/>
          <w:szCs w:val="32"/>
          <w:u w:val="none"/>
        </w:rPr>
        <w:t>年</w:t>
      </w:r>
      <w:r>
        <w:rPr>
          <w:rFonts w:hint="eastAsia" w:ascii="宋体" w:hAnsi="宋体" w:cs="宋体"/>
          <w:b/>
          <w:color w:val="auto"/>
          <w:spacing w:val="340"/>
          <w:kern w:val="0"/>
          <w:sz w:val="32"/>
          <w:szCs w:val="32"/>
          <w:u w:val="none"/>
          <w:lang w:eastAsia="zh-CN"/>
        </w:rPr>
        <w:t>八</w:t>
      </w:r>
      <w:r>
        <w:rPr>
          <w:rFonts w:hint="eastAsia" w:ascii="宋体" w:hAnsi="宋体" w:eastAsia="宋体" w:cs="宋体"/>
          <w:b/>
          <w:color w:val="auto"/>
          <w:spacing w:val="340"/>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bookmarkStart w:id="3" w:name="_Toc14824_WPSOffice_Level1Page"/>
      <w:r>
        <w:rPr>
          <w:rFonts w:hint="eastAsia" w:ascii="宋体" w:hAnsi="宋体" w:eastAsia="宋体" w:cs="宋体"/>
          <w:b/>
          <w:bCs/>
          <w:color w:val="auto"/>
          <w:sz w:val="28"/>
          <w:szCs w:val="28"/>
        </w:rPr>
        <w:t>3</w:t>
      </w:r>
      <w:bookmarkEnd w:id="3"/>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5</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0</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4" w:name="_Toc16484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5" w:name="_Toc4288_WPSOffice_Level1Page"/>
      <w:r>
        <w:rPr>
          <w:rFonts w:hint="eastAsia" w:ascii="宋体" w:hAnsi="宋体" w:eastAsia="宋体" w:cs="宋体"/>
          <w:b/>
          <w:bCs/>
          <w:color w:val="auto"/>
          <w:sz w:val="28"/>
          <w:szCs w:val="28"/>
        </w:rPr>
        <w:t>1</w:t>
      </w:r>
      <w:bookmarkEnd w:id="5"/>
      <w:r>
        <w:rPr>
          <w:rFonts w:hint="eastAsia" w:ascii="宋体" w:hAnsi="宋体" w:cs="宋体"/>
          <w:b/>
          <w:bCs/>
          <w:color w:val="auto"/>
          <w:sz w:val="28"/>
          <w:szCs w:val="28"/>
          <w:lang w:val="en-US" w:eastAsia="zh-CN"/>
        </w:rPr>
        <w:t>3</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DBSCG-2020-085霍山县矿产资源开发有限责任公司洒水车采购 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b/>
          <w:bCs/>
          <w:color w:val="auto"/>
          <w:kern w:val="2"/>
          <w:sz w:val="21"/>
          <w:szCs w:val="21"/>
          <w:u w:val="single"/>
          <w:lang w:val="en-US" w:eastAsia="zh-CN" w:bidi="ar-SA"/>
        </w:rPr>
        <w:t>霍山县矿产资源开发有限责任公司洒水车采购项目</w:t>
      </w:r>
      <w:r>
        <w:rPr>
          <w:rFonts w:hint="eastAsia" w:ascii="宋体" w:hAnsi="宋体" w:eastAsia="宋体" w:cs="宋体"/>
          <w:color w:val="auto"/>
          <w:kern w:val="2"/>
          <w:sz w:val="21"/>
          <w:szCs w:val="21"/>
          <w:lang w:val="en-US" w:eastAsia="zh-CN" w:bidi="ar-SA"/>
        </w:rPr>
        <w:t>经</w:t>
      </w:r>
      <w:r>
        <w:rPr>
          <w:rFonts w:hint="eastAsia" w:ascii="宋体" w:hAnsi="宋体" w:cs="宋体"/>
          <w:b/>
          <w:bCs/>
          <w:color w:val="auto"/>
          <w:kern w:val="2"/>
          <w:sz w:val="21"/>
          <w:szCs w:val="21"/>
          <w:u w:val="single"/>
          <w:lang w:val="en-US" w:eastAsia="zh-CN" w:bidi="ar-SA"/>
        </w:rPr>
        <w:t>安徽大别山国投集团</w:t>
      </w:r>
      <w:r>
        <w:rPr>
          <w:rFonts w:hint="eastAsia" w:ascii="宋体" w:hAnsi="宋体" w:cs="宋体"/>
          <w:color w:val="auto"/>
          <w:kern w:val="2"/>
          <w:sz w:val="21"/>
          <w:szCs w:val="21"/>
          <w:lang w:val="en-US" w:eastAsia="zh-CN" w:bidi="ar-SA"/>
        </w:rPr>
        <w:t>审批，</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霍山县矿产资源开发有限责任公司洒水车采购项目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霍山县矿产资源开发有限责任公司洒水车采购项目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DBSCG-2020-085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20.3万元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7、最高限价：20.3万元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9、项目概况：采购</w:t>
      </w:r>
      <w:r>
        <w:rPr>
          <w:rFonts w:hint="eastAsia" w:ascii="宋体" w:hAnsi="宋体" w:cs="宋体"/>
          <w:i w:val="0"/>
          <w:caps w:val="0"/>
          <w:color w:val="auto"/>
          <w:spacing w:val="0"/>
          <w:sz w:val="21"/>
          <w:szCs w:val="21"/>
          <w:highlight w:val="none"/>
          <w:shd w:val="clear" w:color="auto" w:fill="FFFFFF"/>
          <w:lang w:val="en-US" w:eastAsia="zh-CN"/>
        </w:rPr>
        <w:t>洒水车一辆。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8月4日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8月7日15时00分。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8</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7</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18356090570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肆仟元整(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4000.00元)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8月4日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w:t>
            </w:r>
            <w:r>
              <w:rPr>
                <w:rFonts w:hint="default" w:ascii="宋体" w:hAnsi="宋体" w:cs="宋体"/>
                <w:i w:val="0"/>
                <w:caps w:val="0"/>
                <w:color w:val="auto"/>
                <w:spacing w:val="0"/>
                <w:sz w:val="21"/>
                <w:szCs w:val="21"/>
                <w:highlight w:val="none"/>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18356090570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i w:val="0"/>
                <w:caps w:val="0"/>
                <w:color w:val="auto"/>
                <w:spacing w:val="0"/>
                <w:kern w:val="0"/>
                <w:sz w:val="21"/>
                <w:szCs w:val="21"/>
                <w:highlight w:val="none"/>
                <w:shd w:val="clear" w:color="auto" w:fill="FFFFFF"/>
                <w:lang w:val="en-US" w:eastAsia="zh-CN" w:bidi="ar"/>
              </w:rPr>
              <w:t>霍山县矿产资源开发有限责任公司洒水车采购项目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DBSCG-</w:t>
            </w:r>
            <w:r>
              <w:rPr>
                <w:rFonts w:hint="eastAsia" w:cs="宋体"/>
                <w:b w:val="0"/>
                <w:bCs w:val="0"/>
                <w:color w:val="auto"/>
                <w:spacing w:val="0"/>
                <w:kern w:val="2"/>
                <w:sz w:val="21"/>
                <w:szCs w:val="21"/>
                <w:highlight w:val="none"/>
                <w:lang w:val="en-US" w:eastAsia="zh-CN" w:bidi="ar-SA"/>
              </w:rPr>
              <w:t>2020-085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贰拾万零叁仟元整</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203000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中标之日起七天内完成供货</w:t>
            </w:r>
            <w:r>
              <w:rPr>
                <w:rFonts w:hint="eastAsia" w:ascii="宋体" w:hAnsi="宋体" w:cs="宋体"/>
                <w:b w:val="0"/>
                <w:bCs w:val="0"/>
                <w:color w:val="auto"/>
                <w:spacing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zh-CN" w:eastAsia="zh-CN"/>
              </w:rPr>
              <w:t>验收合格之日起</w:t>
            </w:r>
            <w:r>
              <w:rPr>
                <w:rFonts w:hint="eastAsia" w:ascii="宋体" w:hAnsi="宋体" w:cs="宋体"/>
                <w:b w:val="0"/>
                <w:bCs w:val="0"/>
                <w:color w:val="auto"/>
                <w:spacing w:val="0"/>
                <w:szCs w:val="21"/>
                <w:highlight w:val="none"/>
                <w:lang w:val="en-US" w:eastAsia="zh-CN"/>
              </w:rPr>
              <w:t>3</w:t>
            </w:r>
            <w:r>
              <w:rPr>
                <w:rFonts w:hint="eastAsia" w:ascii="宋体" w:hAnsi="宋体" w:cs="宋体"/>
                <w:b w:val="0"/>
                <w:bCs w:val="0"/>
                <w:color w:val="auto"/>
                <w:spacing w:val="0"/>
                <w:szCs w:val="21"/>
                <w:highlight w:val="none"/>
                <w:lang w:val="zh-CN" w:eastAsia="zh-CN"/>
              </w:rPr>
              <w:t>年或</w:t>
            </w:r>
            <w:r>
              <w:rPr>
                <w:rFonts w:hint="eastAsia" w:ascii="宋体" w:hAnsi="宋体" w:cs="宋体"/>
                <w:b w:val="0"/>
                <w:bCs w:val="0"/>
                <w:color w:val="auto"/>
                <w:spacing w:val="0"/>
                <w:szCs w:val="21"/>
                <w:highlight w:val="none"/>
                <w:lang w:val="en-US" w:eastAsia="zh-CN"/>
              </w:rPr>
              <w:t>10万公里</w:t>
            </w:r>
            <w:r>
              <w:rPr>
                <w:rFonts w:hint="eastAsia" w:ascii="宋体" w:hAnsi="宋体" w:cs="宋体"/>
                <w:b w:val="0"/>
                <w:bCs w:val="0"/>
                <w:color w:val="auto"/>
                <w:spacing w:val="0"/>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5</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eastAsia="宋体" w:cs="宋体"/>
                <w:color w:val="auto"/>
                <w:spacing w:val="0"/>
                <w:sz w:val="21"/>
                <w:szCs w:val="21"/>
                <w:highlight w:val="none"/>
                <w:shd w:val="clear" w:color="auto" w:fill="FFFFFF"/>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cs="宋体"/>
                <w:b/>
                <w:bCs/>
                <w:color w:val="auto"/>
                <w:spacing w:val="0"/>
                <w:highlight w:val="none"/>
              </w:rPr>
              <w:t>原件现场查验</w:t>
            </w:r>
            <w:r>
              <w:rPr>
                <w:rFonts w:hint="eastAsia" w:ascii="宋体" w:hAnsi="宋体" w:cs="宋体"/>
                <w:color w:val="auto"/>
                <w:spacing w:val="0"/>
                <w:highlight w:val="none"/>
              </w:rPr>
              <w:t>：</w:t>
            </w:r>
            <w:r>
              <w:rPr>
                <w:rFonts w:hint="eastAsia" w:ascii="宋体" w:hAnsi="宋体" w:cs="宋体"/>
                <w:b/>
                <w:bCs/>
                <w:color w:val="auto"/>
                <w:spacing w:val="0"/>
                <w:szCs w:val="22"/>
                <w:highlight w:val="none"/>
                <w:lang w:val="en-US" w:eastAsia="zh-CN"/>
              </w:rPr>
              <w:t>法人身份证明和法人身份证原件或</w:t>
            </w:r>
            <w:r>
              <w:rPr>
                <w:rFonts w:hint="eastAsia" w:ascii="宋体" w:hAnsi="宋体" w:cs="宋体"/>
                <w:b/>
                <w:bCs/>
                <w:color w:val="auto"/>
                <w:spacing w:val="0"/>
                <w:szCs w:val="22"/>
                <w:highlight w:val="none"/>
              </w:rPr>
              <w:t>授权委托代理人身份证和授权委托书原件、</w:t>
            </w:r>
            <w:r>
              <w:rPr>
                <w:rFonts w:hint="eastAsia" w:ascii="宋体" w:hAnsi="宋体" w:cs="宋体"/>
                <w:b/>
                <w:bCs/>
                <w:color w:val="auto"/>
                <w:spacing w:val="0"/>
                <w:szCs w:val="22"/>
                <w:highlight w:val="none"/>
                <w:lang w:val="en-US" w:eastAsia="zh-CN"/>
              </w:rPr>
              <w:t>保证金进账单</w:t>
            </w:r>
            <w:r>
              <w:rPr>
                <w:rFonts w:hint="eastAsia" w:ascii="宋体" w:hAnsi="宋体" w:cs="宋体"/>
                <w:color w:val="auto"/>
                <w:spacing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highlight w:val="none"/>
                <w:lang w:val="en-US"/>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auto"/>
                <w:spacing w:val="0"/>
                <w:highlight w:val="none"/>
                <w:lang w:val="en-US" w:eastAsia="zh-CN"/>
              </w:rPr>
              <w:t>供应商</w:t>
            </w:r>
            <w:r>
              <w:rPr>
                <w:rFonts w:hint="eastAsia" w:ascii="宋体" w:hAnsi="宋体" w:eastAsia="宋体" w:cs="宋体"/>
                <w:b/>
                <w:bCs/>
                <w:color w:val="auto"/>
                <w:spacing w:val="0"/>
                <w:highlight w:val="none"/>
                <w:lang w:val="en-US" w:eastAsia="zh-CN"/>
              </w:rPr>
              <w:t>中标后在领取成交通知书前缴纳中标（成交）价1.5%的采购代理服务费</w:t>
            </w:r>
            <w:r>
              <w:rPr>
                <w:rFonts w:hint="eastAsia" w:ascii="宋体" w:hAnsi="宋体" w:cs="宋体"/>
                <w:b/>
                <w:bCs/>
                <w:color w:val="auto"/>
                <w:spacing w:val="0"/>
                <w:highlight w:val="none"/>
                <w:lang w:val="en-US" w:eastAsia="zh-CN"/>
              </w:rPr>
              <w:t>，不足1000元缴纳1000元。</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438648662"/>
      <w:bookmarkStart w:id="15" w:name="_Toc12806"/>
      <w:bookmarkStart w:id="16"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numPr>
          <w:numId w:val="0"/>
        </w:numPr>
        <w:rPr>
          <w:rFonts w:hint="eastAsia"/>
        </w:rPr>
      </w:pPr>
    </w:p>
    <w:tbl>
      <w:tblPr>
        <w:tblStyle w:val="17"/>
        <w:tblW w:w="0" w:type="auto"/>
        <w:jc w:val="center"/>
        <w:tblLayout w:type="autofit"/>
        <w:tblCellMar>
          <w:top w:w="0" w:type="dxa"/>
          <w:left w:w="10" w:type="dxa"/>
          <w:bottom w:w="0" w:type="dxa"/>
          <w:right w:w="10" w:type="dxa"/>
        </w:tblCellMar>
      </w:tblPr>
      <w:tblGrid>
        <w:gridCol w:w="736"/>
        <w:gridCol w:w="3250"/>
        <w:gridCol w:w="4536"/>
      </w:tblGrid>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序号</w:t>
            </w:r>
          </w:p>
        </w:tc>
        <w:tc>
          <w:tcPr>
            <w:tcW w:w="7786"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技术参数要求</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7786"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★整车必须</w:t>
            </w:r>
            <w:r>
              <w:rPr>
                <w:rFonts w:hint="eastAsia" w:ascii="Times New Roman" w:hAnsi="Times New Roman" w:eastAsia="宋体" w:cs="Times New Roman"/>
                <w:color w:val="000000"/>
                <w:sz w:val="24"/>
                <w:szCs w:val="24"/>
                <w:lang w:val="en-US" w:eastAsia="zh-CN"/>
              </w:rPr>
              <w:t>具有</w:t>
            </w:r>
            <w:r>
              <w:rPr>
                <w:rFonts w:hint="default" w:ascii="Times New Roman" w:hAnsi="Times New Roman" w:eastAsia="宋体" w:cs="Times New Roman"/>
                <w:color w:val="000000"/>
                <w:sz w:val="24"/>
                <w:szCs w:val="24"/>
              </w:rPr>
              <w:t>国家工信部公告，投标车辆参数以公告参数为准（投标时附公告查询截图盖公章），具备免征、环保公告，能够按国家相关规定合法上牌。</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★总质量(Kg)</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1</w:t>
            </w:r>
            <w:r>
              <w:rPr>
                <w:rFonts w:hint="eastAsia" w:ascii="Times New Roman" w:hAnsi="Times New Roman" w:eastAsia="宋体" w:cs="Times New Roman"/>
                <w:color w:val="000000"/>
                <w:sz w:val="24"/>
                <w:szCs w:val="24"/>
                <w:lang w:val="en-US" w:eastAsia="zh-CN"/>
              </w:rPr>
              <w:t>8000</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★额定载质量(Kg)</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000000"/>
                <w:sz w:val="24"/>
                <w:szCs w:val="24"/>
                <w:lang w:val="en-US" w:eastAsia="zh-CN"/>
              </w:rPr>
              <w:t>≤10965</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★整备质量(Kg)</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000000"/>
                <w:sz w:val="24"/>
                <w:szCs w:val="24"/>
                <w:lang w:val="en-US" w:eastAsia="zh-CN"/>
              </w:rPr>
              <w:t>≤6840</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整车</w:t>
            </w:r>
            <w:r>
              <w:rPr>
                <w:rFonts w:hint="default" w:ascii="Times New Roman" w:hAnsi="Times New Roman" w:eastAsia="宋体" w:cs="Times New Roman"/>
                <w:color w:val="000000"/>
                <w:sz w:val="24"/>
                <w:szCs w:val="24"/>
              </w:rPr>
              <w:t>外形尺寸(mm)</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7</w:t>
            </w:r>
            <w:r>
              <w:rPr>
                <w:rFonts w:hint="eastAsia" w:ascii="Times New Roman" w:hAnsi="Times New Roman" w:eastAsia="宋体" w:cs="Times New Roman"/>
                <w:color w:val="000000"/>
                <w:sz w:val="24"/>
                <w:szCs w:val="24"/>
                <w:lang w:val="en-US" w:eastAsia="zh-CN"/>
              </w:rPr>
              <w:t>770×2500×3300</w:t>
            </w:r>
            <w:r>
              <w:rPr>
                <w:rFonts w:hint="default" w:ascii="Times New Roman" w:hAnsi="Times New Roman" w:eastAsia="宋体" w:cs="Times New Roman"/>
                <w:color w:val="000000"/>
                <w:sz w:val="24"/>
                <w:szCs w:val="24"/>
              </w:rPr>
              <w:t>（±10）</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6</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★罐体外形尺寸(长×长轴×</w:t>
            </w:r>
          </w:p>
          <w:p>
            <w:pPr>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短轴)(mm)</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4</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00</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23</w:t>
            </w:r>
            <w:r>
              <w:rPr>
                <w:rFonts w:hint="eastAsia" w:ascii="Times New Roman" w:hAnsi="Times New Roman" w:eastAsia="宋体" w:cs="Times New Roman"/>
                <w:color w:val="000000"/>
                <w:sz w:val="24"/>
                <w:szCs w:val="24"/>
                <w:lang w:val="en-US" w:eastAsia="zh-CN"/>
              </w:rPr>
              <w:t>8</w:t>
            </w:r>
            <w:r>
              <w:rPr>
                <w:rFonts w:hint="default" w:ascii="Times New Roman" w:hAnsi="Times New Roman" w:eastAsia="宋体" w:cs="Times New Roman"/>
                <w:color w:val="000000"/>
                <w:sz w:val="24"/>
                <w:szCs w:val="24"/>
              </w:rPr>
              <w:t>0</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15</w:t>
            </w:r>
            <w:r>
              <w:rPr>
                <w:rFonts w:hint="eastAsia" w:ascii="Times New Roman" w:hAnsi="Times New Roman" w:eastAsia="宋体" w:cs="Times New Roman"/>
                <w:color w:val="000000"/>
                <w:sz w:val="24"/>
                <w:szCs w:val="24"/>
                <w:lang w:val="en-US" w:eastAsia="zh-CN"/>
              </w:rPr>
              <w:t>40</w:t>
            </w:r>
            <w:r>
              <w:rPr>
                <w:rFonts w:hint="default" w:ascii="Times New Roman" w:hAnsi="Times New Roman" w:eastAsia="宋体" w:cs="Times New Roman"/>
                <w:color w:val="000000"/>
                <w:sz w:val="24"/>
                <w:szCs w:val="24"/>
              </w:rPr>
              <w:t>（±10）</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★接近角/离去角(°)</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color w:val="000000"/>
                <w:sz w:val="24"/>
                <w:szCs w:val="24"/>
                <w:lang w:val="en-US" w:eastAsia="zh-CN"/>
              </w:rPr>
              <w:t>≤19</w:t>
            </w:r>
            <w:r>
              <w:rPr>
                <w:rFonts w:hint="default" w:ascii="Times New Roman" w:hAnsi="Times New Roman" w:eastAsia="宋体" w:cs="Times New Roman"/>
                <w:color w:val="000000"/>
                <w:sz w:val="24"/>
                <w:szCs w:val="24"/>
              </w:rPr>
              <w:t>/1</w:t>
            </w:r>
            <w:r>
              <w:rPr>
                <w:rFonts w:hint="eastAsia" w:ascii="Times New Roman" w:hAnsi="Times New Roman" w:eastAsia="宋体" w:cs="Times New Roman"/>
                <w:color w:val="000000"/>
                <w:sz w:val="24"/>
                <w:szCs w:val="24"/>
                <w:lang w:val="en-US" w:eastAsia="zh-CN"/>
              </w:rPr>
              <w:t>2</w:t>
            </w:r>
          </w:p>
        </w:tc>
      </w:tr>
      <w:tr>
        <w:tblPrEx>
          <w:tblCellMar>
            <w:top w:w="0" w:type="dxa"/>
            <w:left w:w="10" w:type="dxa"/>
            <w:bottom w:w="0" w:type="dxa"/>
            <w:right w:w="10" w:type="dxa"/>
          </w:tblCellMar>
        </w:tblPrEx>
        <w:trPr>
          <w:trHeight w:val="286"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8</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★排放标准</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国六</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9</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罐体公告容积m³</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≥11.5</w:t>
            </w:r>
          </w:p>
        </w:tc>
      </w:tr>
      <w:tr>
        <w:tblPrEx>
          <w:tblCellMar>
            <w:top w:w="0" w:type="dxa"/>
            <w:left w:w="10" w:type="dxa"/>
            <w:bottom w:w="0" w:type="dxa"/>
            <w:right w:w="10" w:type="dxa"/>
          </w:tblCellMar>
        </w:tblPrEx>
        <w:trPr>
          <w:jc w:val="center"/>
        </w:trPr>
        <w:tc>
          <w:tcPr>
            <w:tcW w:w="7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rPr>
              <w:t>1</w:t>
            </w:r>
            <w:r>
              <w:rPr>
                <w:rFonts w:hint="eastAsia" w:ascii="Times New Roman" w:hAnsi="Times New Roman" w:eastAsia="宋体" w:cs="Times New Roman"/>
                <w:color w:val="000000"/>
                <w:sz w:val="24"/>
                <w:szCs w:val="24"/>
                <w:lang w:val="en-US" w:eastAsia="zh-CN"/>
              </w:rPr>
              <w:t>0</w:t>
            </w:r>
          </w:p>
        </w:tc>
        <w:tc>
          <w:tcPr>
            <w:tcW w:w="32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★车辆功能</w:t>
            </w:r>
          </w:p>
        </w:tc>
        <w:tc>
          <w:tcPr>
            <w:tcW w:w="4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带前冲、后洒、侧喷、洒水高炮：</w:t>
            </w:r>
          </w:p>
          <w:p>
            <w:pPr>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1、前冲：利用前部喷嘴将混凝土或沥清路面上的渣滓</w:t>
            </w:r>
            <w:r>
              <w:rPr>
                <w:rFonts w:hint="eastAsia" w:ascii="Times New Roman" w:hAnsi="Times New Roman" w:eastAsia="宋体" w:cs="Times New Roman"/>
                <w:sz w:val="24"/>
                <w:szCs w:val="24"/>
                <w:lang w:val="en-US" w:eastAsia="zh-CN"/>
              </w:rPr>
              <w:t>冲洗干净</w:t>
            </w:r>
            <w:r>
              <w:rPr>
                <w:rFonts w:hint="default" w:ascii="Times New Roman" w:hAnsi="Times New Roman" w:eastAsia="宋体" w:cs="Times New Roman"/>
                <w:sz w:val="24"/>
                <w:szCs w:val="24"/>
              </w:rPr>
              <w:t>，清洗路面</w:t>
            </w:r>
            <w:r>
              <w:rPr>
                <w:rFonts w:hint="eastAsia" w:ascii="Times New Roman" w:hAnsi="Times New Roman" w:eastAsia="宋体" w:cs="Times New Roman"/>
                <w:sz w:val="24"/>
                <w:szCs w:val="24"/>
                <w:lang w:eastAsia="zh-CN"/>
              </w:rPr>
              <w:t>。</w:t>
            </w:r>
          </w:p>
          <w:p>
            <w:pPr>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2、后洒：利用装于车后部的两个喷嘴将水喷成均匀的扇表形面,向路面洒水</w:t>
            </w:r>
            <w:r>
              <w:rPr>
                <w:rFonts w:hint="eastAsia" w:ascii="Times New Roman" w:hAnsi="Times New Roman" w:eastAsia="宋体" w:cs="Times New Roman"/>
                <w:sz w:val="24"/>
                <w:szCs w:val="24"/>
                <w:lang w:eastAsia="zh-CN"/>
              </w:rPr>
              <w:t>。</w:t>
            </w:r>
          </w:p>
          <w:p>
            <w:pPr>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3、侧喷：利用装于车后部的喷嘴向两侧喷水</w:t>
            </w:r>
            <w:r>
              <w:rPr>
                <w:rFonts w:hint="eastAsia" w:ascii="Times New Roman" w:hAnsi="Times New Roman" w:eastAsia="宋体" w:cs="Times New Roman"/>
                <w:sz w:val="24"/>
                <w:szCs w:val="24"/>
                <w:lang w:eastAsia="zh-CN"/>
              </w:rPr>
              <w:t>。</w:t>
            </w:r>
          </w:p>
          <w:p>
            <w:pPr>
              <w:jc w:val="left"/>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4、高炮：利用装于车后部平台的洒水炮将水喷射出去，用于绿化浇水或</w:t>
            </w:r>
            <w:r>
              <w:rPr>
                <w:rFonts w:hint="eastAsia" w:ascii="Times New Roman" w:hAnsi="Times New Roman" w:eastAsia="宋体" w:cs="Times New Roman"/>
                <w:sz w:val="24"/>
                <w:szCs w:val="24"/>
                <w:lang w:val="en-US" w:eastAsia="zh-CN"/>
              </w:rPr>
              <w:t>应急消防。</w:t>
            </w:r>
          </w:p>
        </w:tc>
      </w:tr>
    </w:tbl>
    <w:p>
      <w:pPr>
        <w:numPr>
          <w:ilvl w:val="0"/>
          <w:numId w:val="0"/>
        </w:numPr>
        <w:ind w:firstLine="420" w:firstLineChars="200"/>
        <w:jc w:val="both"/>
        <w:outlineLvl w:val="0"/>
        <w:rPr>
          <w:rFonts w:hint="eastAsia"/>
          <w:color w:val="auto"/>
          <w:sz w:val="21"/>
          <w:szCs w:val="21"/>
        </w:rPr>
      </w:pP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7" w:name="_Toc22507"/>
      <w:bookmarkStart w:id="38" w:name="_Toc5486"/>
      <w:bookmarkStart w:id="39" w:name="_Toc2011"/>
      <w:bookmarkStart w:id="40" w:name="_Toc3470"/>
      <w:bookmarkStart w:id="41" w:name="_Toc11313"/>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bookmarkStart w:id="107" w:name="_GoBack"/>
      <w:bookmarkEnd w:id="107"/>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7"/>
      <w:bookmarkEnd w:id="38"/>
      <w:bookmarkEnd w:id="39"/>
      <w:bookmarkEnd w:id="40"/>
      <w:bookmarkEnd w:id="41"/>
    </w:p>
    <w:p>
      <w:pPr>
        <w:numPr>
          <w:ilvl w:val="0"/>
          <w:numId w:val="0"/>
        </w:numPr>
        <w:ind w:firstLine="422" w:firstLineChars="200"/>
        <w:jc w:val="both"/>
        <w:outlineLvl w:val="0"/>
        <w:rPr>
          <w:rFonts w:hint="default" w:asciiTheme="majorEastAsia" w:hAnsiTheme="majorEastAsia" w:eastAsiaTheme="majorEastAsia" w:cstheme="majorEastAsia"/>
          <w:b/>
          <w:bCs/>
          <w:color w:val="auto"/>
          <w:sz w:val="21"/>
          <w:szCs w:val="21"/>
          <w:lang w:val="en-US" w:eastAsia="zh-CN"/>
        </w:rPr>
      </w:pPr>
      <w:r>
        <w:rPr>
          <w:rFonts w:hint="eastAsia" w:asciiTheme="majorEastAsia" w:hAnsiTheme="majorEastAsia" w:eastAsiaTheme="majorEastAsia" w:cstheme="majorEastAsia"/>
          <w:b/>
          <w:bCs/>
          <w:color w:val="auto"/>
          <w:sz w:val="21"/>
          <w:szCs w:val="21"/>
          <w:lang w:val="en-US" w:eastAsia="zh-CN"/>
        </w:rPr>
        <w:t>3、以上参数为车辆基本参数，必须完全满足或者优于（优于需提供相关证明材料），否则视为无效投标处理。</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4</w:t>
      </w:r>
      <w:r>
        <w:rPr>
          <w:rFonts w:hint="eastAsia" w:asciiTheme="majorEastAsia" w:hAnsiTheme="majorEastAsia" w:eastAsiaTheme="majorEastAsia" w:cstheme="majorEastAsia"/>
          <w:b/>
          <w:bCs/>
          <w:color w:val="auto"/>
          <w:sz w:val="21"/>
          <w:szCs w:val="21"/>
        </w:rPr>
        <w:t>、为保证车辆质量以及售后服务，需提供投标车辆制造商针对本项目的售后服务承诺，并加盖章制造商公章，否则视为无效投标处理。</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5</w:t>
      </w:r>
      <w:r>
        <w:rPr>
          <w:rFonts w:hint="eastAsia" w:asciiTheme="majorEastAsia" w:hAnsiTheme="majorEastAsia" w:eastAsiaTheme="majorEastAsia" w:cstheme="majorEastAsia"/>
          <w:b/>
          <w:bCs/>
          <w:color w:val="auto"/>
          <w:sz w:val="21"/>
          <w:szCs w:val="21"/>
        </w:rPr>
        <w:t>、</w:t>
      </w:r>
      <w:r>
        <w:rPr>
          <w:rFonts w:hint="eastAsia" w:asciiTheme="majorEastAsia" w:hAnsiTheme="majorEastAsia" w:eastAsiaTheme="majorEastAsia" w:cstheme="majorEastAsia"/>
          <w:b/>
          <w:bCs/>
          <w:color w:val="auto"/>
          <w:sz w:val="21"/>
          <w:szCs w:val="21"/>
          <w:lang w:eastAsia="zh-CN"/>
        </w:rPr>
        <w:t>供应商</w:t>
      </w:r>
      <w:r>
        <w:rPr>
          <w:rFonts w:hint="eastAsia" w:asciiTheme="majorEastAsia" w:hAnsiTheme="majorEastAsia" w:eastAsiaTheme="majorEastAsia" w:cstheme="majorEastAsia"/>
          <w:b/>
          <w:bCs/>
          <w:color w:val="auto"/>
          <w:sz w:val="21"/>
          <w:szCs w:val="21"/>
        </w:rPr>
        <w:t>应提供车辆证明资料(如产品公告、彩页或相片、相关国家权威部门出具的证明材料等)，并加盖制造商公章，否则视为负偏离或不满足</w:t>
      </w:r>
      <w:r>
        <w:rPr>
          <w:rFonts w:hint="eastAsia" w:asciiTheme="majorEastAsia" w:hAnsiTheme="majorEastAsia" w:eastAsiaTheme="majorEastAsia" w:cstheme="majorEastAsia"/>
          <w:b/>
          <w:bCs/>
          <w:color w:val="auto"/>
          <w:sz w:val="21"/>
          <w:szCs w:val="21"/>
          <w:lang w:eastAsia="zh-CN"/>
        </w:rPr>
        <w:t>询价</w:t>
      </w:r>
      <w:r>
        <w:rPr>
          <w:rFonts w:hint="eastAsia" w:asciiTheme="majorEastAsia" w:hAnsiTheme="majorEastAsia" w:eastAsiaTheme="majorEastAsia" w:cstheme="majorEastAsia"/>
          <w:b/>
          <w:bCs/>
          <w:color w:val="auto"/>
          <w:sz w:val="21"/>
          <w:szCs w:val="21"/>
        </w:rPr>
        <w:t>文件技术要求。</w:t>
      </w:r>
    </w:p>
    <w:p>
      <w:pPr>
        <w:pStyle w:val="2"/>
        <w:rPr>
          <w:rFonts w:hint="eastAsia"/>
        </w:rPr>
      </w:pP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2" w:name="_Toc4288_WPSOffice_Level1"/>
      <w:bookmarkStart w:id="43"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4"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2"/>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2"/>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p>
    <w:p>
      <w:pPr>
        <w:jc w:val="center"/>
        <w:rPr>
          <w:rFonts w:hint="eastAsia"/>
          <w:b/>
          <w:bCs/>
          <w:color w:val="auto"/>
          <w:sz w:val="28"/>
          <w:szCs w:val="28"/>
        </w:rPr>
      </w:pPr>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5" w:name="_Toc10142_WPSOffice_Level1"/>
      <w:r>
        <w:rPr>
          <w:rFonts w:hint="eastAsia"/>
          <w:b/>
          <w:bCs/>
          <w:color w:val="auto"/>
          <w:sz w:val="28"/>
          <w:szCs w:val="28"/>
        </w:rPr>
        <w:t>供应商基本信息</w:t>
      </w:r>
      <w:bookmarkEnd w:id="55"/>
    </w:p>
    <w:p>
      <w:pPr>
        <w:jc w:val="center"/>
        <w:rPr>
          <w:rFonts w:hint="eastAsia" w:eastAsia="宋体"/>
          <w:b/>
          <w:bCs/>
          <w:color w:val="auto"/>
          <w:sz w:val="28"/>
          <w:szCs w:val="28"/>
          <w:lang w:eastAsia="zh-CN"/>
        </w:rPr>
      </w:pPr>
      <w:bookmarkStart w:id="56" w:name="_Toc5936_WPSOffice_Level1"/>
      <w:r>
        <w:rPr>
          <w:rFonts w:hint="eastAsia"/>
          <w:b/>
          <w:bCs/>
          <w:color w:val="auto"/>
          <w:sz w:val="28"/>
          <w:szCs w:val="28"/>
          <w:lang w:eastAsia="zh-CN"/>
        </w:rPr>
        <w:t>（格式自拟）</w:t>
      </w:r>
      <w:bookmarkEnd w:id="56"/>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7" w:name="_Toc31656"/>
      <w:bookmarkStart w:id="58" w:name="_Toc471299104"/>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二</w:t>
      </w:r>
    </w:p>
    <w:p>
      <w:pPr>
        <w:pStyle w:val="5"/>
        <w:spacing w:line="360" w:lineRule="auto"/>
        <w:jc w:val="center"/>
        <w:rPr>
          <w:rFonts w:hint="eastAsia" w:ascii="宋体" w:hAnsi="宋体" w:eastAsia="宋体"/>
          <w:color w:val="auto"/>
          <w:highlight w:val="none"/>
        </w:rPr>
      </w:pPr>
      <w:bookmarkStart w:id="59" w:name="_Toc30884"/>
      <w:bookmarkStart w:id="60" w:name="_Toc16469"/>
      <w:bookmarkStart w:id="61" w:name="_Toc8862_WPSOffice_Level1"/>
      <w:bookmarkStart w:id="62" w:name="_Toc471299105"/>
      <w:r>
        <w:rPr>
          <w:rFonts w:hint="eastAsia" w:ascii="宋体" w:hAnsi="宋体" w:eastAsia="宋体"/>
          <w:color w:val="auto"/>
          <w:highlight w:val="none"/>
        </w:rPr>
        <w:t>法定代表人身份证明</w:t>
      </w:r>
      <w:bookmarkEnd w:id="59"/>
      <w:bookmarkEnd w:id="60"/>
    </w:p>
    <w:p>
      <w:pPr>
        <w:spacing w:line="360" w:lineRule="auto"/>
        <w:ind w:firstLine="420" w:firstLineChars="200"/>
        <w:rPr>
          <w:rFonts w:hint="eastAsia"/>
          <w:color w:val="auto"/>
          <w:highlight w:val="none"/>
          <w:u w:val="single"/>
        </w:rPr>
      </w:pPr>
      <w:bookmarkStart w:id="63" w:name="_Toc256695502"/>
      <w:bookmarkStart w:id="64" w:name="_Toc256691626"/>
      <w:r>
        <w:rPr>
          <w:rFonts w:hint="eastAsia"/>
          <w:color w:val="auto"/>
          <w:highlight w:val="none"/>
          <w:lang w:eastAsia="zh-CN"/>
        </w:rPr>
        <w:t>承包人</w:t>
      </w:r>
      <w:r>
        <w:rPr>
          <w:rFonts w:hint="eastAsia"/>
          <w:color w:val="auto"/>
          <w:highlight w:val="none"/>
        </w:rPr>
        <w:t>名称：</w:t>
      </w:r>
      <w:bookmarkEnd w:id="63"/>
      <w:bookmarkEnd w:id="64"/>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5" w:name="_Toc256691631"/>
      <w:bookmarkStart w:id="66"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5"/>
      <w:bookmarkEnd w:id="66"/>
      <w:bookmarkStart w:id="67" w:name="_Toc256695508"/>
      <w:bookmarkStart w:id="68"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7"/>
      <w:bookmarkEnd w:id="68"/>
    </w:p>
    <w:p>
      <w:pPr>
        <w:spacing w:line="360" w:lineRule="auto"/>
        <w:ind w:firstLine="840" w:firstLineChars="400"/>
        <w:rPr>
          <w:rFonts w:hint="eastAsia"/>
          <w:color w:val="auto"/>
          <w:highlight w:val="none"/>
        </w:rPr>
      </w:pPr>
      <w:bookmarkStart w:id="69" w:name="_Toc256695509"/>
      <w:bookmarkStart w:id="70" w:name="_Toc256691633"/>
      <w:r>
        <w:rPr>
          <w:rFonts w:hint="eastAsia"/>
          <w:color w:val="auto"/>
          <w:highlight w:val="none"/>
        </w:rPr>
        <w:t>特此证明。</w:t>
      </w:r>
      <w:bookmarkEnd w:id="69"/>
      <w:bookmarkEnd w:id="70"/>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1" w:name="_Toc256695510"/>
      <w:bookmarkStart w:id="72"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1"/>
      <w:bookmarkEnd w:id="72"/>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3" w:name="_Toc256695511"/>
      <w:bookmarkStart w:id="74"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3"/>
      <w:bookmarkEnd w:id="74"/>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5" w:name="_Toc26907"/>
      <w:r>
        <w:rPr>
          <w:rFonts w:hint="eastAsia" w:ascii="宋体" w:hAnsi="宋体" w:eastAsia="宋体" w:cs="宋体"/>
          <w:color w:val="auto"/>
          <w:sz w:val="21"/>
          <w:szCs w:val="21"/>
        </w:rPr>
        <w:br w:type="page"/>
      </w:r>
    </w:p>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2"/>
      <w:bookmarkEnd w:id="75"/>
      <w:r>
        <w:rPr>
          <w:rFonts w:hint="eastAsia" w:ascii="宋体" w:hAnsi="宋体" w:cs="宋体"/>
          <w:color w:val="auto"/>
          <w:sz w:val="21"/>
          <w:szCs w:val="21"/>
          <w:lang w:eastAsia="zh-CN"/>
        </w:rPr>
        <w:t>三</w:t>
      </w:r>
    </w:p>
    <w:p>
      <w:pPr>
        <w:jc w:val="center"/>
        <w:rPr>
          <w:rFonts w:hint="eastAsia"/>
          <w:b/>
          <w:bCs/>
          <w:color w:val="auto"/>
          <w:sz w:val="28"/>
          <w:szCs w:val="28"/>
        </w:rPr>
      </w:pPr>
      <w:bookmarkStart w:id="76" w:name="_Toc3858_WPSOffice_Level1"/>
      <w:bookmarkStart w:id="77" w:name="_Toc516969098"/>
      <w:bookmarkStart w:id="78" w:name="_Toc148501698"/>
      <w:r>
        <w:rPr>
          <w:rFonts w:hint="eastAsia"/>
          <w:b/>
          <w:bCs/>
          <w:color w:val="auto"/>
          <w:sz w:val="28"/>
          <w:szCs w:val="28"/>
        </w:rPr>
        <w:t>响应函</w:t>
      </w:r>
      <w:bookmarkEnd w:id="76"/>
      <w:bookmarkEnd w:id="77"/>
      <w:bookmarkEnd w:id="78"/>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9" w:name="_Toc471299106"/>
      <w:bookmarkStart w:id="80" w:name="_Toc30711"/>
      <w:bookmarkStart w:id="81" w:name="_Toc417045478"/>
      <w:r>
        <w:rPr>
          <w:rFonts w:hint="eastAsia" w:ascii="宋体" w:hAnsi="宋体" w:eastAsia="宋体" w:cs="宋体"/>
          <w:color w:val="auto"/>
          <w:sz w:val="21"/>
          <w:szCs w:val="21"/>
        </w:rPr>
        <w:t>附件</w:t>
      </w:r>
      <w:bookmarkEnd w:id="79"/>
      <w:bookmarkEnd w:id="80"/>
      <w:bookmarkEnd w:id="81"/>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2" w:name="_Toc1513_WPSOffice_Level1"/>
      <w:r>
        <w:rPr>
          <w:rFonts w:hint="eastAsia"/>
          <w:b/>
          <w:bCs/>
          <w:color w:val="auto"/>
          <w:sz w:val="28"/>
          <w:szCs w:val="28"/>
          <w:lang w:val="zh-CN"/>
        </w:rPr>
        <w:t>无重大违法记录声明函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3"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4"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5" w:name="_Toc3574"/>
      <w:bookmarkStart w:id="86" w:name="_Toc471299107"/>
      <w:r>
        <w:rPr>
          <w:rFonts w:hint="eastAsia" w:ascii="宋体" w:hAnsi="宋体" w:eastAsia="宋体" w:cs="宋体"/>
          <w:color w:val="auto"/>
          <w:sz w:val="21"/>
          <w:szCs w:val="21"/>
        </w:rPr>
        <w:t>附件</w:t>
      </w:r>
      <w:bookmarkEnd w:id="84"/>
      <w:bookmarkEnd w:id="85"/>
      <w:bookmarkEnd w:id="86"/>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7" w:name="_Toc24671_WPSOffice_Level1"/>
      <w:r>
        <w:rPr>
          <w:rFonts w:hint="eastAsia"/>
          <w:b/>
          <w:bCs/>
          <w:color w:val="auto"/>
          <w:sz w:val="28"/>
          <w:szCs w:val="28"/>
          <w:lang w:val="zh-CN"/>
        </w:rPr>
        <w:t>询价响应表</w:t>
      </w:r>
      <w:bookmarkEnd w:id="87"/>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8" w:name="_Toc27567"/>
      <w:bookmarkStart w:id="89" w:name="_Toc471299110"/>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8"/>
      <w:bookmarkEnd w:id="89"/>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90"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90"/>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1"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1"/>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92" w:name="_Toc3201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2"/>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3" w:name="_Toc12025_WPSOffice_Level1"/>
      <w:r>
        <w:rPr>
          <w:rFonts w:hint="eastAsia"/>
          <w:b/>
          <w:bCs/>
          <w:color w:val="auto"/>
          <w:sz w:val="28"/>
          <w:szCs w:val="28"/>
          <w:lang w:val="zh-CN"/>
        </w:rPr>
        <w:t>供货、安装、售后服务承诺</w:t>
      </w:r>
      <w:bookmarkEnd w:id="9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4" w:name="_Toc27705"/>
      <w:r>
        <w:rPr>
          <w:rFonts w:hint="eastAsia" w:ascii="宋体" w:hAnsi="宋体" w:eastAsia="宋体" w:cs="宋体"/>
          <w:color w:val="auto"/>
          <w:sz w:val="21"/>
          <w:szCs w:val="21"/>
        </w:rPr>
        <w:t>附件</w:t>
      </w:r>
      <w:bookmarkEnd w:id="94"/>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5" w:name="_Toc1950_WPSOffice_Level1"/>
      <w:r>
        <w:rPr>
          <w:rFonts w:hint="eastAsia"/>
          <w:b/>
          <w:bCs/>
          <w:color w:val="auto"/>
          <w:sz w:val="28"/>
          <w:szCs w:val="28"/>
          <w:lang w:val="zh-CN"/>
        </w:rPr>
        <w:t>询价文件要求和供应商认为需要提供的其它说明和资料</w:t>
      </w:r>
      <w:bookmarkEnd w:id="95"/>
    </w:p>
    <w:p>
      <w:pPr>
        <w:jc w:val="both"/>
        <w:rPr>
          <w:rStyle w:val="38"/>
          <w:rFonts w:hint="eastAsia"/>
          <w:color w:val="auto"/>
          <w:sz w:val="21"/>
          <w:szCs w:val="21"/>
          <w:lang w:val="en-US" w:eastAsia="zh-CN"/>
        </w:rPr>
      </w:pPr>
      <w:bookmarkStart w:id="96" w:name="_Toc3085"/>
      <w:bookmarkStart w:id="97"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6"/>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7"/>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10947_WPSOffice_Level1"/>
      <w:r>
        <w:rPr>
          <w:rFonts w:hint="eastAsia" w:ascii="宋体" w:hAnsi="宋体" w:cs="宋体"/>
          <w:b/>
          <w:bCs/>
          <w:color w:val="auto"/>
          <w:sz w:val="24"/>
        </w:rPr>
        <w:t>注：</w:t>
      </w:r>
      <w:bookmarkEnd w:id="98"/>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27363_WPSOffice_Level1"/>
      <w:r>
        <w:rPr>
          <w:rFonts w:hint="eastAsia" w:ascii="宋体" w:hAnsi="宋体" w:cs="宋体"/>
          <w:b/>
          <w:bCs/>
          <w:color w:val="auto"/>
          <w:sz w:val="24"/>
        </w:rPr>
        <w:t>注：</w:t>
      </w:r>
      <w:bookmarkEnd w:id="99"/>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00" w:name="_Toc13534_WPSOffice_Level1"/>
      <w:r>
        <w:rPr>
          <w:rFonts w:hint="eastAsia" w:ascii="宋体" w:hAnsi="宋体" w:cs="宋体"/>
          <w:b/>
          <w:bCs/>
          <w:color w:val="auto"/>
          <w:sz w:val="24"/>
        </w:rPr>
        <w:t>注：</w:t>
      </w:r>
      <w:bookmarkEnd w:id="100"/>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1"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2" w:name="_Toc11536"/>
      <w:r>
        <w:rPr>
          <w:rFonts w:hint="eastAsia" w:ascii="宋体" w:hAnsi="宋体"/>
          <w:b/>
          <w:color w:val="auto"/>
          <w:sz w:val="24"/>
          <w:szCs w:val="28"/>
          <w:lang w:val="en-US" w:eastAsia="zh-CN"/>
        </w:rPr>
        <w:t>附件十</w:t>
      </w:r>
      <w:bookmarkEnd w:id="102"/>
    </w:p>
    <w:bookmarkEnd w:id="101"/>
    <w:p>
      <w:pPr>
        <w:spacing w:line="400" w:lineRule="exact"/>
        <w:jc w:val="center"/>
        <w:rPr>
          <w:rFonts w:hint="eastAsia" w:ascii="宋体" w:hAnsi="宋体" w:cs="宋体"/>
          <w:b/>
          <w:color w:val="auto"/>
          <w:sz w:val="28"/>
          <w:szCs w:val="28"/>
          <w:shd w:val="clear" w:color="auto" w:fill="FFFFFF"/>
        </w:rPr>
      </w:pPr>
      <w:bookmarkStart w:id="10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3"/>
    </w:p>
    <w:p>
      <w:pPr>
        <w:adjustRightInd w:val="0"/>
        <w:snapToGrid w:val="0"/>
        <w:spacing w:line="360" w:lineRule="exact"/>
        <w:ind w:right="15" w:rightChars="7"/>
        <w:rPr>
          <w:rFonts w:hint="eastAsia" w:ascii="宋体" w:hAnsi="宋体" w:cs="宋体"/>
          <w:bCs/>
          <w:color w:val="auto"/>
          <w:shd w:val="clear" w:color="auto" w:fill="FFFFFF"/>
        </w:rPr>
      </w:pPr>
      <w:bookmarkStart w:id="104" w:name="_Toc3059_WPSOffice_Level1"/>
      <w:r>
        <w:rPr>
          <w:rFonts w:hint="eastAsia" w:ascii="宋体" w:hAnsi="宋体" w:cs="宋体"/>
          <w:bCs/>
          <w:color w:val="auto"/>
          <w:shd w:val="clear" w:color="auto" w:fill="FFFFFF"/>
        </w:rPr>
        <w:t>一、项目相关情况</w:t>
      </w:r>
      <w:bookmarkEnd w:id="10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21327_WPSOffice_Level1"/>
      <w:r>
        <w:rPr>
          <w:rFonts w:hint="eastAsia" w:ascii="宋体" w:hAnsi="宋体" w:cs="宋体"/>
          <w:bCs/>
          <w:color w:val="auto"/>
          <w:shd w:val="clear" w:color="auto" w:fill="FFFFFF"/>
        </w:rPr>
        <w:t>二、质疑提起的条件及不予受理的情形</w:t>
      </w:r>
      <w:bookmarkEnd w:id="105"/>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6" w:name="_Toc17685_WPSOffice_Level1"/>
      <w:r>
        <w:rPr>
          <w:rFonts w:hint="eastAsia" w:ascii="宋体" w:hAnsi="宋体" w:cs="宋体"/>
          <w:bCs/>
          <w:color w:val="auto"/>
          <w:shd w:val="clear" w:color="auto" w:fill="FFFFFF"/>
        </w:rPr>
        <w:t>三、其他</w:t>
      </w:r>
      <w:bookmarkEnd w:id="10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2"/>
      </w:pP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霍山县矿产资源开发有限责任公司洒水车采购项目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405578"/>
    <w:multiLevelType w:val="singleLevel"/>
    <w:tmpl w:val="8E405578"/>
    <w:lvl w:ilvl="0" w:tentative="0">
      <w:start w:val="1"/>
      <w:numFmt w:val="chineseCounting"/>
      <w:suff w:val="nothing"/>
      <w:lvlText w:val="%1、"/>
      <w:lvlJc w:val="left"/>
      <w:rPr>
        <w:rFonts w:hint="eastAsia"/>
      </w:rPr>
    </w:lvl>
  </w:abstractNum>
  <w:abstractNum w:abstractNumId="1">
    <w:nsid w:val="1687399A"/>
    <w:multiLevelType w:val="singleLevel"/>
    <w:tmpl w:val="1687399A"/>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2B73BF"/>
    <w:rsid w:val="02923D0A"/>
    <w:rsid w:val="0297760C"/>
    <w:rsid w:val="02AA1EE6"/>
    <w:rsid w:val="02F85797"/>
    <w:rsid w:val="03150F8F"/>
    <w:rsid w:val="031838E3"/>
    <w:rsid w:val="04777FAA"/>
    <w:rsid w:val="047A1250"/>
    <w:rsid w:val="04831F83"/>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F429FB"/>
    <w:rsid w:val="0A381ED7"/>
    <w:rsid w:val="0A6B423D"/>
    <w:rsid w:val="0A967446"/>
    <w:rsid w:val="0ADA7309"/>
    <w:rsid w:val="0B37771E"/>
    <w:rsid w:val="0B3A232A"/>
    <w:rsid w:val="0B92029E"/>
    <w:rsid w:val="0BBD26DB"/>
    <w:rsid w:val="0C061911"/>
    <w:rsid w:val="0C717286"/>
    <w:rsid w:val="0C8B3F0F"/>
    <w:rsid w:val="0D162B03"/>
    <w:rsid w:val="0D4A538B"/>
    <w:rsid w:val="0D957933"/>
    <w:rsid w:val="0E2B3D85"/>
    <w:rsid w:val="0E7B6D74"/>
    <w:rsid w:val="0EAB242F"/>
    <w:rsid w:val="10493F0A"/>
    <w:rsid w:val="122B65C1"/>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E3106CF"/>
    <w:rsid w:val="1E5351BE"/>
    <w:rsid w:val="1F3454C6"/>
    <w:rsid w:val="1F5D6BC7"/>
    <w:rsid w:val="1F6C4AEE"/>
    <w:rsid w:val="2009288A"/>
    <w:rsid w:val="202E2A41"/>
    <w:rsid w:val="209015F8"/>
    <w:rsid w:val="212E3565"/>
    <w:rsid w:val="21336370"/>
    <w:rsid w:val="2134647A"/>
    <w:rsid w:val="215167E4"/>
    <w:rsid w:val="21543BEE"/>
    <w:rsid w:val="21957187"/>
    <w:rsid w:val="21D50B53"/>
    <w:rsid w:val="22067FA4"/>
    <w:rsid w:val="221B322D"/>
    <w:rsid w:val="230509C2"/>
    <w:rsid w:val="234A74A5"/>
    <w:rsid w:val="236E7DAD"/>
    <w:rsid w:val="24267BFD"/>
    <w:rsid w:val="249763A0"/>
    <w:rsid w:val="249C4D10"/>
    <w:rsid w:val="24D300E0"/>
    <w:rsid w:val="25273C28"/>
    <w:rsid w:val="25656A25"/>
    <w:rsid w:val="25991012"/>
    <w:rsid w:val="25ED3305"/>
    <w:rsid w:val="260D2BCC"/>
    <w:rsid w:val="262D1358"/>
    <w:rsid w:val="26943C3F"/>
    <w:rsid w:val="26A33FC0"/>
    <w:rsid w:val="2756117E"/>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E1101F"/>
    <w:rsid w:val="340E6C58"/>
    <w:rsid w:val="34324321"/>
    <w:rsid w:val="349D31D8"/>
    <w:rsid w:val="34CB67DC"/>
    <w:rsid w:val="34D536C4"/>
    <w:rsid w:val="34E95FF5"/>
    <w:rsid w:val="350F4B5F"/>
    <w:rsid w:val="35A16482"/>
    <w:rsid w:val="35CE143F"/>
    <w:rsid w:val="361D3C18"/>
    <w:rsid w:val="36503A40"/>
    <w:rsid w:val="368E0EDE"/>
    <w:rsid w:val="36DA37D0"/>
    <w:rsid w:val="36DF7A21"/>
    <w:rsid w:val="36F40FE9"/>
    <w:rsid w:val="37DF419C"/>
    <w:rsid w:val="37F90F6A"/>
    <w:rsid w:val="38B45EFC"/>
    <w:rsid w:val="38D036A4"/>
    <w:rsid w:val="38D17E87"/>
    <w:rsid w:val="38EA21D0"/>
    <w:rsid w:val="38F723B6"/>
    <w:rsid w:val="39237904"/>
    <w:rsid w:val="39792C93"/>
    <w:rsid w:val="3AAE5E82"/>
    <w:rsid w:val="3AE97D6B"/>
    <w:rsid w:val="3B09701F"/>
    <w:rsid w:val="3B7148FD"/>
    <w:rsid w:val="3B8E3C6C"/>
    <w:rsid w:val="3C1C5FDB"/>
    <w:rsid w:val="3C56293E"/>
    <w:rsid w:val="3C967255"/>
    <w:rsid w:val="3CD61F9A"/>
    <w:rsid w:val="3D457CC8"/>
    <w:rsid w:val="3D5C50E1"/>
    <w:rsid w:val="3E046DF3"/>
    <w:rsid w:val="3E4A7D54"/>
    <w:rsid w:val="3E50419B"/>
    <w:rsid w:val="3E9D780F"/>
    <w:rsid w:val="3F570499"/>
    <w:rsid w:val="40871F18"/>
    <w:rsid w:val="408F2C22"/>
    <w:rsid w:val="40B4201E"/>
    <w:rsid w:val="40B4502A"/>
    <w:rsid w:val="40D00173"/>
    <w:rsid w:val="41132993"/>
    <w:rsid w:val="41C77480"/>
    <w:rsid w:val="41DD49C0"/>
    <w:rsid w:val="4260727A"/>
    <w:rsid w:val="42D11E1F"/>
    <w:rsid w:val="42ED6ACA"/>
    <w:rsid w:val="431D644D"/>
    <w:rsid w:val="43DD3193"/>
    <w:rsid w:val="44A83992"/>
    <w:rsid w:val="44D74C5B"/>
    <w:rsid w:val="459044BE"/>
    <w:rsid w:val="459907ED"/>
    <w:rsid w:val="45FC1F89"/>
    <w:rsid w:val="46447AD0"/>
    <w:rsid w:val="4667667C"/>
    <w:rsid w:val="46FE1966"/>
    <w:rsid w:val="47297854"/>
    <w:rsid w:val="47AD1197"/>
    <w:rsid w:val="47BF356A"/>
    <w:rsid w:val="47ED349E"/>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C68185E"/>
    <w:rsid w:val="4CC170FC"/>
    <w:rsid w:val="4D18297E"/>
    <w:rsid w:val="4D75761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E812F4F"/>
    <w:rsid w:val="5EB3743D"/>
    <w:rsid w:val="5ED30E67"/>
    <w:rsid w:val="5EFB6C0F"/>
    <w:rsid w:val="5F0510AD"/>
    <w:rsid w:val="5F060FB7"/>
    <w:rsid w:val="5F2B66BC"/>
    <w:rsid w:val="5F402988"/>
    <w:rsid w:val="5F5348CD"/>
    <w:rsid w:val="5F607FA6"/>
    <w:rsid w:val="60165A67"/>
    <w:rsid w:val="60435494"/>
    <w:rsid w:val="60AB1BEE"/>
    <w:rsid w:val="61456042"/>
    <w:rsid w:val="615E5718"/>
    <w:rsid w:val="61705B21"/>
    <w:rsid w:val="61731D75"/>
    <w:rsid w:val="61845E20"/>
    <w:rsid w:val="618D0E1A"/>
    <w:rsid w:val="619C1CA6"/>
    <w:rsid w:val="61AC4109"/>
    <w:rsid w:val="61FF653E"/>
    <w:rsid w:val="629D1B22"/>
    <w:rsid w:val="62FC7518"/>
    <w:rsid w:val="631D3EFA"/>
    <w:rsid w:val="63637DD7"/>
    <w:rsid w:val="639C65AB"/>
    <w:rsid w:val="63B321AB"/>
    <w:rsid w:val="63CE30A4"/>
    <w:rsid w:val="63E8055D"/>
    <w:rsid w:val="63F05C52"/>
    <w:rsid w:val="64BA0E02"/>
    <w:rsid w:val="64FC4735"/>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E22727"/>
    <w:rsid w:val="6C0040EC"/>
    <w:rsid w:val="6C0A4B24"/>
    <w:rsid w:val="6C4F64A4"/>
    <w:rsid w:val="6C640C01"/>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D81B5D"/>
    <w:rsid w:val="75A769E0"/>
    <w:rsid w:val="762411EC"/>
    <w:rsid w:val="76911B4D"/>
    <w:rsid w:val="776D2CC4"/>
    <w:rsid w:val="77EC0CA0"/>
    <w:rsid w:val="781077BF"/>
    <w:rsid w:val="78397A44"/>
    <w:rsid w:val="78887365"/>
    <w:rsid w:val="789C2226"/>
    <w:rsid w:val="78CC4196"/>
    <w:rsid w:val="78DF200C"/>
    <w:rsid w:val="78F92F7D"/>
    <w:rsid w:val="791B59B6"/>
    <w:rsid w:val="7927654F"/>
    <w:rsid w:val="794851E5"/>
    <w:rsid w:val="79B832CB"/>
    <w:rsid w:val="79F628A4"/>
    <w:rsid w:val="7A1A522E"/>
    <w:rsid w:val="7A482E43"/>
    <w:rsid w:val="7A686D7F"/>
    <w:rsid w:val="7A9E561B"/>
    <w:rsid w:val="7ABD69E5"/>
    <w:rsid w:val="7C0F0429"/>
    <w:rsid w:val="7C7C0782"/>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5"/>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6"/>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2020-08-04T02:59:00Z</cp:lastPrinted>
  <dcterms:modified xsi:type="dcterms:W3CDTF">2020-08-04T03:12:16Z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