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jc w:val="center"/>
        <w:rPr>
          <w:rFonts w:hint="eastAsia" w:ascii="宋体" w:hAnsi="宋体"/>
          <w:b/>
          <w:bCs/>
          <w:color w:val="auto"/>
          <w:sz w:val="52"/>
          <w:szCs w:val="52"/>
          <w:lang w:val="en-US" w:eastAsia="zh-CN"/>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5"/>
        <w:jc w:val="center"/>
        <w:rPr>
          <w:rFonts w:hint="eastAsia" w:ascii="宋体" w:hAnsi="宋体"/>
          <w:b/>
          <w:bCs/>
          <w:color w:val="auto"/>
          <w:sz w:val="52"/>
          <w:szCs w:val="52"/>
          <w:lang w:eastAsia="zh-CN"/>
        </w:rPr>
      </w:pPr>
    </w:p>
    <w:p>
      <w:pPr>
        <w:pStyle w:val="15"/>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715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5"/>
        <w:jc w:val="center"/>
        <w:rPr>
          <w:rFonts w:hint="eastAsia" w:ascii="宋体" w:hAnsi="宋体"/>
          <w:b/>
          <w:bCs/>
          <w:color w:val="auto"/>
          <w:sz w:val="52"/>
          <w:szCs w:val="52"/>
          <w:lang w:eastAsia="zh-CN"/>
        </w:rPr>
      </w:pP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958" w:leftChars="456" w:right="0" w:rightChars="0" w:firstLine="643" w:firstLineChars="200"/>
        <w:jc w:val="both"/>
        <w:textAlignment w:val="auto"/>
        <w:outlineLvl w:val="9"/>
        <w:rPr>
          <w:rFonts w:hint="eastAsia"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0"/>
          <w:kern w:val="0"/>
          <w:sz w:val="32"/>
          <w:szCs w:val="32"/>
          <w:lang w:val="en-US" w:eastAsia="zh-CN"/>
        </w:rPr>
        <w:t>霍山县矿产资源开发有限责任公司双山湾地块土壤改良项目地磅及监控采购项目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both"/>
        <w:textAlignment w:val="auto"/>
        <w:outlineLvl w:val="9"/>
        <w:rPr>
          <w:rFonts w:hint="default" w:ascii="宋体" w:hAnsi="等线" w:cs="Times New Roman"/>
          <w:b/>
          <w:bCs/>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DBSCG-2020-074</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both"/>
        <w:textAlignment w:val="auto"/>
        <w:outlineLvl w:val="9"/>
        <w:rPr>
          <w:rFonts w:hint="eastAsia" w:ascii="宋体" w:hAnsi="宋体" w:cs="宋体"/>
          <w:b/>
          <w:color w:val="auto"/>
          <w:spacing w:val="0"/>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霍山县矿产资源开发有限责任公司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both"/>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both"/>
        <w:textAlignment w:val="auto"/>
        <w:outlineLvl w:val="9"/>
        <w:rPr>
          <w:rFonts w:hint="eastAsia"/>
          <w:spacing w:val="0"/>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二0</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eastAsia="zh-CN"/>
        </w:rPr>
        <w:t>七</w:t>
      </w:r>
      <w:r>
        <w:rPr>
          <w:rFonts w:hint="eastAsia" w:ascii="宋体" w:hAnsi="宋体" w:eastAsia="宋体" w:cs="宋体"/>
          <w:b/>
          <w:color w:val="auto"/>
          <w:spacing w:val="0"/>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1"/>
        <w:ind w:left="0" w:leftChars="0" w:firstLine="0" w:firstLineChars="0"/>
        <w:rPr>
          <w:rFonts w:hint="eastAsia"/>
        </w:rPr>
      </w:pPr>
    </w:p>
    <w:p>
      <w:pPr>
        <w:rPr>
          <w:rFonts w:hint="eastAsia"/>
        </w:rPr>
      </w:pPr>
    </w:p>
    <w:p>
      <w:pPr>
        <w:pStyle w:val="31"/>
        <w:ind w:left="0" w:leftChars="0" w:firstLine="0" w:firstLineChars="0"/>
        <w:rPr>
          <w:rFonts w:hint="eastAsia"/>
        </w:rPr>
      </w:pPr>
    </w:p>
    <w:p>
      <w:pPr>
        <w:rPr>
          <w:rFonts w:hint="eastAsia"/>
        </w:rPr>
      </w:pPr>
    </w:p>
    <w:p>
      <w:pPr>
        <w:pStyle w:val="31"/>
        <w:ind w:left="0" w:leftChars="0" w:firstLine="0" w:firstLineChars="0"/>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2"/>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3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32"/>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DBSCG-2020-074霍山县矿产资源开发有限责任公司双山湾地块土壤改良项目地磅及监控采购项目</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霍山县矿产资源开发有限责任公司双山湾地块土壤改良项目地磅及监控采购项目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u w:val="single"/>
          <w:lang w:val="en-US" w:eastAsia="zh-CN" w:bidi="ar-SA"/>
        </w:rPr>
        <w:t>安徽大别山国投集团</w:t>
      </w:r>
      <w:r>
        <w:rPr>
          <w:rFonts w:hint="eastAsia" w:ascii="宋体" w:hAnsi="宋体" w:cs="宋体"/>
          <w:color w:val="auto"/>
          <w:kern w:val="2"/>
          <w:sz w:val="21"/>
          <w:szCs w:val="21"/>
          <w:lang w:val="en-US" w:eastAsia="zh-CN" w:bidi="ar-SA"/>
        </w:rPr>
        <w:t>审批，</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霍山县矿产资源开发有限责任公司双山湾地块土壤改良项目地磅及监控采购项目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霍山县矿产资源开发有限责任公司双山湾地块土壤改良项目地磅及监控采购项目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DBSCG-2020-074</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28万元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7、最高限价：27.884万元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9、项目概况：传感器2套、防作弊仪表2台，防雷接线盒2个，7寸大屏2台，称重软件2套，识别系统2套，主信号线缆2套，地磅钢结构基础安装；摄像头、硬盘录像、交换机等用于双山湾。</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olor w:val="000000"/>
          <w:sz w:val="21"/>
          <w:szCs w:val="21"/>
          <w:lang w:val="en-US" w:eastAsia="zh-CN"/>
        </w:rPr>
        <w:t>3、供应商存在以下不良信用记录情</w:t>
      </w:r>
      <w:r>
        <w:rPr>
          <w:rFonts w:hint="eastAsia" w:ascii="宋体" w:hAnsi="宋体" w:eastAsia="宋体" w:cs="宋体"/>
          <w:i w:val="0"/>
          <w:caps w:val="0"/>
          <w:color w:val="auto"/>
          <w:spacing w:val="0"/>
          <w:sz w:val="21"/>
          <w:szCs w:val="21"/>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t>
      </w:r>
      <w:r>
        <w:rPr>
          <w:rFonts w:hint="eastAsia" w:ascii="宋体" w:hAnsi="宋体" w:cs="宋体"/>
          <w:i w:val="0"/>
          <w:caps w:val="0"/>
          <w:color w:val="auto"/>
          <w:spacing w:val="0"/>
          <w:sz w:val="21"/>
          <w:szCs w:val="21"/>
          <w:shd w:val="clear" w:color="auto" w:fill="FFFFFF"/>
          <w:lang w:val="en-US" w:eastAsia="zh-CN"/>
        </w:rPr>
        <w:t>网</w:t>
      </w:r>
      <w:r>
        <w:rPr>
          <w:rFonts w:hint="eastAsia" w:ascii="宋体" w:hAnsi="宋体" w:eastAsia="宋体" w:cs="宋体"/>
          <w:i w:val="0"/>
          <w:caps w:val="0"/>
          <w:color w:val="auto"/>
          <w:spacing w:val="0"/>
          <w:sz w:val="21"/>
          <w:szCs w:val="21"/>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7月 21日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7月 27日15时00分。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自行下载本项目采购需求文件。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7</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27</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张先生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18956473657</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伍仟元整(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5000.00元)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7月22日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lang w:val="en-US" w:eastAsia="zh-CN"/>
              </w:rPr>
              <w:t>霍山县矿产资源开发有限责任公司</w:t>
            </w:r>
          </w:p>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地</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址：</w:t>
            </w:r>
            <w:r>
              <w:rPr>
                <w:rFonts w:hint="eastAsia" w:ascii="宋体" w:hAnsi="宋体" w:eastAsia="宋体" w:cs="宋体"/>
                <w:color w:val="auto"/>
                <w:szCs w:val="21"/>
                <w:highlight w:val="none"/>
                <w:u w:val="none"/>
                <w:lang w:val="en-US" w:eastAsia="zh-CN"/>
              </w:rPr>
              <w:t>霍山</w:t>
            </w:r>
            <w:r>
              <w:rPr>
                <w:rFonts w:hint="eastAsia" w:ascii="宋体" w:hAnsi="宋体" w:cs="宋体"/>
                <w:color w:val="auto"/>
                <w:szCs w:val="21"/>
                <w:highlight w:val="none"/>
                <w:u w:val="none"/>
                <w:lang w:val="en-US" w:eastAsia="zh-CN"/>
              </w:rPr>
              <w:t>县衡山镇南岳西路</w:t>
            </w:r>
          </w:p>
          <w:p>
            <w:pPr>
              <w:adjustRightInd w:val="0"/>
              <w:snapToGrid w:val="0"/>
              <w:spacing w:line="320" w:lineRule="exact"/>
              <w:rPr>
                <w:rFonts w:hint="default"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联系人：</w:t>
            </w:r>
            <w:r>
              <w:rPr>
                <w:rFonts w:hint="eastAsia" w:ascii="宋体" w:hAnsi="宋体" w:cs="宋体"/>
                <w:color w:val="auto"/>
                <w:szCs w:val="21"/>
                <w:highlight w:val="none"/>
                <w:u w:val="none"/>
                <w:lang w:val="en-US" w:eastAsia="zh-CN"/>
              </w:rPr>
              <w:t>张先生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color w:val="auto"/>
                <w:szCs w:val="21"/>
                <w:highlight w:val="none"/>
                <w:u w:val="none"/>
              </w:rPr>
              <w:t>电</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话：</w:t>
            </w:r>
            <w:r>
              <w:rPr>
                <w:rFonts w:hint="eastAsia" w:ascii="宋体" w:hAnsi="宋体" w:cs="宋体"/>
                <w:i w:val="0"/>
                <w:caps w:val="0"/>
                <w:color w:val="auto"/>
                <w:spacing w:val="0"/>
                <w:sz w:val="21"/>
                <w:szCs w:val="21"/>
                <w:shd w:val="clear" w:color="auto" w:fill="FFFFFF"/>
                <w:lang w:val="en-US" w:eastAsia="zh-CN"/>
              </w:rPr>
              <w:t>18956473657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刘先生</w:t>
            </w:r>
            <w:bookmarkStart w:id="102" w:name="_GoBack"/>
            <w:bookmarkEnd w:id="102"/>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color w:val="auto"/>
                <w:kern w:val="2"/>
                <w:sz w:val="21"/>
                <w:szCs w:val="21"/>
                <w:highlight w:val="none"/>
                <w:u w:val="none"/>
                <w:lang w:val="en-US" w:eastAsia="zh-CN" w:bidi="ar-SA"/>
              </w:rPr>
              <w:t>霍山县矿产资源开发有限责任公司双山湾地块土壤改良项目地磅及监控采购项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DBSCG-</w:t>
            </w:r>
            <w:r>
              <w:rPr>
                <w:rFonts w:hint="eastAsia" w:cs="宋体"/>
                <w:b w:val="0"/>
                <w:bCs w:val="0"/>
                <w:color w:val="auto"/>
                <w:spacing w:val="-4"/>
                <w:kern w:val="2"/>
                <w:sz w:val="21"/>
                <w:szCs w:val="21"/>
                <w:highlight w:val="none"/>
                <w:lang w:val="en-US" w:eastAsia="zh-CN" w:bidi="ar-SA"/>
              </w:rPr>
              <w:t>2020-074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4"/>
                <w:kern w:val="2"/>
                <w:sz w:val="21"/>
                <w:szCs w:val="21"/>
                <w:highlight w:val="none"/>
                <w:lang w:val="en-US" w:eastAsia="zh-CN" w:bidi="ar-SA"/>
              </w:rPr>
            </w:pPr>
            <w:r>
              <w:rPr>
                <w:rFonts w:hint="eastAsia" w:cs="宋体"/>
                <w:b w:val="0"/>
                <w:bCs w:val="0"/>
                <w:color w:val="0000FF"/>
                <w:spacing w:val="-4"/>
                <w:kern w:val="2"/>
                <w:sz w:val="21"/>
                <w:szCs w:val="21"/>
                <w:highlight w:val="none"/>
                <w:lang w:val="en-US" w:eastAsia="zh-CN" w:bidi="ar-SA"/>
              </w:rPr>
              <w:t>贰拾柒万捌仟捌佰肆拾元整</w:t>
            </w:r>
            <w:r>
              <w:rPr>
                <w:rFonts w:hint="eastAsia" w:ascii="宋体" w:hAnsi="宋体" w:eastAsia="宋体" w:cs="宋体"/>
                <w:b w:val="0"/>
                <w:bCs w:val="0"/>
                <w:color w:val="0000FF"/>
                <w:spacing w:val="-4"/>
                <w:kern w:val="2"/>
                <w:sz w:val="21"/>
                <w:szCs w:val="21"/>
                <w:highlight w:val="none"/>
                <w:lang w:val="en-US" w:eastAsia="zh-CN" w:bidi="ar-SA"/>
              </w:rPr>
              <w:t>（￥</w:t>
            </w:r>
            <w:r>
              <w:rPr>
                <w:rFonts w:hint="eastAsia" w:cs="宋体"/>
                <w:b w:val="0"/>
                <w:bCs w:val="0"/>
                <w:color w:val="0000FF"/>
                <w:spacing w:val="-4"/>
                <w:kern w:val="2"/>
                <w:sz w:val="21"/>
                <w:szCs w:val="21"/>
                <w:highlight w:val="none"/>
                <w:lang w:val="en-US" w:eastAsia="zh-CN" w:bidi="ar-SA"/>
              </w:rPr>
              <w:t>278840</w:t>
            </w:r>
            <w:r>
              <w:rPr>
                <w:rFonts w:hint="eastAsia" w:ascii="宋体" w:hAnsi="宋体" w:eastAsia="宋体" w:cs="宋体"/>
                <w:b w:val="0"/>
                <w:bCs w:val="0"/>
                <w:color w:val="0000FF"/>
                <w:spacing w:val="-4"/>
                <w:kern w:val="2"/>
                <w:sz w:val="21"/>
                <w:szCs w:val="21"/>
                <w:highlight w:val="none"/>
                <w:lang w:val="en-US" w:eastAsia="zh-CN" w:bidi="ar-SA"/>
              </w:rPr>
              <w:t>.00</w:t>
            </w:r>
            <w:r>
              <w:rPr>
                <w:rFonts w:hint="eastAsia" w:ascii="宋体" w:hAnsi="宋体" w:eastAsia="宋体" w:cs="宋体"/>
                <w:b w:val="0"/>
                <w:bCs w:val="0"/>
                <w:color w:val="auto"/>
                <w:spacing w:val="-4"/>
                <w:kern w:val="2"/>
                <w:sz w:val="21"/>
                <w:szCs w:val="21"/>
                <w:highlight w:val="none"/>
                <w:lang w:val="en-US" w:eastAsia="zh-CN" w:bidi="ar-SA"/>
              </w:rPr>
              <w:t>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cs="宋体"/>
                <w:b w:val="0"/>
                <w:bCs w:val="0"/>
                <w:color w:val="auto"/>
                <w:spacing w:val="-4"/>
                <w:kern w:val="2"/>
                <w:sz w:val="21"/>
                <w:szCs w:val="21"/>
                <w:highlight w:val="none"/>
                <w:lang w:val="en-US" w:eastAsia="zh-CN" w:bidi="ar-SA"/>
              </w:rPr>
              <w:t>60</w:t>
            </w:r>
            <w:r>
              <w:rPr>
                <w:rFonts w:hint="eastAsia" w:ascii="宋体" w:hAnsi="宋体" w:eastAsia="宋体" w:cs="宋体"/>
                <w:b w:val="0"/>
                <w:bCs w:val="0"/>
                <w:color w:val="auto"/>
                <w:spacing w:val="-4"/>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cs="宋体"/>
                <w:b w:val="0"/>
                <w:bCs w:val="0"/>
                <w:color w:val="0000FF"/>
                <w:spacing w:val="-4"/>
                <w:kern w:val="2"/>
                <w:sz w:val="21"/>
                <w:szCs w:val="21"/>
                <w:highlight w:val="none"/>
                <w:lang w:val="en-US" w:eastAsia="zh-CN" w:bidi="ar-SA"/>
              </w:rPr>
              <w:t>设备安装调试完成并经验收合格后一次性支付80%，（以实际安装数量结算），剩余20%作为质保金在一年质保期满后且运行正常后支付(无息)。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cs="宋体"/>
                <w:b w:val="0"/>
                <w:bCs w:val="0"/>
                <w:color w:val="auto"/>
                <w:spacing w:val="-4"/>
                <w:kern w:val="2"/>
                <w:sz w:val="21"/>
                <w:szCs w:val="21"/>
                <w:highlight w:val="none"/>
                <w:lang w:val="en-US" w:eastAsia="zh-CN" w:bidi="ar-SA"/>
              </w:rPr>
              <w:t>采购人</w:t>
            </w:r>
            <w:r>
              <w:rPr>
                <w:rFonts w:hint="eastAsia" w:ascii="宋体" w:hAnsi="宋体" w:eastAsia="宋体" w:cs="宋体"/>
                <w:b w:val="0"/>
                <w:bCs w:val="0"/>
                <w:color w:val="auto"/>
                <w:spacing w:val="-4"/>
                <w:kern w:val="2"/>
                <w:sz w:val="21"/>
                <w:szCs w:val="21"/>
                <w:highlight w:val="none"/>
                <w:lang w:val="en-US" w:eastAsia="zh-CN" w:bidi="ar-SA"/>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cs="宋体"/>
                <w:b w:val="0"/>
                <w:bCs w:val="0"/>
                <w:color w:val="0000FF"/>
                <w:spacing w:val="-4"/>
                <w:kern w:val="2"/>
                <w:sz w:val="21"/>
                <w:szCs w:val="21"/>
                <w:highlight w:val="none"/>
                <w:lang w:val="en-US" w:eastAsia="zh-CN" w:bidi="ar-SA"/>
              </w:rPr>
              <w:t>合同签订后七日内完成安装调试。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zh-CN" w:eastAsia="zh-CN" w:bidi="ar-SA"/>
              </w:rPr>
              <w:t>验收合格之日起</w:t>
            </w:r>
            <w:r>
              <w:rPr>
                <w:rFonts w:hint="eastAsia" w:ascii="宋体" w:hAnsi="宋体" w:eastAsia="宋体" w:cs="宋体"/>
                <w:b w:val="0"/>
                <w:bCs w:val="0"/>
                <w:color w:val="auto"/>
                <w:spacing w:val="-4"/>
                <w:kern w:val="2"/>
                <w:sz w:val="21"/>
                <w:szCs w:val="21"/>
                <w:highlight w:val="none"/>
                <w:lang w:val="en-US" w:eastAsia="zh-CN" w:bidi="ar-SA"/>
              </w:rPr>
              <w:t>一年</w:t>
            </w:r>
            <w:r>
              <w:rPr>
                <w:rFonts w:hint="eastAsia" w:ascii="宋体" w:hAnsi="宋体" w:eastAsia="宋体" w:cs="宋体"/>
                <w:b w:val="0"/>
                <w:bCs w:val="0"/>
                <w:color w:val="auto"/>
                <w:spacing w:val="-4"/>
                <w:kern w:val="2"/>
                <w:sz w:val="21"/>
                <w:szCs w:val="21"/>
                <w:highlight w:val="none"/>
                <w:lang w:val="zh-CN"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4"/>
                <w:kern w:val="2"/>
                <w:sz w:val="21"/>
                <w:szCs w:val="21"/>
                <w:highlight w:val="none"/>
                <w:lang w:val="zh-CN" w:eastAsia="zh-CN" w:bidi="ar-SA"/>
              </w:rPr>
            </w:pPr>
            <w:r>
              <w:rPr>
                <w:rFonts w:hint="eastAsia" w:ascii="宋体" w:hAnsi="宋体" w:eastAsia="宋体" w:cs="宋体"/>
                <w:b w:val="0"/>
                <w:bCs w:val="0"/>
                <w:color w:val="auto"/>
                <w:spacing w:val="-4"/>
                <w:kern w:val="2"/>
                <w:sz w:val="21"/>
                <w:szCs w:val="21"/>
                <w:highlight w:val="none"/>
                <w:lang w:val="en-US" w:eastAsia="zh-CN" w:bidi="ar-SA"/>
              </w:rPr>
              <w:t>响应文件递交截止时间及询价时间：</w:t>
            </w:r>
            <w:r>
              <w:rPr>
                <w:rFonts w:hint="eastAsia" w:ascii="宋体" w:hAnsi="宋体" w:cs="宋体"/>
                <w:b w:val="0"/>
                <w:bCs w:val="0"/>
                <w:color w:val="auto"/>
                <w:spacing w:val="-4"/>
                <w:kern w:val="2"/>
                <w:sz w:val="21"/>
                <w:szCs w:val="21"/>
                <w:highlight w:val="none"/>
                <w:lang w:val="en-US" w:eastAsia="zh-CN" w:bidi="ar-SA"/>
              </w:rPr>
              <w:t>同询价截止时间</w:t>
            </w:r>
            <w:r>
              <w:rPr>
                <w:rFonts w:hint="eastAsia" w:ascii="宋体" w:hAnsi="宋体" w:eastAsia="宋体" w:cs="宋体"/>
                <w:b w:val="0"/>
                <w:bCs w:val="0"/>
                <w:color w:val="auto"/>
                <w:spacing w:val="-4"/>
                <w:kern w:val="2"/>
                <w:sz w:val="21"/>
                <w:szCs w:val="21"/>
                <w:highlight w:val="none"/>
                <w:lang w:val="en-US" w:eastAsia="zh-CN" w:bidi="ar-SA"/>
              </w:rPr>
              <w:t>，逾期递交，概不接受。同时在</w:t>
            </w:r>
            <w:r>
              <w:rPr>
                <w:rFonts w:hint="eastAsia" w:ascii="宋体" w:hAnsi="宋体" w:cs="宋体"/>
                <w:b w:val="0"/>
                <w:bCs w:val="0"/>
                <w:color w:val="auto"/>
                <w:spacing w:val="-4"/>
                <w:kern w:val="2"/>
                <w:sz w:val="21"/>
                <w:szCs w:val="21"/>
                <w:highlight w:val="none"/>
                <w:lang w:val="en-US" w:eastAsia="zh-CN" w:bidi="ar-SA"/>
              </w:rPr>
              <w:t>询价</w:t>
            </w:r>
            <w:r>
              <w:rPr>
                <w:rFonts w:hint="eastAsia" w:ascii="宋体" w:hAnsi="宋体" w:eastAsia="宋体" w:cs="宋体"/>
                <w:b w:val="0"/>
                <w:bCs w:val="0"/>
                <w:color w:val="auto"/>
                <w:spacing w:val="-4"/>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纸质响应文件必须在</w:t>
            </w:r>
            <w:r>
              <w:rPr>
                <w:rFonts w:hint="eastAsia" w:hAnsi="宋体" w:cs="宋体"/>
                <w:b w:val="0"/>
                <w:bCs w:val="0"/>
                <w:color w:val="auto"/>
                <w:spacing w:val="-4"/>
                <w:kern w:val="2"/>
                <w:sz w:val="21"/>
                <w:szCs w:val="21"/>
                <w:highlight w:val="none"/>
                <w:lang w:val="en-US" w:eastAsia="zh-CN" w:bidi="ar-SA"/>
              </w:rPr>
              <w:t>询价</w:t>
            </w:r>
            <w:r>
              <w:rPr>
                <w:rFonts w:hint="eastAsia" w:ascii="宋体" w:hAnsi="宋体" w:eastAsia="宋体" w:cs="宋体"/>
                <w:b w:val="0"/>
                <w:bCs w:val="0"/>
                <w:color w:val="auto"/>
                <w:spacing w:val="-4"/>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w:t>
            </w:r>
            <w:r>
              <w:rPr>
                <w:rFonts w:hint="eastAsia" w:ascii="宋体" w:hAnsi="宋体"/>
                <w:color w:val="auto"/>
                <w:szCs w:val="21"/>
                <w:highlight w:val="none"/>
                <w:lang w:val="en-US" w:eastAsia="zh-CN"/>
              </w:rPr>
              <w:t>招标采购专栏</w:t>
            </w:r>
            <w:r>
              <w:rPr>
                <w:rFonts w:hint="eastAsia" w:ascii="宋体" w:hAnsi="宋体"/>
                <w:color w:val="auto"/>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cs="宋体"/>
                <w:bCs/>
                <w:color w:val="000000" w:themeColor="text1"/>
                <w:szCs w:val="21"/>
                <w:highlight w:val="none"/>
                <w:lang w:val="en-US" w:eastAsia="zh-CN"/>
                <w14:textFill>
                  <w14:solidFill>
                    <w14:schemeClr w14:val="tx1"/>
                  </w14:solidFill>
                </w14:textFill>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、联合体供应商，联合体任何一方存在上述不良信用记录的，视同联合体存在不良信用记录。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color w:val="000000"/>
                <w:sz w:val="21"/>
                <w:szCs w:val="21"/>
                <w:lang w:val="en-US" w:eastAsia="zh-CN"/>
              </w:rPr>
              <w:t>供应商存在以下不良信用记录情</w:t>
            </w:r>
            <w:r>
              <w:rPr>
                <w:rFonts w:hint="eastAsia" w:ascii="宋体" w:hAnsi="宋体" w:eastAsia="宋体" w:cs="宋体"/>
                <w:i w:val="0"/>
                <w:caps w:val="0"/>
                <w:color w:val="auto"/>
                <w:spacing w:val="0"/>
                <w:sz w:val="21"/>
                <w:szCs w:val="21"/>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t>
            </w:r>
            <w:r>
              <w:rPr>
                <w:rFonts w:hint="eastAsia" w:ascii="宋体" w:hAnsi="宋体" w:cs="宋体"/>
                <w:i w:val="0"/>
                <w:caps w:val="0"/>
                <w:color w:val="auto"/>
                <w:spacing w:val="0"/>
                <w:sz w:val="21"/>
                <w:szCs w:val="21"/>
                <w:shd w:val="clear" w:color="auto" w:fill="FFFFFF"/>
                <w:lang w:val="en-US" w:eastAsia="zh-CN"/>
              </w:rPr>
              <w:t>网</w:t>
            </w:r>
            <w:r>
              <w:rPr>
                <w:rFonts w:hint="eastAsia" w:ascii="宋体" w:hAnsi="宋体" w:eastAsia="宋体" w:cs="宋体"/>
                <w:i w:val="0"/>
                <w:caps w:val="0"/>
                <w:color w:val="auto"/>
                <w:spacing w:val="0"/>
                <w:sz w:val="21"/>
                <w:szCs w:val="21"/>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cs="宋体"/>
              </w:rPr>
              <w:t>参加开标会时应携带以下资料</w:t>
            </w:r>
            <w:r>
              <w:rPr>
                <w:rFonts w:hint="eastAsia" w:ascii="宋体" w:hAnsi="宋体" w:cs="宋体"/>
                <w:b/>
                <w:bCs/>
              </w:rPr>
              <w:t>原件现场查验</w:t>
            </w:r>
            <w:r>
              <w:rPr>
                <w:rFonts w:hint="eastAsia" w:ascii="宋体" w:hAnsi="宋体" w:cs="宋体"/>
              </w:rPr>
              <w:t>：</w:t>
            </w:r>
            <w:r>
              <w:rPr>
                <w:rFonts w:hint="eastAsia" w:ascii="宋体" w:hAnsi="宋体" w:cs="宋体"/>
                <w:b/>
                <w:bCs/>
                <w:color w:val="FF0000"/>
                <w:szCs w:val="22"/>
                <w:lang w:val="en-US" w:eastAsia="zh-CN"/>
              </w:rPr>
              <w:t>法人身份证明和法人身份证原件或</w:t>
            </w:r>
            <w:r>
              <w:rPr>
                <w:rFonts w:hint="eastAsia" w:ascii="宋体" w:hAnsi="宋体" w:cs="宋体"/>
                <w:b/>
                <w:bCs/>
                <w:color w:val="FF0000"/>
                <w:szCs w:val="22"/>
              </w:rPr>
              <w:t>授权委托代理人身份证和授权委托书原件、</w:t>
            </w:r>
            <w:r>
              <w:rPr>
                <w:rFonts w:hint="eastAsia" w:ascii="宋体" w:hAnsi="宋体" w:cs="宋体"/>
                <w:b/>
                <w:bCs/>
                <w:color w:val="FF0000"/>
                <w:szCs w:val="22"/>
                <w:lang w:val="en-US" w:eastAsia="zh-CN"/>
              </w:rPr>
              <w:t>保证金进账单</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000000" w:themeColor="text1"/>
                <w:highlight w:val="none"/>
                <w:lang w:val="en-US"/>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cs="宋体"/>
                <w:b/>
                <w:bCs/>
                <w:color w:val="000000"/>
                <w:highlight w:val="none"/>
                <w:lang w:val="en-US" w:eastAsia="zh-CN"/>
              </w:rPr>
              <w:t>，不足1000元缴纳1000元。</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363199266"/>
      <w:bookmarkStart w:id="14" w:name="_Toc438648662"/>
      <w:bookmarkStart w:id="15" w:name="_Toc12806"/>
      <w:bookmarkStart w:id="16" w:name="_Toc216158625"/>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安徽</w:t>
      </w:r>
      <w:r>
        <w:rPr>
          <w:rFonts w:hint="eastAsia" w:ascii="宋体" w:hAnsi="宋体" w:cs="宋体"/>
          <w:color w:val="auto"/>
          <w:szCs w:val="21"/>
          <w:lang w:val="en-US" w:eastAsia="zh-CN"/>
        </w:rPr>
        <w:t>大别山</w:t>
      </w:r>
      <w:r>
        <w:rPr>
          <w:rFonts w:hint="eastAsia" w:ascii="宋体" w:hAnsi="宋体" w:cs="宋体"/>
          <w:color w:val="auto"/>
          <w:szCs w:val="21"/>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1"/>
    <w:bookmarkEnd w:id="12"/>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2天将质疑电子版及纸质版（需加盖供应商公章）提交至51445063@qq.com，质疑纸质版需送至安徽大别山工程咨询有限公司111办公室。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5"/>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tbl>
      <w:tblPr>
        <w:tblStyle w:val="17"/>
        <w:tblW w:w="9854" w:type="dxa"/>
        <w:tblInd w:w="0" w:type="dxa"/>
        <w:shd w:val="clear" w:color="auto" w:fill="auto"/>
        <w:tblLayout w:type="fixed"/>
        <w:tblCellMar>
          <w:top w:w="0" w:type="dxa"/>
          <w:left w:w="0" w:type="dxa"/>
          <w:bottom w:w="0" w:type="dxa"/>
          <w:right w:w="0" w:type="dxa"/>
        </w:tblCellMar>
      </w:tblPr>
      <w:tblGrid>
        <w:gridCol w:w="570"/>
        <w:gridCol w:w="1229"/>
        <w:gridCol w:w="6330"/>
        <w:gridCol w:w="900"/>
        <w:gridCol w:w="825"/>
      </w:tblGrid>
      <w:tr>
        <w:tblPrEx>
          <w:shd w:val="clear" w:color="auto" w:fill="auto"/>
          <w:tblCellMar>
            <w:top w:w="0" w:type="dxa"/>
            <w:left w:w="0" w:type="dxa"/>
            <w:bottom w:w="0" w:type="dxa"/>
            <w:right w:w="0" w:type="dxa"/>
          </w:tblCellMar>
        </w:tblPrEx>
        <w:trPr>
          <w:trHeight w:val="719"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序号</w:t>
            </w:r>
          </w:p>
        </w:tc>
        <w:tc>
          <w:tcPr>
            <w:tcW w:w="12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项目名称</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项目特征描述</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计量</w:t>
            </w:r>
          </w:p>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单位</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工程量</w:t>
            </w:r>
          </w:p>
        </w:tc>
      </w:tr>
      <w:tr>
        <w:tblPrEx>
          <w:shd w:val="clear" w:color="auto" w:fill="auto"/>
          <w:tblCellMar>
            <w:top w:w="0" w:type="dxa"/>
            <w:left w:w="0" w:type="dxa"/>
            <w:bottom w:w="0" w:type="dxa"/>
            <w:right w:w="0" w:type="dxa"/>
          </w:tblCellMar>
        </w:tblPrEx>
        <w:trPr>
          <w:trHeight w:val="640" w:hRule="atLeast"/>
        </w:trPr>
        <w:tc>
          <w:tcPr>
            <w:tcW w:w="9854"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一、地磅项目（4节 16米地磅）</w:t>
            </w:r>
          </w:p>
        </w:tc>
      </w:tr>
      <w:tr>
        <w:tblPrEx>
          <w:shd w:val="clear" w:color="auto" w:fill="auto"/>
          <w:tblCellMar>
            <w:top w:w="0" w:type="dxa"/>
            <w:left w:w="0" w:type="dxa"/>
            <w:bottom w:w="0" w:type="dxa"/>
            <w:right w:w="0" w:type="dxa"/>
          </w:tblCellMar>
        </w:tblPrEx>
        <w:trPr>
          <w:trHeight w:val="322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秤台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（面板14mm）</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规格型号Specifications Model 3米* 16米SCS-150t</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最大称量The Largest Weighing 150t</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检定分度Test Index 20kg</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实际分度值Test Index 10kg</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安全过载 Save Overloaded 120%FS</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极限过载 Ultimate Overloaded 150%FS</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台面厚度 Surface Thickness 14mm</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秤体结构 Said Structure U型结构</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主梁规格 Main Specification 340U型槽6道，碳钢Q235材质，封底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地基形式 Basic Form 浅基坑、无基坑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精度等级 Accuracy Class C3, OIML III级   （精度高、灵敏度强）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电源 Power Supply 220VAC(－15％～＋10％),50HZ±2％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18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柯力PL-D40T传感器</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数字产品，精度高，优于C3；</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材质可分为优质合金钢、不锈钢，密封等级可达到IP68；</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双航空插拔式接口，可串联组秤，免接线盒，整套秤体系统防护等级IP68；防雷击浪涌能力强，可达80KA；承载钢球配橡胶防尘罩，可在泥沙、油污等恶劣环境下长期使用；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采用双屏蔽防鼠咬导线，防啮齿动物撕咬破坏导线； 产品现场安装快捷方便。质保一年。</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172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22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柯力D2008防作弊仪表</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配备RS-232C（RS422/RS485选配）通讯口，配备电流环大屏幕通讯口；配备标准并行打印接口。连接方式Connection mode RS485方式通讯距离Communication distance 约1000米接传感器个数Then the number of sensors 10个通讯协议Communication protocol 宁波柯力， 传感器电源Sensor power supply  DC 10V，0.8A（Max）</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显示范围Display range －325000～325000（d=10）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9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柯力J6防雷接线盒</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连接所有数字传感器，经过AD转换通过信号线把数据传输给数字仪表，不锈钢材质密封处理，防护等级IP68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9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7寸大屏</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远距离观察称重结果，可作为称重装置的辅助显示器。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与计算机连接，作为系统的辅助显示器。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称重仪表须配置相应的通讯接口.</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基本功能: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动态扫描锁存技术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高亮度数码块，特制的光学滤波薄膜，视角范围大；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显示系统或仪表输出的毛重</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技术参数:</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显示字符：6位LED字高125mm数码管；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电源：AC 187～242V；49～51Hz；</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通讯接口：RS232方式/电流环方式；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使用环境温度：0～40℃；</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使用环境湿度：≤85％RH；</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92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229"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威普网络版智能称重软件</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对日常过磅常用信息进行预存，如车号，货号收货单位，发货单位，规格等输入时直接点鼠标选择即可，减少人工输入汉字的麻烦，可按时间段进行查询统计汇总称重数据，重量不能手工输入，设置司磅员登陆密码。(可定制功能)</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5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运输费用及安装</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34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车牌自动识别系统</w:t>
            </w:r>
          </w:p>
        </w:tc>
        <w:tc>
          <w:tcPr>
            <w:tcW w:w="6330"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 摄像机类型：1/1.8" 逐行扫描CMOS，200万像素彩色逐行扫描CMOS高清智能摄像机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接口检查：1路RJ45 10M/100M/1000M自适应以太网口，1路RS-485 接口，1路RS-232接口，4路IO输入接口，1路IO输出接口，2路继电器输出，1个SYNC接口，1路BNC输出接口，1路音频输入，1路音频输出，1路TF卡插槽，1路USB接口，3颗LED补光灯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★最小照度：彩色0.002Lux@(F1.2,AGC ON)，黑白0.0002Lux @(F1.2,AGC ON)</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 视频压缩标准：H.265、H.264（Main Profile，High Profile,Baseline Profile)、M=JPEG、MPEG4</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 Smart 264编码：在静止场景下，图片质量无明显劣化得条件下，设备开启Smart264功能后，码流可降低至1/3；帧率：1-25帧/秒可设置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 音频编码：支持G.711a、G.711u、AAC、ADPCM音频编码标准，可根据需要扩展。</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 图像分辨率：包含OSD，最大为1920*1592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 视频亮度自适应：对准光源并调节光源亮度从暗到亮，监视画面能根据光源亮度变化进行自动调节至正常显示</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 宽动态范围：120db；信噪比≥60dB</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 三码输出：可同时输出主码流、子码流及第三路码流三种不同分辨率的视频图像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 视频压缩格式设置：可设置视频压缩格式为H.265（默认）或者MJPEG格式。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 TF卡存储功能：可在网络连接失效情况下，将抓拍的图片存储至设备自带的TF卡中，支持自动识别格式化，并支持图片检索，自动覆盖，自动上传功能。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13、网络数据存储功能：可将数据直接存储在通过网络连接的存储设备中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 断网续传功能：在正常工作情况下，当网络断开时，可将抓拍图片和录像文件存储于样机内置TF卡内，当网络恢复时，可继续上传图片和录像文件到客户端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 ★新能源车牌识别功能：在天气晴朗无雾，号牌无遮挡，无污损的条件进行测试，白天测试时的环境光照度不低于200lux，晚上不高于30lux。可对车道内的新能源车车牌进行识别</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16、 抗干扰功能：视频模式下，设备具备一定的抗干扰功能，支持空拍和同一辆车重复抓拍的过滤。</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17、 车牌识别范围：支持对车牌宽度范围从80*25到1200*300像素、水平倾斜角度范围从0到40度的车牌进行识别</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18、 支持TCP/IP、HTTPS、FTP、DSN、RTP、RTSP、RTC、NTP、UpnP、IPv6、DHCP、802.1x等网络协议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19、 ★倾斜车牌识别功能：在倾斜的情况下可对车辆的特征信息进行识别，包括车牌号码、车身颜色、车辆类型、车辆品牌以及车辆子品牌等功能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20、 车流量统计功能：支持对通过车辆进行车流量统计功能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21、 ★车辆子品牌识别功能：可识别常见3000种车辆子品牌种类，识别准确率白天≥97%，夜间≥95%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22、 黑白名单上传功能：支持黑白名单上传功能，1S内同步128条数据；黑白名单控制功能：可根据存储的黑白名单自动控制外接道闸开/管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23、 浪涌（冲击）抗扰度：符合GB/T 17626.5-2008中规定的，AC电源端口：线-线等级2、线-地6KV；其他电\信号线端口：线-地等级2.</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24、 泄漏电流≤5mA；绝缘电阻：受潮处理后，≥2MΩ；抗电强度：1.5KV 1min，无飞弧和击穿现象。</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25、 外壳防护等级：IP67；工作温度：-40℃~80℃；功耗&lt;15w；电源：AC220V +/-25%的供电条件下正常工作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二、补光设备：1、 16颗原装进口大功率（暖光）LED常亮灯；（带N为暖光灯）</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三车道环境补光灯，最佳补光距离16m～25m；最大功率30W</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★补光灯自带光敏控制，在低照度下自动开启，低照度阀值可设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 支持自闪、跟随、自动频闪（外部摄像机触发）模式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 ★频率0-250HZ可调；支持通过调整占空比1%~39%进行亮度调节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 支持在频率≥250HZ或占空比≥39%时进行自我保护，自动熄灭</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 ★支持爆闪功能，爆闪持续时间、延迟时间及最小间隔时间可设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 支持通过同步输出端口级联</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 可远程显示补光灯故障、正常、开启、关闭等工作状态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 电源电压在AC80V~264V范围内变化时，设备能正常工作</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 工作环境-40℃~85℃</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 防护等级IP66</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 可外配光栅可有效减少周边光污染</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★提供针对本项目的原厂授权书及售后服务承诺函</w:t>
            </w:r>
            <w:r>
              <w:rPr>
                <w:rFonts w:hint="eastAsia" w:ascii="宋体" w:hAnsi="宋体" w:cs="宋体"/>
                <w:i w:val="0"/>
                <w:color w:val="000000"/>
                <w:kern w:val="0"/>
                <w:sz w:val="20"/>
                <w:szCs w:val="20"/>
                <w:u w:val="none"/>
                <w:lang w:val="en-US" w:eastAsia="zh-CN" w:bidi="ar"/>
              </w:rPr>
              <w:t>扫面件加盖原厂公章</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680" w:hRule="atLeast"/>
        </w:trPr>
        <w:tc>
          <w:tcPr>
            <w:tcW w:w="57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229"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主信号线缆</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采用6芯双屏蔽信号线，材质为铜</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520" w:hRule="atLeast"/>
        </w:trPr>
        <w:tc>
          <w:tcPr>
            <w:tcW w:w="9854" w:type="dxa"/>
            <w:gridSpan w:val="5"/>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二、监控系统</w:t>
            </w:r>
          </w:p>
        </w:tc>
      </w:tr>
      <w:tr>
        <w:tblPrEx>
          <w:shd w:val="clear" w:color="auto" w:fill="auto"/>
          <w:tblCellMar>
            <w:top w:w="0" w:type="dxa"/>
            <w:left w:w="0" w:type="dxa"/>
            <w:bottom w:w="0" w:type="dxa"/>
            <w:right w:w="0" w:type="dxa"/>
          </w:tblCellMar>
        </w:tblPrEx>
        <w:trPr>
          <w:trHeight w:val="81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摄像头（枪机）</w:t>
            </w:r>
          </w:p>
        </w:tc>
        <w:tc>
          <w:tcPr>
            <w:tcW w:w="63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 具有不小于1/2.8 inch逐行扫描200万像素CMOS图像传感器；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焦距：4.mm/6.0mm/8.0mm/12.0mm可选；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图像分辨力不小于1100线，亮度等级不小于11级；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 ★最低照度：≤0.0005lx（彩色）、≤0.0001lx（黑白），提供公安部权威机构出具的报告盖章复印件；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 支持H.265、H.264视频编码，支持数字降噪、透雾功能、区域遮盖、走廊模式；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 ★具备宽动态能力，宽动态能力综合评分得分不低于136，支持宽动态条纹抑制，提供公安部权威机构出具的报告盖章复印件；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 ★具有字符叠加（OSD）功能，字体颜色、描边、背景、空心可设置，可在视频图像叠加图片，叠加的OSD可在屏幕中滚动显示，提供公安部权威机构出具的报告盖章复印件；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 ★支持智能红外功能，可根据被摄物的距离自动调节红外光功率密度，红外作用距离可达250m，提供公安部权威机构出具的报告盖章复印件；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 支持区域入侵、越界入侵、移动侦测等智能行为分析；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 ★为了保证前端设备接入访问的安全性，支持密码复杂度提示、故障报警功能，支持认证模式设置，设置选项包括无、basic、和digest三种，提供公安部权威机构出具的报告盖章复印件；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 ★支持网关ARP绑定功能，摄像机可通过IE浏览器添加并绑定所在网段网关的MAC地址，当其它终端设备访问摄像机时，在使用正确网关MAC地址时可正常访问摄像机，当使用错误网关的MAC地址时不能访问摄像机，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 支持TCP/IP、HTTP、HTTPS、RTSP、SNMP、组播网络协议；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 ★支持安全接入功能，当摄像机在管理平台软件注册并上线后，只能通过管理平台软件配置和管理摄像机，不能通过其他方式登录、配置和管理摄像机，提供公安部权威机构出具的报告盖章复印件；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 ★支持友好密码功能，启用该策略时与摄像机处于同一网段的地址可以使用摄像机出厂密码登录和访问，跨网段的地址只能使用复杂度为高的密码登录和访问摄像机，提供公安部权威机构出具的报告盖章复印件；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15. ★电源电压在DC12V±35%范围内变化时，摄像机可正常工作，当直流电源接口正负反接时，摄像机可正常工作，提供公安部权威机构出具的报告盖章复印件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16. 支持不低于IP66防护等级；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17. ★符合GA/T1127-2013安全防范视频监控摄像机通用技术要求，提供公安部权威机构出具的报告盖章复印件。</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r>
      <w:tr>
        <w:tblPrEx>
          <w:shd w:val="clear" w:color="auto" w:fill="auto"/>
          <w:tblCellMar>
            <w:top w:w="0" w:type="dxa"/>
            <w:left w:w="0" w:type="dxa"/>
            <w:bottom w:w="0" w:type="dxa"/>
            <w:right w:w="0" w:type="dxa"/>
          </w:tblCellMar>
        </w:tblPrEx>
        <w:trPr>
          <w:trHeight w:val="62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摄像头</w:t>
            </w:r>
          </w:p>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（半球）</w:t>
            </w:r>
          </w:p>
        </w:tc>
        <w:tc>
          <w:tcPr>
            <w:tcW w:w="63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1.具有不小于1/2.7英寸逐行扫描200万像素CMOS图像传感器；</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2.焦距：2.8mm/4mm/6mm，焦距可选；</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3.支持H.265、H.264视频编码；分辨率1920*1080；最低照度：≤0.005lx（彩色）、≤0.0005lx（黑白）；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4.★支持OSD显示功能，字体颜色、描边、背景、空心可设置，叠加的OSD可以在屏幕中滚动显示, 可以叠加图片格式的OSD，提供公安部权威机构出具的报告盖章复印件；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5.支持数字降噪、透雾功能、区域遮盖、走廊模式、宽动态功能；支持区域入侵、越界入侵、快速移动智能行为分析；</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6.★具有多种场景设置供选择，可手动切换或根据时间、光照范围和仰角实现自动切换功能，提供公安部权威机构出具的报告盖章复印件；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7.★静止场景，相同图像质量下，使用H.265/H.254编码格式开启智能编码高级模式与基础模式相比，码流可节省码流85%，提供公安部权威机构出具的报告盖章复印件；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8.★支持密码复杂度提示、非法登陆、telnet访问方式默认关闭、认证模式支持（无、basic、digest）三种，网关ARP绑定功能，视频水印功能，提供公安部权威机构出具的报告盖章复印件；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9.支持TCP/IP、HTTP、HTTPS、RTSP、DHCP、NTP网络协议；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10.支持不低于IP66防护等级；</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11.★支持智能红外功能，红外灯开启时，摄像机可根据被摄物的距离自动调节红外光功率密度，提供公安部权威机构出具的报告盖章复印件；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12.支持DC12V±25%供电；</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13.★支持电源备份功能，摄像机可同时采用DC12V和POE供电，当一路电源停止供电后，摄像机可正常工作，提供公安部权威机构出具的报告盖章复印件；</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14.符合GA/T1127-2013安全防范视频监控摄像机通用技术要求。</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r>
      <w:tr>
        <w:tblPrEx>
          <w:shd w:val="clear" w:color="auto" w:fill="auto"/>
          <w:tblCellMar>
            <w:top w:w="0" w:type="dxa"/>
            <w:left w:w="0" w:type="dxa"/>
            <w:bottom w:w="0" w:type="dxa"/>
            <w:right w:w="0" w:type="dxa"/>
          </w:tblCellMar>
        </w:tblPrEx>
        <w:trPr>
          <w:trHeight w:val="48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宇视NVR-B200-E2硬盘录像机</w:t>
            </w:r>
          </w:p>
        </w:tc>
        <w:tc>
          <w:tcPr>
            <w:tcW w:w="63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 2盘位硬盘录像机，可接入不少于16路的1080P高清网络视频；</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 ★具有不少于2个RJ45 10M/100M/1000M自适应以太网口、1个HDMI接口、1个VGA接口、1个CVBS视频输出接口、1对音频输入/输出接口、2个USB2.0、1个USB3.0接口、8路报警输入/2路报警输出接口、1个RS232、1个RS485接口、2个SATA3.0接口，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 ★具有1个硬盘指示灯（HD）、运行指示灯（RUN）、网络运行状态指示灯（NET）、云状态指示灯、电源指示灯，提供公安部检测机构产品专业认证测试报告；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 支持4路12MP视频图像同时输出，或4路4K视频图像同时解码，或16路1920×1080分辨率的H265/264格式的IPC视频同时解码；</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 ★支持指定网段搜索添加IPC，支持一键添加局域网内IPC出图像，自动修改IPC的IP地址，提供公安部检测机构产品专业认证测试报告；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 支持HDMI1与VGA接口之间输出相同的视频画面，支持HDMI2与VGA接口之间输出不同的视频画面；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7. 支持标准GB/T28181协议、标准ONVIF协议、RSTP、自定义等协议的网络摄像机接入；</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8. 支持对接入的IPC进行带宽检测，可查看IPC的总带宽；</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9. 支持1/4/6/8/9/16分屏预览模式，支持多屏同时预览，同时轮切，支持预览界面拖动窗格进行图像位置互换；</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10. ★支持1/2/3画面的走廊模式回放，支持对IPC进行图像镜像配置，提供公安部检测机构产品专业认证测试报告；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11. ★支持自动开启摄像机智能编码和H.265，提供公安部检测机构产品专业认证测试报告；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12. ★支持对前端IPC直接开启音频及语音对讲，并在预览界面叠加图标OSD，提供公安部检测机构产品专业认证测试报告；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13. 支持配额存储配置，可对摄像机分配不同的存储空间，支持硬盘SMART信息检测，支持前端摄像机断网恢复后，自动接收摄像机SD卡存储的视频图像；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14. 支持多种基本回放模式：标签回放、事件回放、外部文件回放、日志回放，支持回放断电、断网前一秒的录像；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15. 支持16路人机同步回放，支持1/8、1/4、1/2、1、2、4、8、16、32、64、128、256倍速正放；1、2、4、8、16、32、64、128、256倍速倒放；</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16. ★支持录像剪辑，并用不同颜色标记处剪辑的录像时间范围，提供公安部检测机构产品专业认证测试报告；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17. 支持运动检测、视频丢失、音频检测、遮挡检测、开关量等多种告警上报；</w:t>
            </w:r>
          </w:p>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 ★支持配置运动检测物体大小、告警持续时长、灵敏度，提供公安部检测机构产品专业认证测试报告；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19. 支持告警联动动作，包括：声音报警、发送邮件、联动存储、联动报警输出、预置位、抓图、报警弹窗、联动预览等；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20. 支持将设备MAC地址和指定的网关绑定，只有通过绑定的网关才可以远程访问设备；</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21. 支持不低于3种语音对讲：可通过NVR客户端和本机下的IPC进行双向语音对讲；可通过NVR本机和本机下的IPC之间语音对讲功能；可通过NVR客户端和本机进行双向语音对讲；</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22. 支持IPC离线状态原因说明，包括设备连接中、用户名密码错误、网络不通、请求媒体流失败、媒体流中断、带宽不足、弱密码拒绝访问；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23. ★支持4路人脸识别功能，支持添加黑/白名单人脸库，支持实时比对人脸功能。对符合设置条件的人脸触发报警或者联动功能，提供公安部检测机构产品专业认证测试报告；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24. 支持人数统计功能功能，根据绊线检测告警，快速统计进入区域人数、离开区域人数以及该区域总人数，支持单个通道或多个通道按照日、月、年的方式以柱状图或列表的方式生成统计的报表，并可通过U盘或移动硬盘等外置设备导出统计的报表数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25. ★支持对NVR进行云升级，支持对NVR接入的IPC进行单个或批量云升级；提供公安部检测机构产品专业认证测试报告；</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26. 支持手机APP客户端（兼容安卓和苹果系统）、IPAD客户端、PC客户端远程访问。</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27.★与矿产公司监控平台进行无缝对接，使监控大屏能够观看。</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36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24口网络交换机</w:t>
            </w:r>
          </w:p>
        </w:tc>
        <w:tc>
          <w:tcPr>
            <w:tcW w:w="63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技术参数要求：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1、标准1U高机架设备，金属机壳，可上机架 ，固化千兆电接口数≥8个；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 xml:space="preserve">2、交换容量≥48Gbps，包转发率≥35.7Mpps； </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3、MAC地址表≥8K；</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4、★配置流控开关 ，可开启或关闭整机流控功能，提供官网查询链接及截图作为证明材料，并加盖原厂公章或投标专用章；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5、★端口缓存≥4M，提供官网查询链接及截图作为证明材料，并加盖原厂公章或投标专用章；</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6、设备防雷不低于4KV。</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★资质要求：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1、要求投标产品提供国家强制性产品认证证书复印件。</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WD监控硬盘</w:t>
            </w:r>
          </w:p>
        </w:tc>
        <w:tc>
          <w:tcPr>
            <w:tcW w:w="63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WD4000G监控级硬盘</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4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支架</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三层万向节/钢/白 喷塑/100×100×92.5mm</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付</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r>
      <w:tr>
        <w:tblPrEx>
          <w:shd w:val="clear" w:color="auto" w:fill="auto"/>
          <w:tblCellMar>
            <w:top w:w="0" w:type="dxa"/>
            <w:left w:w="0" w:type="dxa"/>
            <w:bottom w:w="0" w:type="dxa"/>
            <w:right w:w="0" w:type="dxa"/>
          </w:tblCellMar>
        </w:tblPrEx>
        <w:trPr>
          <w:trHeight w:val="7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杆件</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根据现场情况定制3-3.5M；不出现虚焊、漏焊、夹渣及严重翘曲等焊接缺陷。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62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2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杆件基础</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根据现场情况定制。</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5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配件</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通用型抱杆支架,加长型 、三维可调安装支架电源线、网线、监控电源、背包箱、等配套、光纤等配套设施</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项</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r>
      <w:tr>
        <w:tblPrEx>
          <w:shd w:val="clear" w:color="auto" w:fill="auto"/>
          <w:tblCellMar>
            <w:top w:w="0" w:type="dxa"/>
            <w:left w:w="0" w:type="dxa"/>
            <w:bottom w:w="0" w:type="dxa"/>
            <w:right w:w="0" w:type="dxa"/>
          </w:tblCellMar>
        </w:tblPrEx>
        <w:trPr>
          <w:trHeight w:val="398"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网络机柜</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供交换机、硬盘录像机使用。1米</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2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监控显示器</w:t>
            </w:r>
          </w:p>
        </w:tc>
        <w:tc>
          <w:tcPr>
            <w:tcW w:w="63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21.5寸显示器用于观看监控实时视频</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560" w:hRule="atLeast"/>
        </w:trPr>
        <w:tc>
          <w:tcPr>
            <w:tcW w:w="9854"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三、活动钢构基础</w:t>
            </w:r>
          </w:p>
        </w:tc>
      </w:tr>
      <w:tr>
        <w:tblPrEx>
          <w:shd w:val="clear" w:color="auto" w:fill="auto"/>
          <w:tblCellMar>
            <w:top w:w="0" w:type="dxa"/>
            <w:left w:w="0" w:type="dxa"/>
            <w:bottom w:w="0" w:type="dxa"/>
            <w:right w:w="0" w:type="dxa"/>
          </w:tblCellMar>
        </w:tblPrEx>
        <w:trPr>
          <w:trHeight w:val="44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w:t>
            </w:r>
          </w:p>
        </w:tc>
        <w:tc>
          <w:tcPr>
            <w:tcW w:w="12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钢构基础</w:t>
            </w:r>
          </w:p>
        </w:tc>
        <w:tc>
          <w:tcPr>
            <w:tcW w:w="63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用于4节16米地磅</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r>
      <w:tr>
        <w:tblPrEx>
          <w:shd w:val="clear" w:color="auto" w:fill="auto"/>
          <w:tblCellMar>
            <w:top w:w="0" w:type="dxa"/>
            <w:left w:w="0" w:type="dxa"/>
            <w:bottom w:w="0" w:type="dxa"/>
            <w:right w:w="0" w:type="dxa"/>
          </w:tblCellMar>
        </w:tblPrEx>
        <w:trPr>
          <w:trHeight w:val="2700" w:hRule="atLeast"/>
        </w:trPr>
        <w:tc>
          <w:tcPr>
            <w:tcW w:w="9854" w:type="dxa"/>
            <w:gridSpan w:val="5"/>
            <w:tcBorders>
              <w:top w:val="nil"/>
              <w:left w:val="nil"/>
              <w:bottom w:val="nil"/>
              <w:right w:val="nil"/>
            </w:tcBorders>
            <w:shd w:val="clear" w:color="auto" w:fill="auto"/>
            <w:tcMar>
              <w:top w:w="15" w:type="dxa"/>
              <w:left w:w="15" w:type="dxa"/>
              <w:right w:w="15" w:type="dxa"/>
            </w:tcMar>
            <w:vAlign w:val="center"/>
          </w:tcPr>
          <w:p>
            <w:pPr>
              <w:pStyle w:val="36"/>
              <w:keepNext/>
              <w:keepLines/>
              <w:pageBreakBefore w:val="0"/>
              <w:widowControl w:val="0"/>
              <w:kinsoku/>
              <w:wordWrap/>
              <w:overflowPunct/>
              <w:topLinePunct w:val="0"/>
              <w:autoSpaceDE/>
              <w:autoSpaceDN/>
              <w:bidi w:val="0"/>
              <w:adjustRightInd w:val="0"/>
              <w:snapToGrid/>
              <w:spacing w:before="0" w:after="0" w:line="400" w:lineRule="exact"/>
              <w:jc w:val="both"/>
              <w:textAlignment w:val="baseline"/>
              <w:outlineLvl w:val="9"/>
              <w:rPr>
                <w:rFonts w:hint="eastAsia" w:ascii="宋体" w:hAnsi="宋体" w:cs="宋体"/>
                <w:b/>
                <w:color w:val="000000"/>
              </w:rPr>
            </w:pPr>
            <w:r>
              <w:rPr>
                <w:rFonts w:hint="eastAsia" w:ascii="宋体" w:hAnsi="宋体" w:cs="宋体"/>
                <w:b/>
                <w:color w:val="000000"/>
              </w:rPr>
              <w:t>说明：货物需求如有参考品牌，仅作为说明，没有限制性，投标人在投标中可以选用替代标准，但这些替代标准要优于或相当于采购单位要求的标准并提供证明材料，以满足采购人的需要。</w:t>
            </w:r>
          </w:p>
          <w:p>
            <w:pPr>
              <w:pStyle w:val="36"/>
              <w:keepNext/>
              <w:keepLines/>
              <w:pageBreakBefore w:val="0"/>
              <w:widowControl w:val="0"/>
              <w:kinsoku/>
              <w:wordWrap/>
              <w:overflowPunct/>
              <w:topLinePunct w:val="0"/>
              <w:autoSpaceDE/>
              <w:autoSpaceDN/>
              <w:bidi w:val="0"/>
              <w:adjustRightInd w:val="0"/>
              <w:snapToGrid/>
              <w:spacing w:before="0" w:after="0" w:line="400" w:lineRule="exact"/>
              <w:ind w:left="0" w:leftChars="0" w:firstLine="0" w:firstLineChars="0"/>
              <w:jc w:val="both"/>
              <w:textAlignment w:val="baseline"/>
              <w:outlineLvl w:val="9"/>
              <w:rPr>
                <w:rFonts w:hint="eastAsia" w:ascii="宋体" w:hAnsi="宋体" w:eastAsia="宋体" w:cs="宋体"/>
                <w:b/>
                <w:i w:val="0"/>
                <w:color w:val="000000"/>
                <w:kern w:val="0"/>
                <w:sz w:val="22"/>
                <w:szCs w:val="22"/>
                <w:u w:val="none"/>
                <w:lang w:val="en-US" w:eastAsia="zh-CN" w:bidi="ar"/>
              </w:rPr>
            </w:pPr>
            <w:r>
              <w:rPr>
                <w:rFonts w:hint="eastAsia"/>
                <w:color w:val="auto"/>
                <w:sz w:val="21"/>
                <w:szCs w:val="21"/>
              </w:rPr>
              <w:t>备注：</w:t>
            </w:r>
            <w:r>
              <w:rPr>
                <w:rFonts w:hint="eastAsia" w:ascii="宋体" w:hAnsi="宋体" w:eastAsia="宋体" w:cs="宋体"/>
                <w:b/>
                <w:i w:val="0"/>
                <w:color w:val="000000"/>
                <w:kern w:val="0"/>
                <w:sz w:val="22"/>
                <w:szCs w:val="22"/>
                <w:u w:val="none"/>
                <w:lang w:val="en-US" w:eastAsia="zh-CN" w:bidi="ar"/>
              </w:rPr>
              <w:t>1</w:t>
            </w:r>
            <w:r>
              <w:rPr>
                <w:rFonts w:hint="eastAsia" w:cs="宋体"/>
                <w:b/>
                <w:i w:val="0"/>
                <w:color w:val="000000"/>
                <w:kern w:val="0"/>
                <w:sz w:val="22"/>
                <w:szCs w:val="22"/>
                <w:u w:val="none"/>
                <w:lang w:val="en-US" w:eastAsia="zh-CN" w:bidi="ar"/>
              </w:rPr>
              <w:t>.</w:t>
            </w:r>
            <w:r>
              <w:rPr>
                <w:rFonts w:hint="eastAsia" w:ascii="宋体" w:hAnsi="宋体" w:eastAsia="宋体" w:cs="宋体"/>
                <w:b/>
                <w:i w:val="0"/>
                <w:color w:val="000000"/>
                <w:kern w:val="0"/>
                <w:sz w:val="22"/>
                <w:szCs w:val="22"/>
                <w:u w:val="none"/>
                <w:lang w:val="en-US" w:eastAsia="zh-CN" w:bidi="ar"/>
              </w:rPr>
              <w:t>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keepNext w:val="0"/>
              <w:keepLines w:val="0"/>
              <w:pageBreakBefore w:val="0"/>
              <w:widowControl/>
              <w:numPr>
                <w:ilvl w:val="0"/>
                <w:numId w:val="3"/>
              </w:numPr>
              <w:suppressLineNumbers w:val="0"/>
              <w:kinsoku/>
              <w:wordWrap/>
              <w:overflowPunct/>
              <w:topLinePunct w:val="0"/>
              <w:autoSpaceDE/>
              <w:autoSpaceDN/>
              <w:bidi w:val="0"/>
              <w:snapToGrid/>
              <w:spacing w:line="400" w:lineRule="exact"/>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要求标有“★”参数必须满足，如不满足作废标处理。</w:t>
            </w:r>
          </w:p>
          <w:p>
            <w:pPr>
              <w:keepNext w:val="0"/>
              <w:keepLines w:val="0"/>
              <w:pageBreakBefore w:val="0"/>
              <w:widowControl/>
              <w:numPr>
                <w:ilvl w:val="0"/>
                <w:numId w:val="3"/>
              </w:numPr>
              <w:suppressLineNumbers w:val="0"/>
              <w:kinsoku/>
              <w:wordWrap/>
              <w:overflowPunct/>
              <w:topLinePunct w:val="0"/>
              <w:autoSpaceDE/>
              <w:autoSpaceDN/>
              <w:bidi w:val="0"/>
              <w:snapToGrid/>
              <w:spacing w:line="400" w:lineRule="exact"/>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项目完成且验收合格后，付合同总价的80%，余款20%留作质保金，质保期一年满无质量问题一次性付清（无息）</w:t>
            </w:r>
          </w:p>
          <w:p>
            <w:pPr>
              <w:keepNext w:val="0"/>
              <w:keepLines w:val="0"/>
              <w:pageBreakBefore w:val="0"/>
              <w:widowControl/>
              <w:numPr>
                <w:ilvl w:val="0"/>
                <w:numId w:val="3"/>
              </w:numPr>
              <w:suppressLineNumbers w:val="0"/>
              <w:kinsoku/>
              <w:wordWrap/>
              <w:overflowPunct/>
              <w:topLinePunct w:val="0"/>
              <w:autoSpaceDE/>
              <w:autoSpaceDN/>
              <w:bidi w:val="0"/>
              <w:snapToGrid/>
              <w:spacing w:line="400" w:lineRule="exact"/>
              <w:jc w:val="left"/>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合同签订完成后7天内完成供货安装；</w:t>
            </w:r>
          </w:p>
          <w:p>
            <w:pPr>
              <w:keepNext w:val="0"/>
              <w:keepLines w:val="0"/>
              <w:pageBreakBefore w:val="0"/>
              <w:widowControl/>
              <w:suppressLineNumbers w:val="0"/>
              <w:kinsoku/>
              <w:wordWrap/>
              <w:overflowPunct/>
              <w:topLinePunct w:val="0"/>
              <w:autoSpaceDE/>
              <w:autoSpaceDN/>
              <w:bidi w:val="0"/>
              <w:snapToGrid/>
              <w:spacing w:line="400" w:lineRule="exact"/>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5、项目中标后，城区半小时到达维修现场进行维修，偏远地区1小时到达现场维修，7*24小时提供售后服务。标书中提供服务承诺函。</w:t>
            </w:r>
          </w:p>
        </w:tc>
      </w:tr>
    </w:tbl>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37" w:name="_Toc11297"/>
      <w:bookmarkStart w:id="38" w:name="_Toc4288_WPSOffice_Level1"/>
    </w:p>
    <w:p>
      <w:pPr>
        <w:jc w:val="center"/>
        <w:rPr>
          <w:rFonts w:hint="eastAsia" w:ascii="宋体" w:hAnsi="宋体" w:eastAsia="宋体" w:cs="宋体"/>
          <w:color w:val="auto"/>
          <w:sz w:val="21"/>
          <w:szCs w:val="21"/>
        </w:rPr>
      </w:pPr>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6"/>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4"/>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2" w:name="_Toc31656"/>
      <w:bookmarkStart w:id="53" w:name="_Toc471299104"/>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pStyle w:val="2"/>
        <w:spacing w:line="360" w:lineRule="auto"/>
        <w:jc w:val="center"/>
        <w:rPr>
          <w:rFonts w:hint="eastAsia" w:ascii="宋体" w:hAnsi="宋体" w:eastAsia="宋体"/>
          <w:color w:val="auto"/>
          <w:highlight w:val="none"/>
        </w:rPr>
      </w:pPr>
      <w:bookmarkStart w:id="54" w:name="_Toc16469"/>
      <w:bookmarkStart w:id="55" w:name="_Toc30884"/>
      <w:bookmarkStart w:id="56" w:name="_Toc8862_WPSOffice_Level1"/>
      <w:bookmarkStart w:id="57" w:name="_Toc471299105"/>
      <w:r>
        <w:rPr>
          <w:rFonts w:hint="eastAsia" w:ascii="宋体" w:hAnsi="宋体" w:eastAsia="宋体"/>
          <w:color w:val="auto"/>
          <w:highlight w:val="none"/>
        </w:rPr>
        <w:t>法定代表人身份证明</w:t>
      </w:r>
      <w:bookmarkEnd w:id="54"/>
      <w:bookmarkEnd w:id="55"/>
    </w:p>
    <w:p>
      <w:pPr>
        <w:spacing w:line="360" w:lineRule="auto"/>
        <w:ind w:firstLine="420" w:firstLineChars="200"/>
        <w:rPr>
          <w:rFonts w:hint="eastAsia"/>
          <w:color w:val="auto"/>
          <w:highlight w:val="none"/>
          <w:u w:val="single"/>
        </w:rPr>
      </w:pPr>
      <w:bookmarkStart w:id="58" w:name="_Toc256691626"/>
      <w:bookmarkStart w:id="59" w:name="_Toc256695502"/>
      <w:r>
        <w:rPr>
          <w:rFonts w:hint="eastAsia"/>
          <w:color w:val="auto"/>
          <w:highlight w:val="none"/>
          <w:lang w:eastAsia="zh-CN"/>
        </w:rPr>
        <w:t>承包人</w:t>
      </w:r>
      <w:r>
        <w:rPr>
          <w:rFonts w:hint="eastAsia"/>
          <w:color w:val="auto"/>
          <w:highlight w:val="none"/>
        </w:rPr>
        <w:t>名称：</w:t>
      </w:r>
      <w:bookmarkEnd w:id="58"/>
      <w:bookmarkEnd w:id="59"/>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0" w:name="_Toc256695507"/>
      <w:bookmarkStart w:id="61"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0"/>
      <w:bookmarkEnd w:id="61"/>
      <w:bookmarkStart w:id="62" w:name="_Toc256691632"/>
      <w:bookmarkStart w:id="63"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2"/>
      <w:bookmarkEnd w:id="63"/>
    </w:p>
    <w:p>
      <w:pPr>
        <w:spacing w:line="360" w:lineRule="auto"/>
        <w:ind w:firstLine="840" w:firstLineChars="400"/>
        <w:rPr>
          <w:rFonts w:hint="eastAsia"/>
          <w:color w:val="auto"/>
          <w:highlight w:val="none"/>
        </w:rPr>
      </w:pPr>
      <w:bookmarkStart w:id="64" w:name="_Toc256691633"/>
      <w:bookmarkStart w:id="65" w:name="_Toc256695509"/>
      <w:r>
        <w:rPr>
          <w:rFonts w:hint="eastAsia"/>
          <w:color w:val="auto"/>
          <w:highlight w:val="none"/>
        </w:rPr>
        <w:t>特此证明。</w:t>
      </w:r>
      <w:bookmarkEnd w:id="64"/>
      <w:bookmarkEnd w:id="65"/>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66" w:name="_Toc256695510"/>
      <w:bookmarkStart w:id="67"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66"/>
      <w:bookmarkEnd w:id="67"/>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68" w:name="_Toc256695511"/>
      <w:bookmarkStart w:id="69"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68"/>
      <w:bookmarkEnd w:id="69"/>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70" w:name="_Toc26907"/>
      <w:r>
        <w:rPr>
          <w:rFonts w:hint="eastAsia" w:ascii="宋体" w:hAnsi="宋体" w:eastAsia="宋体" w:cs="宋体"/>
          <w:color w:val="auto"/>
          <w:sz w:val="21"/>
          <w:szCs w:val="21"/>
        </w:rPr>
        <w:t>附件</w:t>
      </w:r>
      <w:bookmarkEnd w:id="57"/>
      <w:bookmarkEnd w:id="70"/>
      <w:r>
        <w:rPr>
          <w:rFonts w:hint="eastAsia" w:ascii="宋体" w:hAnsi="宋体" w:cs="宋体"/>
          <w:color w:val="auto"/>
          <w:sz w:val="21"/>
          <w:szCs w:val="21"/>
          <w:lang w:eastAsia="zh-CN"/>
        </w:rPr>
        <w:t>三</w:t>
      </w:r>
    </w:p>
    <w:p>
      <w:pPr>
        <w:jc w:val="center"/>
        <w:rPr>
          <w:rFonts w:hint="eastAsia"/>
          <w:b/>
          <w:bCs/>
          <w:color w:val="auto"/>
          <w:sz w:val="28"/>
          <w:szCs w:val="28"/>
        </w:rPr>
      </w:pPr>
      <w:bookmarkStart w:id="71" w:name="_Toc3858_WPSOffice_Level1"/>
      <w:bookmarkStart w:id="72" w:name="_Toc516969098"/>
      <w:bookmarkStart w:id="73" w:name="_Toc148501698"/>
      <w:r>
        <w:rPr>
          <w:rFonts w:hint="eastAsia"/>
          <w:b/>
          <w:bCs/>
          <w:color w:val="auto"/>
          <w:sz w:val="28"/>
          <w:szCs w:val="28"/>
        </w:rPr>
        <w:t>响应函</w:t>
      </w:r>
      <w:bookmarkEnd w:id="71"/>
      <w:bookmarkEnd w:id="72"/>
      <w:bookmarkEnd w:id="73"/>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74" w:name="_Toc471299106"/>
      <w:bookmarkStart w:id="75" w:name="_Toc30711"/>
      <w:bookmarkStart w:id="76" w:name="_Toc417045478"/>
      <w:r>
        <w:rPr>
          <w:rFonts w:hint="eastAsia" w:ascii="宋体" w:hAnsi="宋体" w:eastAsia="宋体" w:cs="宋体"/>
          <w:color w:val="auto"/>
          <w:sz w:val="21"/>
          <w:szCs w:val="21"/>
        </w:rPr>
        <w:t>附件</w:t>
      </w:r>
      <w:bookmarkEnd w:id="74"/>
      <w:bookmarkEnd w:id="75"/>
      <w:bookmarkEnd w:id="76"/>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7" w:name="_Toc1513_WPSOffice_Level1"/>
      <w:r>
        <w:rPr>
          <w:rFonts w:hint="eastAsia"/>
          <w:b/>
          <w:bCs/>
          <w:color w:val="auto"/>
          <w:sz w:val="28"/>
          <w:szCs w:val="28"/>
          <w:lang w:val="zh-CN"/>
        </w:rPr>
        <w:t>无重大违法记录声明函</w:t>
      </w:r>
      <w:bookmarkEnd w:id="7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8" w:name="_Toc29566_WPSOffice_Level1"/>
    </w:p>
    <w:p>
      <w:pPr>
        <w:jc w:val="center"/>
        <w:rPr>
          <w:rFonts w:hint="eastAsia"/>
          <w:b/>
          <w:bCs/>
          <w:color w:val="auto"/>
          <w:sz w:val="28"/>
          <w:szCs w:val="28"/>
          <w:lang w:val="zh-CN"/>
        </w:rPr>
      </w:pPr>
    </w:p>
    <w:p>
      <w:pPr>
        <w:jc w:val="center"/>
        <w:rPr>
          <w:rFonts w:hint="eastAsia"/>
          <w:b/>
          <w:bCs/>
          <w:color w:val="auto"/>
          <w:sz w:val="28"/>
          <w:szCs w:val="28"/>
          <w:lang w:val="zh-CN"/>
        </w:rPr>
      </w:pPr>
      <w:r>
        <w:rPr>
          <w:rFonts w:hint="eastAsia"/>
          <w:b/>
          <w:bCs/>
          <w:color w:val="auto"/>
          <w:sz w:val="28"/>
          <w:szCs w:val="28"/>
          <w:lang w:val="zh-CN"/>
        </w:rPr>
        <w:t>无不良信用记录承诺函</w:t>
      </w:r>
      <w:bookmarkEnd w:id="7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9"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0" w:name="_Toc3574"/>
      <w:bookmarkStart w:id="81" w:name="_Toc471299107"/>
      <w:r>
        <w:rPr>
          <w:rFonts w:hint="eastAsia" w:ascii="宋体" w:hAnsi="宋体" w:eastAsia="宋体" w:cs="宋体"/>
          <w:color w:val="auto"/>
          <w:sz w:val="21"/>
          <w:szCs w:val="21"/>
        </w:rPr>
        <w:t>附件</w:t>
      </w:r>
      <w:bookmarkEnd w:id="79"/>
      <w:bookmarkEnd w:id="80"/>
      <w:bookmarkEnd w:id="81"/>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2" w:name="_Toc24671_WPSOffice_Level1"/>
      <w:r>
        <w:rPr>
          <w:rFonts w:hint="eastAsia"/>
          <w:b/>
          <w:bCs/>
          <w:color w:val="auto"/>
          <w:sz w:val="28"/>
          <w:szCs w:val="28"/>
          <w:lang w:val="zh-CN"/>
        </w:rPr>
        <w:t>询价响应表</w:t>
      </w:r>
      <w:bookmarkEnd w:id="82"/>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16"/>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3" w:name="_Toc27567"/>
      <w:bookmarkStart w:id="84" w:name="_Toc471299110"/>
    </w:p>
    <w:p>
      <w:pPr>
        <w:pStyle w:val="15"/>
        <w:rPr>
          <w:rFonts w:hint="eastAsia"/>
        </w:rPr>
      </w:pPr>
    </w:p>
    <w:p>
      <w:pPr>
        <w:pStyle w:val="15"/>
        <w:rPr>
          <w:rFonts w:hint="eastAsia"/>
        </w:rPr>
      </w:pPr>
    </w:p>
    <w:p>
      <w:pPr>
        <w:pStyle w:val="15"/>
        <w:rPr>
          <w:rFonts w:hint="eastAsia"/>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3"/>
      <w:bookmarkEnd w:id="84"/>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5"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5"/>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260" w:firstLineChars="6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ind w:left="0" w:leftChars="0" w:firstLine="0" w:firstLineChars="0"/>
        <w:rPr>
          <w:rFonts w:hint="eastAsia" w:ascii="宋体" w:hAnsi="宋体" w:cs="宋体"/>
          <w:color w:val="auto"/>
          <w:szCs w:val="21"/>
        </w:rPr>
      </w:pPr>
    </w:p>
    <w:p>
      <w:pPr>
        <w:numPr>
          <w:ilvl w:val="0"/>
          <w:numId w:val="4"/>
        </w:numPr>
        <w:adjustRightInd w:val="0"/>
        <w:snapToGrid w:val="0"/>
        <w:spacing w:line="320" w:lineRule="auto"/>
        <w:ind w:left="2870" w:leftChars="0" w:firstLine="0" w:firstLineChars="0"/>
        <w:rPr>
          <w:rFonts w:hint="eastAsia"/>
          <w:b/>
          <w:bCs/>
          <w:color w:val="auto"/>
          <w:sz w:val="28"/>
          <w:szCs w:val="28"/>
          <w:lang w:val="en-US"/>
        </w:rPr>
      </w:pPr>
      <w:bookmarkStart w:id="86"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6"/>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7" w:name="_Toc32017"/>
      <w:r>
        <w:rPr>
          <w:rFonts w:hint="eastAsia" w:ascii="宋体" w:hAnsi="宋体" w:eastAsia="宋体" w:cs="宋体"/>
          <w:color w:val="auto"/>
          <w:sz w:val="21"/>
          <w:szCs w:val="21"/>
        </w:rPr>
        <w:t>附件</w:t>
      </w:r>
      <w:bookmarkEnd w:id="87"/>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8" w:name="_Toc12025_WPSOffice_Level1"/>
      <w:r>
        <w:rPr>
          <w:rFonts w:hint="eastAsia"/>
          <w:b/>
          <w:bCs/>
          <w:color w:val="auto"/>
          <w:sz w:val="28"/>
          <w:szCs w:val="28"/>
          <w:lang w:val="zh-CN"/>
        </w:rPr>
        <w:t>供货、安装、售后服务承诺</w:t>
      </w:r>
      <w:bookmarkEnd w:id="8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9" w:name="_Toc27705"/>
      <w:r>
        <w:rPr>
          <w:rFonts w:hint="eastAsia" w:ascii="宋体" w:hAnsi="宋体" w:eastAsia="宋体" w:cs="宋体"/>
          <w:color w:val="auto"/>
          <w:sz w:val="21"/>
          <w:szCs w:val="21"/>
        </w:rPr>
        <w:t>附件</w:t>
      </w:r>
      <w:bookmarkEnd w:id="89"/>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0" w:name="_Toc1950_WPSOffice_Level1"/>
      <w:r>
        <w:rPr>
          <w:rFonts w:hint="eastAsia"/>
          <w:b/>
          <w:bCs/>
          <w:color w:val="auto"/>
          <w:sz w:val="28"/>
          <w:szCs w:val="28"/>
          <w:lang w:val="zh-CN"/>
        </w:rPr>
        <w:t>询价文件要求和供应商认为需要提供的其它说明和资料</w:t>
      </w:r>
      <w:bookmarkEnd w:id="90"/>
    </w:p>
    <w:p>
      <w:pPr>
        <w:jc w:val="both"/>
        <w:rPr>
          <w:rStyle w:val="38"/>
          <w:rFonts w:hint="eastAsia"/>
          <w:color w:val="auto"/>
          <w:sz w:val="21"/>
          <w:szCs w:val="21"/>
          <w:lang w:val="en-US" w:eastAsia="zh-CN"/>
        </w:rPr>
      </w:pPr>
      <w:bookmarkStart w:id="91" w:name="_Toc3085"/>
      <w:bookmarkStart w:id="92" w:name="_Toc19844_WPSOffice_Level1"/>
    </w:p>
    <w:p>
      <w:pPr>
        <w:jc w:val="both"/>
        <w:rPr>
          <w:rStyle w:val="38"/>
          <w:rFonts w:hint="eastAsia"/>
          <w:color w:val="auto"/>
          <w:sz w:val="21"/>
          <w:szCs w:val="21"/>
          <w:lang w:val="en-US" w:eastAsia="zh-CN"/>
        </w:rPr>
      </w:pPr>
      <w:r>
        <w:rPr>
          <w:rStyle w:val="38"/>
          <w:rFonts w:hint="eastAsia"/>
          <w:color w:val="auto"/>
          <w:sz w:val="21"/>
          <w:szCs w:val="21"/>
          <w:lang w:val="en-US" w:eastAsia="zh-CN"/>
        </w:rPr>
        <w:t>（如营业执照复印件、保证金进账单复印件以及采购需求所要求的报告复印件及承诺函原件等资料）</w:t>
      </w:r>
    </w:p>
    <w:p>
      <w:pPr>
        <w:jc w:val="both"/>
        <w:rPr>
          <w:rFonts w:hint="eastAsia" w:ascii="宋体" w:hAnsi="宋体" w:cs="宋体"/>
          <w:b/>
          <w:bCs/>
          <w:color w:val="auto"/>
          <w:sz w:val="32"/>
          <w:szCs w:val="32"/>
        </w:rPr>
      </w:pPr>
      <w:r>
        <w:rPr>
          <w:rStyle w:val="38"/>
          <w:rFonts w:hint="eastAsia"/>
          <w:color w:val="auto"/>
          <w:sz w:val="21"/>
          <w:szCs w:val="21"/>
          <w:lang w:val="en-US" w:eastAsia="zh-CN"/>
        </w:rPr>
        <w:t>附件九</w:t>
      </w:r>
      <w:r>
        <w:rPr>
          <w:rStyle w:val="38"/>
          <w:rFonts w:hint="eastAsia"/>
          <w:color w:val="auto"/>
          <w:sz w:val="21"/>
          <w:szCs w:val="21"/>
        </w:rPr>
        <w:t xml:space="preserve"> </w:t>
      </w:r>
      <w:bookmarkEnd w:id="91"/>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2"/>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3" w:name="_Toc10947_WPSOffice_Level1"/>
      <w:r>
        <w:rPr>
          <w:rFonts w:hint="eastAsia" w:ascii="宋体" w:hAnsi="宋体" w:cs="宋体"/>
          <w:b/>
          <w:bCs/>
          <w:color w:val="auto"/>
          <w:sz w:val="24"/>
        </w:rPr>
        <w:t>注：</w:t>
      </w:r>
      <w:bookmarkEnd w:id="93"/>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4" w:name="_Toc27363_WPSOffice_Level1"/>
      <w:r>
        <w:rPr>
          <w:rFonts w:hint="eastAsia" w:ascii="宋体" w:hAnsi="宋体" w:cs="宋体"/>
          <w:b/>
          <w:bCs/>
          <w:color w:val="auto"/>
          <w:sz w:val="24"/>
        </w:rPr>
        <w:t>注：</w:t>
      </w:r>
      <w:bookmarkEnd w:id="94"/>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5" w:name="_Toc13534_WPSOffice_Level1"/>
      <w:r>
        <w:rPr>
          <w:rFonts w:hint="eastAsia" w:ascii="宋体" w:hAnsi="宋体" w:cs="宋体"/>
          <w:b/>
          <w:bCs/>
          <w:color w:val="auto"/>
          <w:sz w:val="24"/>
        </w:rPr>
        <w:t>注：</w:t>
      </w:r>
      <w:bookmarkEnd w:id="95"/>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6"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7" w:name="_Toc11536"/>
      <w:r>
        <w:rPr>
          <w:rFonts w:hint="eastAsia" w:ascii="宋体" w:hAnsi="宋体"/>
          <w:b/>
          <w:color w:val="auto"/>
          <w:sz w:val="24"/>
          <w:szCs w:val="28"/>
          <w:lang w:val="en-US" w:eastAsia="zh-CN"/>
        </w:rPr>
        <w:t>附件十</w:t>
      </w:r>
      <w:bookmarkEnd w:id="97"/>
    </w:p>
    <w:bookmarkEnd w:id="96"/>
    <w:p>
      <w:pPr>
        <w:spacing w:line="400" w:lineRule="exact"/>
        <w:jc w:val="center"/>
        <w:rPr>
          <w:rFonts w:hint="eastAsia" w:ascii="宋体" w:hAnsi="宋体" w:cs="宋体"/>
          <w:b/>
          <w:color w:val="auto"/>
          <w:sz w:val="28"/>
          <w:szCs w:val="28"/>
          <w:shd w:val="clear" w:color="auto" w:fill="FFFFFF"/>
        </w:rPr>
      </w:pPr>
      <w:bookmarkStart w:id="98"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8"/>
    </w:p>
    <w:p>
      <w:pPr>
        <w:adjustRightInd w:val="0"/>
        <w:snapToGrid w:val="0"/>
        <w:spacing w:line="360" w:lineRule="exact"/>
        <w:ind w:right="15" w:rightChars="7"/>
        <w:rPr>
          <w:rFonts w:hint="eastAsia" w:ascii="宋体" w:hAnsi="宋体" w:cs="宋体"/>
          <w:bCs/>
          <w:color w:val="auto"/>
          <w:shd w:val="clear" w:color="auto" w:fill="FFFFFF"/>
        </w:rPr>
      </w:pPr>
      <w:bookmarkStart w:id="99" w:name="_Toc3059_WPSOffice_Level1"/>
      <w:r>
        <w:rPr>
          <w:rFonts w:hint="eastAsia" w:ascii="宋体" w:hAnsi="宋体" w:cs="宋体"/>
          <w:bCs/>
          <w:color w:val="auto"/>
          <w:shd w:val="clear" w:color="auto" w:fill="FFFFFF"/>
        </w:rPr>
        <w:t>一、项目相关情况</w:t>
      </w:r>
      <w:bookmarkEnd w:id="99"/>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0" w:name="_Toc21327_WPSOffice_Level1"/>
      <w:r>
        <w:rPr>
          <w:rFonts w:hint="eastAsia" w:ascii="宋体" w:hAnsi="宋体" w:cs="宋体"/>
          <w:bCs/>
          <w:color w:val="auto"/>
          <w:shd w:val="clear" w:color="auto" w:fill="FFFFFF"/>
        </w:rPr>
        <w:t>二、质疑提起的条件及不予受理的情形</w:t>
      </w:r>
      <w:bookmarkEnd w:id="100"/>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1" w:name="_Toc17685_WPSOffice_Level1"/>
      <w:r>
        <w:rPr>
          <w:rFonts w:hint="eastAsia" w:ascii="宋体" w:hAnsi="宋体" w:cs="宋体"/>
          <w:bCs/>
          <w:color w:val="auto"/>
          <w:shd w:val="clear" w:color="auto" w:fill="FFFFFF"/>
        </w:rPr>
        <w:t>三、其他</w:t>
      </w:r>
      <w:bookmarkEnd w:id="101"/>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p>
      <w:pPr>
        <w:spacing w:line="440" w:lineRule="exact"/>
        <w:rPr>
          <w:rFonts w:hint="eastAsia" w:ascii="宋体" w:hAnsi="宋体" w:cs="宋体"/>
          <w:b/>
          <w:bCs/>
          <w:color w:val="auto"/>
          <w:sz w:val="24"/>
          <w:szCs w:val="24"/>
        </w:rPr>
      </w:pP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ascii="Times New Roman" w:hAnsi="Times New Roman" w:eastAsia="宋体" w:cs="Times New Roman"/>
        <w:b w:val="0"/>
        <w:kern w:val="2"/>
        <w:sz w:val="16"/>
        <w:szCs w:val="16"/>
        <w:u w:val="single"/>
        <w:lang w:val="en-US" w:eastAsia="zh-CN" w:bidi="ar-SA"/>
      </w:rPr>
      <w:t>霍山县矿产资源开发有限责任公司双山湾地块土壤改良项目地磅及监控采购项目询价文件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0E5BE76B"/>
    <w:multiLevelType w:val="singleLevel"/>
    <w:tmpl w:val="0E5BE76B"/>
    <w:lvl w:ilvl="0" w:tentative="0">
      <w:start w:val="2"/>
      <w:numFmt w:val="decimal"/>
      <w:suff w:val="nothing"/>
      <w:lvlText w:val="%1、"/>
      <w:lvlJc w:val="left"/>
    </w:lvl>
  </w:abstractNum>
  <w:abstractNum w:abstractNumId="2">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3">
    <w:nsid w:val="6694F294"/>
    <w:multiLevelType w:val="singleLevel"/>
    <w:tmpl w:val="6694F294"/>
    <w:lvl w:ilvl="0" w:tentative="0">
      <w:start w:val="4"/>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D72602"/>
    <w:rsid w:val="02923D0A"/>
    <w:rsid w:val="0297760C"/>
    <w:rsid w:val="02AA1EE6"/>
    <w:rsid w:val="02F85797"/>
    <w:rsid w:val="03150F8F"/>
    <w:rsid w:val="031838E3"/>
    <w:rsid w:val="04777FAA"/>
    <w:rsid w:val="047A1250"/>
    <w:rsid w:val="0558683D"/>
    <w:rsid w:val="059C0CBD"/>
    <w:rsid w:val="0644344B"/>
    <w:rsid w:val="065734CB"/>
    <w:rsid w:val="06A80ACF"/>
    <w:rsid w:val="06BE48F4"/>
    <w:rsid w:val="0713690B"/>
    <w:rsid w:val="07500CD8"/>
    <w:rsid w:val="07550BBC"/>
    <w:rsid w:val="0784433C"/>
    <w:rsid w:val="07E42C56"/>
    <w:rsid w:val="07F727F0"/>
    <w:rsid w:val="094825C0"/>
    <w:rsid w:val="09F429FB"/>
    <w:rsid w:val="0A381ED7"/>
    <w:rsid w:val="0A967446"/>
    <w:rsid w:val="0ADA7309"/>
    <w:rsid w:val="0B37771E"/>
    <w:rsid w:val="0B3A232A"/>
    <w:rsid w:val="0B92029E"/>
    <w:rsid w:val="0BBD26DB"/>
    <w:rsid w:val="0C061911"/>
    <w:rsid w:val="0C8B3F0F"/>
    <w:rsid w:val="0D162B03"/>
    <w:rsid w:val="0D4A538B"/>
    <w:rsid w:val="0D957933"/>
    <w:rsid w:val="0E2B3D85"/>
    <w:rsid w:val="0E7B6D74"/>
    <w:rsid w:val="0EAB242F"/>
    <w:rsid w:val="122B65C1"/>
    <w:rsid w:val="133A7582"/>
    <w:rsid w:val="133C3075"/>
    <w:rsid w:val="13592465"/>
    <w:rsid w:val="13611A2A"/>
    <w:rsid w:val="1414601F"/>
    <w:rsid w:val="14581FA2"/>
    <w:rsid w:val="14633700"/>
    <w:rsid w:val="147737A7"/>
    <w:rsid w:val="14827BCA"/>
    <w:rsid w:val="14F04C17"/>
    <w:rsid w:val="15081ED3"/>
    <w:rsid w:val="15165EFD"/>
    <w:rsid w:val="1556562C"/>
    <w:rsid w:val="156D56CE"/>
    <w:rsid w:val="159267B6"/>
    <w:rsid w:val="161D1882"/>
    <w:rsid w:val="16C41FE1"/>
    <w:rsid w:val="16E90795"/>
    <w:rsid w:val="174F1F7C"/>
    <w:rsid w:val="176349E4"/>
    <w:rsid w:val="18392471"/>
    <w:rsid w:val="186E369B"/>
    <w:rsid w:val="18951FC7"/>
    <w:rsid w:val="18B06CB8"/>
    <w:rsid w:val="18BF07B6"/>
    <w:rsid w:val="18E170E3"/>
    <w:rsid w:val="18FB5F6E"/>
    <w:rsid w:val="19080508"/>
    <w:rsid w:val="19750DD6"/>
    <w:rsid w:val="19783115"/>
    <w:rsid w:val="1A1D00D5"/>
    <w:rsid w:val="1A331B52"/>
    <w:rsid w:val="1BD82076"/>
    <w:rsid w:val="1BED2EA5"/>
    <w:rsid w:val="1C230B2D"/>
    <w:rsid w:val="1C996F6B"/>
    <w:rsid w:val="1CEA6453"/>
    <w:rsid w:val="1D217AE8"/>
    <w:rsid w:val="1D691CF6"/>
    <w:rsid w:val="1DC0444F"/>
    <w:rsid w:val="1E3106CF"/>
    <w:rsid w:val="1E5351BE"/>
    <w:rsid w:val="1F3454C6"/>
    <w:rsid w:val="1F5D6BC7"/>
    <w:rsid w:val="2009288A"/>
    <w:rsid w:val="202E2A41"/>
    <w:rsid w:val="209015F8"/>
    <w:rsid w:val="212E3565"/>
    <w:rsid w:val="2134647A"/>
    <w:rsid w:val="215167E4"/>
    <w:rsid w:val="21543BEE"/>
    <w:rsid w:val="21957187"/>
    <w:rsid w:val="21D50B53"/>
    <w:rsid w:val="22067FA4"/>
    <w:rsid w:val="221B322D"/>
    <w:rsid w:val="230509C2"/>
    <w:rsid w:val="234A74A5"/>
    <w:rsid w:val="236E7DAD"/>
    <w:rsid w:val="24267BFD"/>
    <w:rsid w:val="249763A0"/>
    <w:rsid w:val="249C4D10"/>
    <w:rsid w:val="25273C28"/>
    <w:rsid w:val="25656A25"/>
    <w:rsid w:val="25991012"/>
    <w:rsid w:val="25ED3305"/>
    <w:rsid w:val="260D2BCC"/>
    <w:rsid w:val="262D1358"/>
    <w:rsid w:val="26943C3F"/>
    <w:rsid w:val="2756117E"/>
    <w:rsid w:val="280C55E5"/>
    <w:rsid w:val="288E4477"/>
    <w:rsid w:val="28B95567"/>
    <w:rsid w:val="296C5062"/>
    <w:rsid w:val="2A9873BD"/>
    <w:rsid w:val="2A987BB9"/>
    <w:rsid w:val="2AFD66B5"/>
    <w:rsid w:val="2B1C14C3"/>
    <w:rsid w:val="2BAE2C9D"/>
    <w:rsid w:val="2BD3447D"/>
    <w:rsid w:val="2BD6049A"/>
    <w:rsid w:val="2C6E3168"/>
    <w:rsid w:val="2D187A52"/>
    <w:rsid w:val="2D254D25"/>
    <w:rsid w:val="2D2B28B3"/>
    <w:rsid w:val="2D743811"/>
    <w:rsid w:val="2D897B5C"/>
    <w:rsid w:val="2DC91B5A"/>
    <w:rsid w:val="2DD172D8"/>
    <w:rsid w:val="2DD57ECD"/>
    <w:rsid w:val="2E1267B9"/>
    <w:rsid w:val="2EA944F0"/>
    <w:rsid w:val="2ED51A6E"/>
    <w:rsid w:val="2F1C57A5"/>
    <w:rsid w:val="2F2A48A2"/>
    <w:rsid w:val="2FA7707A"/>
    <w:rsid w:val="2FEA7FA2"/>
    <w:rsid w:val="30091271"/>
    <w:rsid w:val="3019462B"/>
    <w:rsid w:val="306378EA"/>
    <w:rsid w:val="30C735A9"/>
    <w:rsid w:val="31F9233C"/>
    <w:rsid w:val="32661595"/>
    <w:rsid w:val="328D671D"/>
    <w:rsid w:val="32C06DE2"/>
    <w:rsid w:val="32DB40DB"/>
    <w:rsid w:val="339B7435"/>
    <w:rsid w:val="33E1101F"/>
    <w:rsid w:val="340E6C58"/>
    <w:rsid w:val="34324321"/>
    <w:rsid w:val="349D31D8"/>
    <w:rsid w:val="34CB67DC"/>
    <w:rsid w:val="34D536C4"/>
    <w:rsid w:val="35CE143F"/>
    <w:rsid w:val="361D3C18"/>
    <w:rsid w:val="36503A40"/>
    <w:rsid w:val="368E0EDE"/>
    <w:rsid w:val="36DF7A21"/>
    <w:rsid w:val="36F40FE9"/>
    <w:rsid w:val="37DF419C"/>
    <w:rsid w:val="37F90F6A"/>
    <w:rsid w:val="38B45EFC"/>
    <w:rsid w:val="38D036A4"/>
    <w:rsid w:val="38D17E87"/>
    <w:rsid w:val="38EA21D0"/>
    <w:rsid w:val="39237904"/>
    <w:rsid w:val="39792C93"/>
    <w:rsid w:val="3AAE5E82"/>
    <w:rsid w:val="3AE97D6B"/>
    <w:rsid w:val="3B7148FD"/>
    <w:rsid w:val="3B8E3C6C"/>
    <w:rsid w:val="3C1C5FDB"/>
    <w:rsid w:val="3C56293E"/>
    <w:rsid w:val="3C967255"/>
    <w:rsid w:val="3CD61F9A"/>
    <w:rsid w:val="3D457CC8"/>
    <w:rsid w:val="3D5C50E1"/>
    <w:rsid w:val="3E046DF3"/>
    <w:rsid w:val="3E4A7D54"/>
    <w:rsid w:val="3E50419B"/>
    <w:rsid w:val="3E9D780F"/>
    <w:rsid w:val="3F570499"/>
    <w:rsid w:val="40871F18"/>
    <w:rsid w:val="408F2C22"/>
    <w:rsid w:val="40B4201E"/>
    <w:rsid w:val="40B4502A"/>
    <w:rsid w:val="40D00173"/>
    <w:rsid w:val="41132993"/>
    <w:rsid w:val="41C77480"/>
    <w:rsid w:val="41DD49C0"/>
    <w:rsid w:val="4260727A"/>
    <w:rsid w:val="42D11E1F"/>
    <w:rsid w:val="42ED6ACA"/>
    <w:rsid w:val="431D644D"/>
    <w:rsid w:val="43DD3193"/>
    <w:rsid w:val="44A83992"/>
    <w:rsid w:val="44D74C5B"/>
    <w:rsid w:val="459044BE"/>
    <w:rsid w:val="459907ED"/>
    <w:rsid w:val="45FC1F89"/>
    <w:rsid w:val="46447AD0"/>
    <w:rsid w:val="4667667C"/>
    <w:rsid w:val="46FE1966"/>
    <w:rsid w:val="47297854"/>
    <w:rsid w:val="47AD1197"/>
    <w:rsid w:val="47ED349E"/>
    <w:rsid w:val="48D30C8F"/>
    <w:rsid w:val="48EE5384"/>
    <w:rsid w:val="48F93679"/>
    <w:rsid w:val="493E0515"/>
    <w:rsid w:val="49665DCB"/>
    <w:rsid w:val="498C5E4B"/>
    <w:rsid w:val="49974E74"/>
    <w:rsid w:val="4A0E2871"/>
    <w:rsid w:val="4A4B552C"/>
    <w:rsid w:val="4A4D2829"/>
    <w:rsid w:val="4A785C33"/>
    <w:rsid w:val="4A7D13BA"/>
    <w:rsid w:val="4B613D8A"/>
    <w:rsid w:val="4C68185E"/>
    <w:rsid w:val="4CC170FC"/>
    <w:rsid w:val="4D18297E"/>
    <w:rsid w:val="4D757618"/>
    <w:rsid w:val="4EAA6492"/>
    <w:rsid w:val="4F9010E9"/>
    <w:rsid w:val="50106576"/>
    <w:rsid w:val="50345C2D"/>
    <w:rsid w:val="50677BFC"/>
    <w:rsid w:val="51373F3D"/>
    <w:rsid w:val="51AD6F1E"/>
    <w:rsid w:val="523E55B6"/>
    <w:rsid w:val="52AD0B16"/>
    <w:rsid w:val="52F7398F"/>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95F8B"/>
    <w:rsid w:val="589543F5"/>
    <w:rsid w:val="59423AF1"/>
    <w:rsid w:val="59E00D64"/>
    <w:rsid w:val="5A6D49B6"/>
    <w:rsid w:val="5A9864B3"/>
    <w:rsid w:val="5B282082"/>
    <w:rsid w:val="5B7075D7"/>
    <w:rsid w:val="5BA07BB6"/>
    <w:rsid w:val="5BA3057C"/>
    <w:rsid w:val="5BBE35F6"/>
    <w:rsid w:val="5C3E5A4E"/>
    <w:rsid w:val="5CFB63ED"/>
    <w:rsid w:val="5D0C73DB"/>
    <w:rsid w:val="5D1E4502"/>
    <w:rsid w:val="5D273630"/>
    <w:rsid w:val="5D603CFB"/>
    <w:rsid w:val="5D707A1D"/>
    <w:rsid w:val="5E812F4F"/>
    <w:rsid w:val="5EB3743D"/>
    <w:rsid w:val="5ED30E67"/>
    <w:rsid w:val="5EFB6C0F"/>
    <w:rsid w:val="5F0510AD"/>
    <w:rsid w:val="5F060FB7"/>
    <w:rsid w:val="5F2B66BC"/>
    <w:rsid w:val="5F402988"/>
    <w:rsid w:val="5F5348CD"/>
    <w:rsid w:val="5F607FA6"/>
    <w:rsid w:val="60165A67"/>
    <w:rsid w:val="60435494"/>
    <w:rsid w:val="60AB1BEE"/>
    <w:rsid w:val="615E5718"/>
    <w:rsid w:val="61705B21"/>
    <w:rsid w:val="61731D75"/>
    <w:rsid w:val="61845E20"/>
    <w:rsid w:val="618D0E1A"/>
    <w:rsid w:val="619C1CA6"/>
    <w:rsid w:val="61AC4109"/>
    <w:rsid w:val="61FF653E"/>
    <w:rsid w:val="629D1B22"/>
    <w:rsid w:val="62FC7518"/>
    <w:rsid w:val="631D3EFA"/>
    <w:rsid w:val="63637DD7"/>
    <w:rsid w:val="639C65AB"/>
    <w:rsid w:val="63B321AB"/>
    <w:rsid w:val="63CE30A4"/>
    <w:rsid w:val="63E8055D"/>
    <w:rsid w:val="63F05C52"/>
    <w:rsid w:val="64BA0E02"/>
    <w:rsid w:val="64FC4735"/>
    <w:rsid w:val="65311886"/>
    <w:rsid w:val="65502555"/>
    <w:rsid w:val="65520F7C"/>
    <w:rsid w:val="65771F5A"/>
    <w:rsid w:val="65901E03"/>
    <w:rsid w:val="667629CA"/>
    <w:rsid w:val="66F918C9"/>
    <w:rsid w:val="676476D8"/>
    <w:rsid w:val="678154B0"/>
    <w:rsid w:val="68560087"/>
    <w:rsid w:val="687F004A"/>
    <w:rsid w:val="68BA3798"/>
    <w:rsid w:val="690D0368"/>
    <w:rsid w:val="69EC2952"/>
    <w:rsid w:val="69F4791E"/>
    <w:rsid w:val="6A47529D"/>
    <w:rsid w:val="6AF61310"/>
    <w:rsid w:val="6AFF1193"/>
    <w:rsid w:val="6B225547"/>
    <w:rsid w:val="6B413A50"/>
    <w:rsid w:val="6B5F1F9E"/>
    <w:rsid w:val="6BE22727"/>
    <w:rsid w:val="6C0040EC"/>
    <w:rsid w:val="6C0A4B24"/>
    <w:rsid w:val="6C4F64A4"/>
    <w:rsid w:val="6C640C01"/>
    <w:rsid w:val="6CD771B7"/>
    <w:rsid w:val="6D4122F7"/>
    <w:rsid w:val="6D574D6B"/>
    <w:rsid w:val="6D641EB9"/>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D81B5D"/>
    <w:rsid w:val="75A769E0"/>
    <w:rsid w:val="76911B4D"/>
    <w:rsid w:val="776D2CC4"/>
    <w:rsid w:val="77EC0CA0"/>
    <w:rsid w:val="781077BF"/>
    <w:rsid w:val="78397A44"/>
    <w:rsid w:val="78887365"/>
    <w:rsid w:val="789C2226"/>
    <w:rsid w:val="78CC4196"/>
    <w:rsid w:val="78DF200C"/>
    <w:rsid w:val="78F92F7D"/>
    <w:rsid w:val="791B59B6"/>
    <w:rsid w:val="7927654F"/>
    <w:rsid w:val="794851E5"/>
    <w:rsid w:val="79B832CB"/>
    <w:rsid w:val="79F628A4"/>
    <w:rsid w:val="7A1A522E"/>
    <w:rsid w:val="7A482E43"/>
    <w:rsid w:val="7A686D7F"/>
    <w:rsid w:val="7A9E561B"/>
    <w:rsid w:val="7C0F0429"/>
    <w:rsid w:val="7C7C0782"/>
    <w:rsid w:val="7D066453"/>
    <w:rsid w:val="7D196BB9"/>
    <w:rsid w:val="7D460C55"/>
    <w:rsid w:val="7D4C3F14"/>
    <w:rsid w:val="7D6A6C42"/>
    <w:rsid w:val="7DC86EB2"/>
    <w:rsid w:val="7DFA334B"/>
    <w:rsid w:val="7E015CAC"/>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6"/>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2"/>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19"/>
    <w:link w:val="4"/>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19"/>
    <w:qFormat/>
    <w:uiPriority w:val="0"/>
    <w:rPr>
      <w:bdr w:val="single" w:color="000000" w:sz="6" w:space="0"/>
    </w:rPr>
  </w:style>
  <w:style w:type="character" w:customStyle="1" w:styleId="44">
    <w:name w:val="fontstrikethrough"/>
    <w:basedOn w:val="19"/>
    <w:qFormat/>
    <w:uiPriority w:val="0"/>
    <w:rPr>
      <w:strike/>
    </w:rPr>
  </w:style>
  <w:style w:type="character" w:customStyle="1" w:styleId="45">
    <w:name w:val="font11"/>
    <w:basedOn w:val="19"/>
    <w:qFormat/>
    <w:uiPriority w:val="0"/>
    <w:rPr>
      <w:rFonts w:hint="eastAsia" w:ascii="宋体" w:hAnsi="宋体" w:eastAsia="宋体" w:cs="宋体"/>
      <w:b/>
      <w:color w:val="000000"/>
      <w:sz w:val="18"/>
      <w:szCs w:val="18"/>
      <w:u w:val="none"/>
    </w:rPr>
  </w:style>
  <w:style w:type="character" w:customStyle="1" w:styleId="46">
    <w:name w:val="font61"/>
    <w:basedOn w:val="19"/>
    <w:qFormat/>
    <w:uiPriority w:val="0"/>
    <w:rPr>
      <w:rFonts w:hint="eastAsia" w:ascii="宋体" w:hAnsi="宋体" w:eastAsia="宋体" w:cs="宋体"/>
      <w:color w:val="000000"/>
      <w:sz w:val="18"/>
      <w:szCs w:val="18"/>
      <w:u w:val="none"/>
    </w:rPr>
  </w:style>
  <w:style w:type="character" w:customStyle="1" w:styleId="47">
    <w:name w:val="font01"/>
    <w:basedOn w:val="19"/>
    <w:qFormat/>
    <w:uiPriority w:val="0"/>
    <w:rPr>
      <w:rFonts w:hint="eastAsia" w:ascii="宋体" w:hAnsi="宋体" w:eastAsia="宋体" w:cs="宋体"/>
      <w:b/>
      <w:color w:val="000000"/>
      <w:sz w:val="18"/>
      <w:szCs w:val="18"/>
      <w:u w:val="none"/>
    </w:rPr>
  </w:style>
  <w:style w:type="character" w:customStyle="1" w:styleId="48">
    <w:name w:val="font51"/>
    <w:basedOn w:val="19"/>
    <w:qFormat/>
    <w:uiPriority w:val="0"/>
    <w:rPr>
      <w:rFonts w:hint="eastAsia" w:ascii="宋体" w:hAnsi="宋体" w:eastAsia="宋体" w:cs="宋体"/>
      <w:color w:val="000000"/>
      <w:sz w:val="18"/>
      <w:szCs w:val="18"/>
      <w:u w:val="none"/>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2020-07-21T00:14:00Z</cp:lastPrinted>
  <dcterms:modified xsi:type="dcterms:W3CDTF">2020-07-22T00:30:07Z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