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hint="eastAsia" w:asciiTheme="minorEastAsia" w:hAnsiTheme="minorEastAsia" w:eastAsiaTheme="minorEastAsia" w:cstheme="minorEastAsia"/>
          <w:b/>
          <w:bCs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32"/>
          <w:szCs w:val="32"/>
          <w:lang w:eastAsia="zh-CN"/>
        </w:rPr>
        <w:t>服务</w:t>
      </w:r>
      <w:r>
        <w:rPr>
          <w:rFonts w:hint="eastAsia" w:asciiTheme="minorEastAsia" w:hAnsiTheme="minorEastAsia" w:eastAsiaTheme="minorEastAsia" w:cstheme="minorEastAsia"/>
          <w:b/>
          <w:bCs w:val="0"/>
          <w:sz w:val="32"/>
          <w:szCs w:val="32"/>
        </w:rPr>
        <w:t>需求</w:t>
      </w:r>
    </w:p>
    <w:p>
      <w:pPr>
        <w:pStyle w:val="13"/>
        <w:spacing w:line="360" w:lineRule="auto"/>
        <w:rPr>
          <w:rFonts w:hint="eastAsia" w:asciiTheme="minorEastAsia" w:hAnsiTheme="minorEastAsia" w:eastAsiaTheme="minorEastAsia" w:cstheme="minorEastAsia"/>
          <w:b/>
          <w:kern w:val="2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kern w:val="2"/>
          <w:sz w:val="28"/>
          <w:szCs w:val="28"/>
          <w:lang w:eastAsia="zh-CN"/>
        </w:rPr>
        <w:t>一、项目简介：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</w:rPr>
        <w:t>霍山县兴水生态工程报批总投资为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val="en-US" w:eastAsia="zh-CN"/>
        </w:rPr>
        <w:t>8.2亿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</w:rPr>
        <w:t>元，包括供水工程和排水工程</w:t>
      </w: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eastAsia" w:asciiTheme="majorEastAsia" w:hAnsiTheme="majorEastAsia" w:eastAsiaTheme="majorEastAsia" w:cstheme="majorEastAsia"/>
          <w:color w:val="000000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1"/>
          <w:szCs w:val="21"/>
        </w:rPr>
        <w:t>一、供水工程包括规模化供水工程、新建小型集中供水工程和集中供水改造。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（一）规模化供水工程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1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.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县城水厂管网延伸工程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利用县城自来水厂对周边下符桥镇、但家庙镇、与儿街镇、衡山镇、黑石渡镇、落儿岭镇、诸佛庵镇、佛子岭镇、经济开发区等8个乡镇和1个经济开发区进行管网延伸，覆盖49个行政村，范围内受益人口为13.2886万人，规划供水规模为2.4万m3/d。新建中途加压站18处，为鸟观嘴村加压站（0.06万m³/d）、指峰山村加压站（0.11万m³/d）、石河村加压站（0.24万m³/d）、下符桥加压站（0.30万m³/d）、但家庙加压站1（0.12万m³/d）、但家庙加压站2（0.06万m³/d）、牛角冲村加压站（0.13万m³/d）、通水灌村加压站（0.09万m³/d）、柳树店村加压站（0.11万m³/d）、落儿岭村加压站（0.17万m³/d）、朱家畈村加压站1（0.02万m³/d）、朱家畈村加压站2（0.52万m³/d）、朱家畈村加压站3（0.25万m³/d）、黄家畈村加压站（0.04万m³/d）、戴家河村加压站（0.28万m³/d）、大林加压站1（0.03万m³/d）、大林加压站2（0.03万m³/d）、大林加压站3（0.03万m³/d）。配水主管管材质采用球墨铸铁管和PE100管。工程实施后，保留供水范围内现状水厂，作为备用供水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2.与儿街高河水厂管网延伸工程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与儿街镇属东北部低山丘陵区供水分区，属城乡供水一体化工程服务范围。本次设计与儿街高河水厂与石河水厂、山王河水厂进行联网供水。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3.但家庙水厂管网延伸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本次设计但家庙水厂与观音岩水厂、胡大桥水厂进行联网供水。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4.诸佛庵水厂管网延伸工程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规模化供水工程新建配水管径为DN400-DN32，长度约394.307km。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（二）新建小型集中供水工程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本次新建小型12处集中供水工程，及1处备用水源工程，新增服务人口2.1831万人，新增供水规模为3040m3/d。其中水口供水工程新增供水规模为m3/d、石门供水工程新增供水规模为180m3/d、姜家畈供水工程新增供水规模为360m3/d、小溪桥供水工程新增供水规模为270m3/d、小庵子供水工程新增供水规模为220m3/d、南庄供水工程新增供水规模为220m3/d、多盘坳供水工程新增供水规模为710m3/d、良善铺供水工程新增供水规模为160m3/d、汪家铺供水工程新增供水规模为160m3/d、余家畈供水工程新增供水规模为180m3/d、城土供水工程新增供水规模为120m3/d、祝家岭供水工程新增供水规模为220m3/d。新建13座拦水坝及粗滤池，输水管线为两根，新建输水管线共12.478km，管径为DN160-DN75。新建12座小型净水厂，净水工艺采用一体化净水器，同时新建蓄水池、配套加药消毒设备，新建加药消毒间、办公管理房等建构筑物及相关配套设施。新建配水管网266.403km，管径为DN160-DN75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（三）集中供水改造工程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本次集中供水改造工程共83处，其中改建内容一为：现状水厂设备改造工程共64处，设计供水规模17580m3/d，水厂改造内容为水厂内现状净化设施更换为一体化净水器，并配套更换加药及消毒设备。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扩建内容二为：管网、水厂及水源改造工程，涉及工程共19处，新增服务人口23107人，新增规模3395m3/d。其中1）涉及新增供水规模改造工程有11处，包括：漫水河水厂管网延伸改造工程，新增供水规模490m3/d；李家河村水厂改造及管网延伸工程，新增供水规模150m3/d；新铺沟水厂改造及管网延伸改造工程，新增供水规模155m3/d；扫帚河水厂及管网延伸改造工程，新增供水规模495m3/d；船仓村水厂改造及管网延伸工程，新增供水规模100m3/d；杨家河水厂改造工程，新增供水规模85m3/d；石河水厂管网延伸改造工程，新增供水规模90m3/d；胡家河水厂改造及管网延伸工程，新增供水规模780m3/d；宋家河村水厂改造及管网延伸工程，新增供水规模640m3/d；小佛子岭水厂管网延伸改造工程，新增供水规模40m3/d；新店河自来水厂管网延伸改造工程，新增供水规模370m3/d。2）新建备用水源或水厂及管道改造工程8处，包含：歇马台水厂管网延伸工程；东风桥水厂新建水源工程；新开岭水厂改造及新建水源工程；太阳水厂改造工程；金竹坪村水厂改造工程；磨子潭水厂改造工程；太平水厂新建备用水源工程；上土市镇水厂新建水源及管网延伸改造工程。新建输水管线40.70km，管径为dn200-dn75；配水管网243.58km，管径为dn160-dn32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ajorEastAsia" w:hAnsiTheme="majorEastAsia" w:eastAsiaTheme="majorEastAsia" w:cstheme="majorEastAsia"/>
          <w:b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sz w:val="21"/>
          <w:szCs w:val="21"/>
        </w:rPr>
        <w:t>二、排水工程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排水工程主要包括：安徽霍山经济开发区污水处理厂二期及污水管网建设项目、西部迎驾生态新城污水处理厂工程、城区雨污分流及污水截流改造工程。主要建设内容有：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b w:val="0"/>
          <w:bCs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1"/>
          <w:szCs w:val="21"/>
        </w:rPr>
        <w:t>1、安徽霍山经济开发区污水处理厂二期及污水管网建设项目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（1）建设霍山经济开发区污水处理厂二期工程1座，处理规模2.0万m3/d，厂址位于一期工程的东侧。排放标准执行一级A标准，通过涵管自流排入移洋湾湿地，最终进入东淠河。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（2）应急备用电源1套，即新建经开区污水处理厂一路专用外线；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（3）新建污水管网28.22km；包括双山路（望岳路至淠滨南路）、燕窝南路（高桥路至淠滨南路）、高新路（东坡路至飞凤路）、莲花路（飞凤路至桃园路）、淠滨南路（象山路至桃园路）、龙门路（利民路至迎宾大道）、纬五路（创业大道至105国道）、纬六路（创业大道至105国道）、拓一路（迎驾大道至创业大道）、淠河东路进厂污水管（创新路至污水厂）、安园大道（高桥湾路至外环路）、象山路（杜家冲路至淠滨南路）、望岳路（象山路至桃园路）、涛浪路（望岳路至淠滨南路）、柳林河路（外环路至西部迎驾）、经六路（高桥湾路至外环路）、源牌路（高桥湾路至外环路）等17条道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（4）污水管网改造15.0km；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开发区污水管网设施标准不高、老化以及污水系统不完善，局部地区污水管网不配套，部分地方污水没有出路，为有效改变这一现状，通过调整、改造、完善开发区内的污水收集系统。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根据开发区污水管网建设现状，暂列污水管网改造15.0km。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ajorEastAsia" w:hAnsiTheme="majorEastAsia" w:eastAsiaTheme="majorEastAsia" w:cstheme="majorEastAsia"/>
          <w:b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sz w:val="21"/>
          <w:szCs w:val="21"/>
        </w:rPr>
        <w:t>2、西部迎驾生态新城污水处理厂工程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新建污水处理厂1座，处理规模2.0万m</w:t>
      </w:r>
      <w:r>
        <w:rPr>
          <w:rFonts w:hint="eastAsia" w:asciiTheme="majorEastAsia" w:hAnsiTheme="majorEastAsia" w:eastAsiaTheme="majorEastAsia" w:cstheme="majorEastAsia"/>
          <w:sz w:val="21"/>
          <w:szCs w:val="21"/>
          <w:vertAlign w:val="superscript"/>
        </w:rPr>
        <w:t>3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/d。厂址位于淠河西路与柳林河大堤相交西南处。排放标准执行一级A标准，尾水直接排入柳林河。污水处理厂占地47.4亩。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ajorEastAsia" w:hAnsiTheme="majorEastAsia" w:eastAsiaTheme="majorEastAsia" w:cstheme="majorEastAsia"/>
          <w:b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b/>
          <w:sz w:val="21"/>
          <w:szCs w:val="21"/>
        </w:rPr>
        <w:t>3、城区雨污分流及污水截流改造工程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（1）城区道路雨污分流及污水截流改造工程新建污水管网约12.88km。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主要包括文峰小学校区周边道路(纬六路至纬七路)、淠河西路（迎驾厂街心公园-外环路）、酒源大道（迎宾大道-迎驾大道）、山南路（迎驾大道-迎宾大道）、黑石渡路（诸佛庵路-南城河）、高桥湾跨东淠河段、淠河路（北门口至衡山路段）、淠源路(潜台路至文峰北路)、淠河路（衡山路至文峰北路）、潜台路（沛源路至诸佛庵路）共10条道路雨污分流及污水截流改造工程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（2）城区小区雨污分流及污水截流改造工程新建雨水管4.72km；污水管4.5km，共9.22km。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4" w:firstLineChars="202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主要包括嘉利星城A、B区、南谭苑小区、安居小区、淠河新区安置小区、建设小区、美丽苑小区共7个小区雨污分流及污水截流改造工程。</w:t>
      </w:r>
    </w:p>
    <w:p>
      <w:pPr>
        <w:pStyle w:val="13"/>
        <w:spacing w:line="360" w:lineRule="auto"/>
        <w:rPr>
          <w:rFonts w:hint="eastAsia" w:asciiTheme="minorEastAsia" w:hAnsiTheme="minorEastAsia" w:eastAsiaTheme="minorEastAsia" w:cstheme="minorEastAsia"/>
          <w:b/>
          <w:bCs w:val="0"/>
          <w:kern w:val="2"/>
          <w:sz w:val="28"/>
          <w:szCs w:val="28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18" w:lineRule="atLeast"/>
        <w:ind w:left="0" w:right="0" w:firstLine="562" w:firstLineChars="200"/>
        <w:jc w:val="both"/>
        <w:rPr>
          <w:rFonts w:hint="eastAsia" w:asciiTheme="minorEastAsia" w:hAnsiTheme="minorEastAsia" w:eastAsiaTheme="minorEastAsia" w:cstheme="minorEastAsia"/>
          <w:b/>
          <w:bCs w:val="0"/>
          <w:kern w:val="2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kern w:val="2"/>
          <w:sz w:val="28"/>
          <w:szCs w:val="28"/>
          <w:lang w:val="en-US" w:eastAsia="zh-CN"/>
        </w:rPr>
        <w:t>二、环境影响评价报告工作内容：</w:t>
      </w:r>
    </w:p>
    <w:p>
      <w:pPr>
        <w:pStyle w:val="13"/>
        <w:spacing w:line="360" w:lineRule="auto"/>
        <w:rPr>
          <w:rFonts w:hint="eastAsia" w:asciiTheme="minorEastAsia" w:hAnsiTheme="minorEastAsia" w:eastAsiaTheme="minorEastAsia" w:cstheme="minorEastAsia"/>
          <w:kern w:val="0"/>
          <w:sz w:val="22"/>
          <w:szCs w:val="2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22"/>
          <w:szCs w:val="22"/>
          <w:lang w:val="en-US" w:eastAsia="zh-CN" w:bidi="ar-SA"/>
        </w:rPr>
        <w:t>1、根据项目建议及设计方案编制满足评审要求的环境影响评价报告书；</w:t>
      </w:r>
    </w:p>
    <w:p>
      <w:pPr>
        <w:pStyle w:val="13"/>
        <w:spacing w:line="360" w:lineRule="auto"/>
        <w:rPr>
          <w:rFonts w:hint="eastAsia" w:asciiTheme="minorEastAsia" w:hAnsiTheme="minorEastAsia" w:eastAsiaTheme="minorEastAsia" w:cstheme="minorEastAsia"/>
          <w:kern w:val="0"/>
          <w:sz w:val="22"/>
          <w:szCs w:val="2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22"/>
          <w:szCs w:val="22"/>
          <w:lang w:val="en-US" w:eastAsia="zh-CN" w:bidi="ar-SA"/>
        </w:rPr>
        <w:t>2、根据审批单位要求编制满足审批需要的环境影响评价报告书；</w:t>
      </w:r>
    </w:p>
    <w:p>
      <w:pPr>
        <w:pStyle w:val="13"/>
        <w:spacing w:line="360" w:lineRule="auto"/>
        <w:rPr>
          <w:rFonts w:hint="eastAsia" w:asciiTheme="minorEastAsia" w:hAnsiTheme="minorEastAsia" w:eastAsiaTheme="minorEastAsia" w:cstheme="minorEastAsia"/>
          <w:kern w:val="0"/>
          <w:sz w:val="22"/>
          <w:szCs w:val="2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22"/>
          <w:szCs w:val="22"/>
          <w:lang w:val="en-US" w:eastAsia="zh-CN" w:bidi="ar-SA"/>
        </w:rPr>
        <w:t>3、根据审批部门及设计部门方案及时修改报告书内容；</w:t>
      </w:r>
    </w:p>
    <w:p>
      <w:pPr>
        <w:pStyle w:val="13"/>
        <w:spacing w:line="360" w:lineRule="auto"/>
        <w:rPr>
          <w:rFonts w:hint="eastAsia" w:asciiTheme="minorEastAsia" w:hAnsiTheme="minorEastAsia" w:eastAsiaTheme="minorEastAsia" w:cstheme="minorEastAsia"/>
          <w:kern w:val="0"/>
          <w:sz w:val="22"/>
          <w:szCs w:val="22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22"/>
          <w:szCs w:val="22"/>
          <w:lang w:val="en-US" w:eastAsia="zh-CN" w:bidi="ar-SA"/>
        </w:rPr>
        <w:t>4、协助甲方单位办理后续审批工作。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AE56A7"/>
    <w:rsid w:val="726C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00" w:lineRule="auto"/>
      <w:ind w:firstLine="200" w:firstLineChars="200"/>
      <w:jc w:val="both"/>
    </w:pPr>
    <w:rPr>
      <w:rFonts w:ascii="宋体" w:hAnsi="宋体" w:eastAsia="宋体" w:cs="Times New Roman"/>
      <w:sz w:val="22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240" w:after="240" w:line="240" w:lineRule="auto"/>
      <w:ind w:firstLine="0" w:firstLineChars="0"/>
      <w:jc w:val="center"/>
      <w:outlineLvl w:val="0"/>
    </w:pPr>
    <w:rPr>
      <w:rFonts w:ascii="黑体" w:hAnsi="黑体" w:eastAsia="黑体" w:cs="黑体"/>
      <w:bCs/>
      <w:kern w:val="44"/>
      <w:sz w:val="44"/>
      <w:szCs w:val="44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120" w:after="120" w:line="240" w:lineRule="auto"/>
      <w:ind w:firstLine="0" w:firstLineChars="0"/>
      <w:jc w:val="left"/>
      <w:outlineLvl w:val="1"/>
    </w:pPr>
    <w:rPr>
      <w:rFonts w:ascii="黑体" w:hAnsi="黑体" w:eastAsia="黑体" w:cs="黑体"/>
      <w:bCs/>
      <w:iCs/>
      <w:kern w:val="2"/>
      <w:sz w:val="30"/>
      <w:szCs w:val="30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360" w:lineRule="auto"/>
      <w:jc w:val="left"/>
    </w:pPr>
    <w:rPr>
      <w:rFonts w:cs="宋体"/>
      <w:sz w:val="28"/>
      <w:szCs w:val="28"/>
    </w:rPr>
  </w:style>
  <w:style w:type="paragraph" w:styleId="3">
    <w:name w:val="Body Text Indent"/>
    <w:basedOn w:val="1"/>
    <w:next w:val="4"/>
    <w:unhideWhenUsed/>
    <w:qFormat/>
    <w:uiPriority w:val="0"/>
    <w:pPr>
      <w:ind w:left="420" w:leftChars="200"/>
    </w:pPr>
  </w:style>
  <w:style w:type="paragraph" w:styleId="4">
    <w:name w:val="envelope return"/>
    <w:basedOn w:val="1"/>
    <w:unhideWhenUsed/>
    <w:qFormat/>
    <w:uiPriority w:val="99"/>
    <w:pPr>
      <w:snapToGrid w:val="0"/>
      <w:spacing w:line="360" w:lineRule="auto"/>
    </w:pPr>
    <w:rPr>
      <w:rFonts w:ascii="Arial" w:hAnsi="Arial" w:cs="Arial"/>
    </w:rPr>
  </w:style>
  <w:style w:type="paragraph" w:styleId="7">
    <w:name w:val="Body Text"/>
    <w:basedOn w:val="1"/>
    <w:next w:val="8"/>
    <w:qFormat/>
    <w:uiPriority w:val="0"/>
    <w:pPr>
      <w:spacing w:after="120"/>
    </w:pPr>
    <w:rPr>
      <w:rFonts w:ascii="Times New Roman" w:hAnsi="Times New Roman"/>
      <w:kern w:val="2"/>
      <w:szCs w:val="24"/>
    </w:rPr>
  </w:style>
  <w:style w:type="paragraph" w:customStyle="1" w:styleId="8">
    <w:name w:val="style4"/>
    <w:basedOn w:val="1"/>
    <w:next w:val="9"/>
    <w:qFormat/>
    <w:uiPriority w:val="0"/>
    <w:pPr>
      <w:widowControl/>
      <w:spacing w:before="280" w:after="280"/>
    </w:pPr>
    <w:rPr>
      <w:rFonts w:ascii="宋体" w:eastAsia="宋体"/>
      <w:sz w:val="18"/>
    </w:rPr>
  </w:style>
  <w:style w:type="paragraph" w:customStyle="1" w:styleId="9">
    <w:name w:val="2"/>
    <w:next w:val="1"/>
    <w:qFormat/>
    <w:uiPriority w:val="0"/>
    <w:pPr>
      <w:widowControl w:val="0"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paragraph" w:styleId="10">
    <w:name w:val="Body Text First Indent"/>
    <w:basedOn w:val="7"/>
    <w:next w:val="1"/>
    <w:qFormat/>
    <w:uiPriority w:val="0"/>
    <w:pPr>
      <w:spacing w:after="120" w:afterLines="0"/>
      <w:ind w:firstLine="420" w:firstLineChars="100"/>
    </w:pPr>
    <w:rPr>
      <w:rFonts w:ascii="Times New Roman" w:hAnsi="Times New Roman"/>
      <w:kern w:val="0"/>
      <w:sz w:val="32"/>
      <w:szCs w:val="24"/>
    </w:rPr>
  </w:style>
  <w:style w:type="paragraph" w:customStyle="1" w:styleId="13">
    <w:name w:val="p0"/>
    <w:basedOn w:val="1"/>
    <w:qFormat/>
    <w:uiPriority w:val="0"/>
    <w:pPr>
      <w:widowControl/>
    </w:pPr>
    <w:rPr>
      <w:rFonts w:ascii="Calibri" w:hAnsi="Calibri"/>
      <w:kern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2020-06-29T09:38:00Z</dcterms:created>
  <dc:creator>Administrator</dc:creator>
  <cp:lastModifiedBy>南栀</cp:lastModifiedBy>
  <dcterms:modified xsi:type="dcterms:W3CDTF">2020-07-14T08:32:34Z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