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pPr>
      <w:r>
        <w:rPr>
          <w:rFonts w:hint="eastAsia"/>
        </w:rPr>
        <w:t>采购需求</w:t>
      </w:r>
    </w:p>
    <w:p>
      <w:pPr>
        <w:pStyle w:val="9"/>
        <w:spacing w:line="360" w:lineRule="auto"/>
        <w:rPr>
          <w:rFonts w:hint="eastAsia" w:ascii="宋体" w:hAnsi="宋体" w:eastAsia="宋体"/>
          <w:b/>
          <w:kern w:val="2"/>
          <w:sz w:val="28"/>
          <w:szCs w:val="28"/>
          <w:lang w:eastAsia="zh-CN"/>
        </w:rPr>
      </w:pPr>
      <w:r>
        <w:rPr>
          <w:rFonts w:hint="eastAsia" w:ascii="宋体" w:hAnsi="宋体" w:eastAsia="宋体"/>
          <w:b/>
          <w:kern w:val="2"/>
          <w:sz w:val="28"/>
          <w:szCs w:val="28"/>
          <w:lang w:eastAsia="zh-CN"/>
        </w:rPr>
        <w:t>一、项目简介：</w:t>
      </w:r>
    </w:p>
    <w:p>
      <w:pPr>
        <w:pStyle w:val="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b w:val="0"/>
          <w:bCs/>
          <w:kern w:val="2"/>
          <w:sz w:val="28"/>
          <w:szCs w:val="28"/>
          <w:lang w:val="en-US" w:eastAsia="zh-CN"/>
        </w:rPr>
        <w:t xml:space="preserve">  </w:t>
      </w:r>
      <w:r>
        <w:rPr>
          <w:rFonts w:hint="eastAsia" w:ascii="宋体" w:hAnsi="宋体" w:eastAsia="宋体" w:cs="Times New Roman"/>
          <w:kern w:val="0"/>
          <w:sz w:val="22"/>
          <w:szCs w:val="22"/>
          <w:lang w:val="en-US" w:eastAsia="zh-CN" w:bidi="ar-SA"/>
        </w:rPr>
        <w:t xml:space="preserve"> 本工程位于霍山地区，对霍山县殡仪馆及城市公益性公墓建设工程开展社会稳定风险评估工作，并编制社会稳定风险评估报告。</w:t>
      </w:r>
    </w:p>
    <w:p>
      <w:pPr>
        <w:pStyle w:val="9"/>
        <w:spacing w:line="360" w:lineRule="auto"/>
        <w:rPr>
          <w:rFonts w:hint="eastAsia" w:ascii="宋体" w:hAnsi="宋体" w:eastAsia="宋体"/>
          <w:b/>
          <w:bCs w:val="0"/>
          <w:kern w:val="2"/>
          <w:sz w:val="28"/>
          <w:szCs w:val="28"/>
          <w:lang w:val="en-US" w:eastAsia="zh-CN"/>
        </w:rPr>
      </w:pPr>
      <w:r>
        <w:rPr>
          <w:rFonts w:hint="eastAsia" w:ascii="宋体" w:hAnsi="宋体" w:eastAsia="宋体"/>
          <w:b/>
          <w:bCs w:val="0"/>
          <w:kern w:val="2"/>
          <w:sz w:val="28"/>
          <w:szCs w:val="28"/>
          <w:lang w:val="en-US" w:eastAsia="zh-CN"/>
        </w:rPr>
        <w:t>二、</w:t>
      </w:r>
      <w:r>
        <w:rPr>
          <w:rFonts w:hint="eastAsia" w:ascii="宋体" w:hAnsi="宋体"/>
          <w:b/>
          <w:bCs w:val="0"/>
          <w:kern w:val="2"/>
          <w:sz w:val="28"/>
          <w:szCs w:val="28"/>
          <w:lang w:val="en-US" w:eastAsia="zh-CN"/>
        </w:rPr>
        <w:t>社会稳定评估工作程序</w:t>
      </w:r>
      <w:r>
        <w:rPr>
          <w:rFonts w:hint="eastAsia" w:ascii="宋体" w:hAnsi="宋体" w:eastAsia="宋体"/>
          <w:b/>
          <w:bCs w:val="0"/>
          <w:kern w:val="2"/>
          <w:sz w:val="28"/>
          <w:szCs w:val="28"/>
          <w:lang w:val="en-US" w:eastAsia="zh-CN"/>
        </w:rPr>
        <w:t>：</w:t>
      </w:r>
    </w:p>
    <w:p>
      <w:pPr>
        <w:pStyle w:val="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（1）初步分析审查风险评估报告，包括审查风险因素识别、风险估计、</w:t>
      </w:r>
    </w:p>
    <w:p>
      <w:pPr>
        <w:pStyle w:val="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风险评判、预防、化解措施以及风险等级。</w:t>
      </w:r>
    </w:p>
    <w:p>
      <w:pPr>
        <w:pStyle w:val="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（2）开展针对性的调查、核实工作，将获取的信息与风险评估所反映</w:t>
      </w:r>
    </w:p>
    <w:p>
      <w:pPr>
        <w:pStyle w:val="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的信息进行比较评估，形成能够客观地反映实际情况的数据资料。</w:t>
      </w:r>
    </w:p>
    <w:p>
      <w:pPr>
        <w:pStyle w:val="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（3）评估组人员，重点对评估报告反映的评估内容和评估程序是否完</w:t>
      </w:r>
    </w:p>
    <w:p>
      <w:pPr>
        <w:pStyle w:val="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备，征求意见是否广泛，风险识别是否全面，反映意见是否全面、真实，</w:t>
      </w:r>
    </w:p>
    <w:p>
      <w:pPr>
        <w:pStyle w:val="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评估方法是否科学，风险预防、化解措施和应急处置预案是否可行、有效，风险等级的评估结论是否正确。</w:t>
      </w:r>
    </w:p>
    <w:p>
      <w:pPr>
        <w:pStyle w:val="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（4）综合分析论证和评估、编制评估报告。根据调查分析、评估组形成的意见对项目风险进行分析和论证，对评估报告作出客观、公正的评估，编制评估报告。</w:t>
      </w:r>
    </w:p>
    <w:p>
      <w:pPr>
        <w:pStyle w:val="9"/>
        <w:spacing w:line="360" w:lineRule="auto"/>
        <w:rPr>
          <w:rFonts w:hint="default" w:ascii="宋体" w:hAnsi="宋体" w:eastAsia="宋体"/>
          <w:b/>
          <w:bCs w:val="0"/>
          <w:kern w:val="2"/>
          <w:sz w:val="28"/>
          <w:szCs w:val="28"/>
          <w:lang w:val="en-US" w:eastAsia="zh-CN"/>
        </w:rPr>
      </w:pPr>
      <w:r>
        <w:rPr>
          <w:rFonts w:hint="eastAsia" w:ascii="宋体" w:hAnsi="宋体"/>
          <w:b/>
          <w:bCs w:val="0"/>
          <w:kern w:val="2"/>
          <w:sz w:val="28"/>
          <w:szCs w:val="28"/>
          <w:lang w:val="en-US" w:eastAsia="zh-CN"/>
        </w:rPr>
        <w:t>三、</w:t>
      </w:r>
      <w:r>
        <w:rPr>
          <w:rFonts w:hint="eastAsia" w:ascii="宋体" w:hAnsi="宋体" w:eastAsia="宋体"/>
          <w:b/>
          <w:bCs w:val="0"/>
          <w:kern w:val="2"/>
          <w:sz w:val="28"/>
          <w:szCs w:val="28"/>
          <w:lang w:val="en-US" w:eastAsia="zh-CN"/>
        </w:rPr>
        <w:t>其他事项</w:t>
      </w:r>
    </w:p>
    <w:p>
      <w:pPr>
        <w:pStyle w:val="9"/>
        <w:spacing w:line="360" w:lineRule="auto"/>
        <w:rPr>
          <w:rFonts w:hint="eastAsia" w:ascii="宋体" w:hAnsi="宋体"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1、交货（服务）期：合同生效后25天完成报告（一式八份）；</w:t>
      </w:r>
    </w:p>
    <w:p>
      <w:r>
        <w:rPr>
          <w:rFonts w:hint="eastAsia" w:ascii="宋体" w:hAnsi="宋体" w:eastAsia="宋体" w:cs="Times New Roman"/>
          <w:kern w:val="0"/>
          <w:sz w:val="22"/>
          <w:szCs w:val="22"/>
          <w:lang w:val="en-US" w:eastAsia="zh-CN" w:bidi="ar-SA"/>
        </w:rPr>
        <w:t>2、最高限价：壹拾贰万伍仟元整（￥125000.00）</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26C1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ind w:firstLine="200" w:firstLineChars="200"/>
      <w:jc w:val="both"/>
    </w:pPr>
    <w:rPr>
      <w:rFonts w:ascii="宋体" w:hAnsi="宋体" w:eastAsia="宋体" w:cs="Times New Roman"/>
      <w:sz w:val="22"/>
      <w:lang w:val="en-US" w:eastAsia="zh-CN" w:bidi="ar-SA"/>
    </w:rPr>
  </w:style>
  <w:style w:type="paragraph" w:styleId="6">
    <w:name w:val="heading 1"/>
    <w:basedOn w:val="1"/>
    <w:next w:val="1"/>
    <w:qFormat/>
    <w:uiPriority w:val="0"/>
    <w:pPr>
      <w:keepNext/>
      <w:keepLines/>
      <w:spacing w:before="240" w:after="240" w:line="240" w:lineRule="auto"/>
      <w:ind w:firstLine="0" w:firstLineChars="0"/>
      <w:jc w:val="center"/>
      <w:outlineLvl w:val="0"/>
    </w:pPr>
    <w:rPr>
      <w:rFonts w:ascii="黑体" w:hAnsi="黑体" w:eastAsia="黑体" w:cs="黑体"/>
      <w:bCs/>
      <w:kern w:val="44"/>
      <w:sz w:val="44"/>
      <w:szCs w:val="44"/>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w:basedOn w:val="3"/>
    <w:next w:val="1"/>
    <w:qFormat/>
    <w:uiPriority w:val="0"/>
    <w:pPr>
      <w:spacing w:after="120" w:afterLines="0"/>
      <w:ind w:firstLine="420" w:firstLineChars="100"/>
    </w:pPr>
    <w:rPr>
      <w:rFonts w:ascii="Times New Roman" w:hAnsi="Times New Roman"/>
      <w:kern w:val="0"/>
      <w:sz w:val="32"/>
      <w:szCs w:val="24"/>
    </w:rPr>
  </w:style>
  <w:style w:type="paragraph" w:styleId="3">
    <w:name w:val="Body Text"/>
    <w:basedOn w:val="1"/>
    <w:next w:val="4"/>
    <w:qFormat/>
    <w:uiPriority w:val="0"/>
    <w:pPr>
      <w:spacing w:after="120"/>
    </w:pPr>
    <w:rPr>
      <w:rFonts w:ascii="Times New Roman" w:hAnsi="Times New Roman"/>
      <w:kern w:val="2"/>
      <w:szCs w:val="24"/>
    </w:rPr>
  </w:style>
  <w:style w:type="paragraph" w:customStyle="1" w:styleId="4">
    <w:name w:val="style4"/>
    <w:basedOn w:val="1"/>
    <w:next w:val="5"/>
    <w:qFormat/>
    <w:uiPriority w:val="0"/>
    <w:pPr>
      <w:widowControl/>
      <w:spacing w:before="280" w:after="280"/>
    </w:pPr>
    <w:rPr>
      <w:rFonts w:ascii="宋体" w:eastAsia="宋体"/>
      <w:sz w:val="18"/>
    </w:rPr>
  </w:style>
  <w:style w:type="paragraph" w:customStyle="1" w:styleId="5">
    <w:name w:val="2"/>
    <w:next w:val="1"/>
    <w:qFormat/>
    <w:uiPriority w:val="0"/>
    <w:pPr>
      <w:widowControl w:val="0"/>
      <w:jc w:val="both"/>
    </w:pPr>
    <w:rPr>
      <w:rFonts w:ascii="Calibri" w:hAnsi="Calibri" w:eastAsia="宋体" w:cs="Times New Roman"/>
      <w:sz w:val="21"/>
      <w:szCs w:val="22"/>
      <w:lang w:val="en-US" w:eastAsia="zh-CN" w:bidi="ar-SA"/>
    </w:rPr>
  </w:style>
  <w:style w:type="paragraph" w:customStyle="1" w:styleId="9">
    <w:name w:val="p0"/>
    <w:basedOn w:val="1"/>
    <w:qFormat/>
    <w:uiPriority w:val="0"/>
    <w:pPr>
      <w:widowControl/>
    </w:pPr>
    <w:rPr>
      <w:rFonts w:ascii="Calibri" w:hAnsi="Calibri"/>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2020-06-29T09:38:21Z</dcterms:created>
  <dc:creator>Administrator</dc:creator>
  <cp:lastModifiedBy>小ద短న腿</cp:lastModifiedBy>
  <dcterms:modified xsi:type="dcterms:W3CDTF">2020-06-29T09:38:24Z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