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jc w:val="center"/>
        <w:outlineLvl w:val="0"/>
        <w:rPr>
          <w:rFonts w:hint="eastAsia" w:ascii="宋体" w:hAnsi="宋体" w:eastAsia="宋体" w:cs="宋体"/>
          <w:b/>
          <w:bCs w:val="0"/>
          <w:sz w:val="36"/>
          <w:szCs w:val="36"/>
          <w:lang w:eastAsia="zh-CN"/>
        </w:rPr>
      </w:pPr>
      <w:bookmarkStart w:id="0" w:name="_Toc363199273"/>
      <w:r>
        <w:rPr>
          <w:rFonts w:hint="eastAsia" w:ascii="宋体" w:hAnsi="宋体" w:eastAsia="宋体" w:cs="宋体"/>
          <w:b/>
          <w:bCs w:val="0"/>
          <w:sz w:val="36"/>
          <w:szCs w:val="36"/>
          <w:lang w:eastAsia="zh-CN"/>
        </w:rPr>
        <w:t>采购需求</w:t>
      </w:r>
    </w:p>
    <w:p>
      <w:pPr>
        <w:pStyle w:val="5"/>
        <w:jc w:val="center"/>
        <w:rPr>
          <w:color w:val="000000"/>
        </w:rPr>
      </w:pPr>
      <w:r>
        <w:rPr>
          <w:rFonts w:hint="eastAsia"/>
          <w:color w:val="000000"/>
        </w:rPr>
        <w:t>设备清单</w:t>
      </w:r>
    </w:p>
    <w:tbl>
      <w:tblPr>
        <w:tblStyle w:val="17"/>
        <w:tblW w:w="102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988"/>
        <w:gridCol w:w="1275"/>
        <w:gridCol w:w="3969"/>
        <w:gridCol w:w="567"/>
        <w:gridCol w:w="567"/>
        <w:gridCol w:w="709"/>
        <w:gridCol w:w="709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98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color w:val="000000"/>
                <w:kern w:val="0"/>
                <w:szCs w:val="21"/>
              </w:rPr>
              <w:t>实训室名称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396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color w:val="000000"/>
                <w:kern w:val="0"/>
                <w:szCs w:val="21"/>
              </w:rPr>
              <w:t>技术参数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color w:val="000000"/>
                <w:kern w:val="0"/>
                <w:szCs w:val="21"/>
              </w:rPr>
              <w:t>参考报价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color w:val="000000"/>
                <w:kern w:val="0"/>
                <w:szCs w:val="21"/>
              </w:rPr>
              <w:t>参考总价（元）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8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  <w:t>客房服务</w:t>
            </w: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 xml:space="preserve">   201</w:t>
            </w:r>
            <w:r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  <w:t>教室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立柜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高200cm*120cm*50cm  （三层隔板）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组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床架+床垫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床架：120*200*20+7cm(床脚）床架需五面全包。床垫：120*200*22cm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室内装饰画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50cm*70cm(</w:t>
            </w:r>
            <w:r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  <w:t>木质边框）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幅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洗烘一体机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纯棉床单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280厘米*200厘米，缩水前尺寸：288厘米×206厘米，100％精梳棉高支高密80支纱∕400针，丝光全工艺白色贡缎纹，两头2.5厘米折边，两侧1厘米折边。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纯棉枕套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48厘米×78厘米+15×5厘米，100％精梳棉高支高密80支纱∕400针，丝光全工艺白色贡缎纹，四边5厘米法式飞边，于背面距离边缘15厘米为枕套开口。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枕芯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75*45，重1.35千克，填充物为羽绒棉，含绒量30%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工作台桌裙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100厘米×200厘米的台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工作台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100厘米×200厘米，高75厘米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8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  <w:t>教师办公室</w:t>
            </w: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 xml:space="preserve">   202</w:t>
            </w:r>
            <w:r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  <w:t>教室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油蜡皮简约沙发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具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简约茶几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具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简约办公桌椅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120/100*55*72cm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8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  <w:t>候考室</w:t>
            </w: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 xml:space="preserve">   203</w:t>
            </w:r>
            <w:r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  <w:t>教室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带手写板座椅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8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  <w:t>模拟导游实训室</w:t>
            </w: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 xml:space="preserve">       204</w:t>
            </w:r>
            <w:r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  <w:t>教室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音响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手持麦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摄录机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带三脚架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立式白板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240CM*180CM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液晶拼接电视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55英寸 3*4共计12快拼接 4.8米*2.1米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电视背景墙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幅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多媒体操纵台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舞台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4.8</w:t>
            </w:r>
            <w:r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  <w:t>米</w:t>
            </w: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*2.4</w:t>
            </w:r>
            <w:r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  <w:t>米</w:t>
            </w: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*0.3</w:t>
            </w:r>
            <w:r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  <w:t>米（铺木地板、包边）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11.52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平方米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隔断帘（含轨道）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6</w:t>
            </w:r>
            <w:r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  <w:t>米</w:t>
            </w: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*3</w:t>
            </w:r>
            <w:r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  <w:t>米（</w:t>
            </w: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PVC</w:t>
            </w:r>
            <w:r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  <w:t>软门隔断挂帘</w:t>
            </w: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平方米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储物格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贴墙面</w:t>
            </w: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 xml:space="preserve"> 2</w:t>
            </w: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米</w:t>
            </w: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*1.8</w:t>
            </w: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米</w:t>
            </w: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每宽</w:t>
            </w: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50</w:t>
            </w: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厘米一格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具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墙面镜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5.5</w:t>
            </w:r>
            <w:r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  <w:t>米</w:t>
            </w: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*2.8</w:t>
            </w:r>
            <w:r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  <w:t>米（</w:t>
            </w: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  <w:t>包边）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面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落地训练把杆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9.5</w:t>
            </w:r>
            <w:r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98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餐饮服务实训室  205教室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备餐车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95*50*95cm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辆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操作台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100*200*75（cm)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工作台桌裙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100厘米×200厘米的台，材质约30％的棉，70％的化纤，（大赛产品）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餐椅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尺寸：40*40*91.5cm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台布及装饰布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台布：正方形，240×240厘米，70%棉、30%化纤，1000克</w:t>
            </w: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装饰布：圆形，直径320厘米，材质约30％的棉，70％的化纤，1550克（大赛产品）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餐椅套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餐椅规格：椅面40厘米×40厘米，高91.5厘米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餐巾（口布）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56厘米×56厘米；70克，材质：棉质（大赛产品）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酒瓶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葡萄酒瓶750ml；白酒瓶500ml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装饰花盆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外径17.5厘米，内径16.5厘米，底径13.5厘米，盆高7.5厘米，材质：瓷器（大赛产品）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餐碟（骨碟）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外径20.3厘米，内径12.5厘米，材质：瓷器（大赛产品）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汤碗（翅碗）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碗口直径11.3厘米 ，底部直径5厘米,高4厘米，材质：瓷器（大赛产品）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味碟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碟口7.3厘米，底部4厘米，高1.8厘米，材质：瓷器（大赛产品）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汤勺（瓷更）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长13.7厘米， 宽3.8厘米（大赛产品）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筷架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长7.3厘米，底部长7.7厘米；宽2.8厘米；底部宽3.1厘米；高1.3厘米；勺子位长5厘米，圆形凹口位3厘米；筷子位顶部2.2厘米，凹位1.3厘米，高度1.6厘米，材质：瓷器（大赛产品）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筷子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长24.5厘米，筷子头直径0.4厘米；带筷套：长29.5厘米，宽3厘米（大赛产品）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双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席面更（长柄勺）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全长20.4厘米，勺子长6.4厘米，直径4.3厘米，材质：不锈钢（大赛产品）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水杯（414ML）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杯口外径6.5厘米，杯口内径6.1厘米，内高13.5厘米，外高18.7厘米，杯底直径6.7厘米，厚0.4厘米，材质：玻璃（大赛产品）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葡萄酒杯（14CL）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杯口外径5.8厘米，杯口内径5.5厘米，内高6.9厘米，外高14厘米，杯底直径5.7厘米，厚0.2厘米，材质：玻璃，（大赛产品）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白酒杯（2.6CL）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杯口外径3.7厘米，杯口内径3.4厘米，内高3.3厘米，外高8.9厘米，杯底直径4.1厘米，厚0.2厘米，材质：玻璃，（大赛产品）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牙签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长8.3厘米，宽1.5厘米（大赛产品）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菜单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长18.5厘米，外宽12.5厘米内宽10.5厘米，厚1.7厘米（大赛产品）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桌号牌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底座长10厘米，宽4.5厘米，高8.1厘米，底座厚度0.8厘米（大赛产品）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公用餐具（公筷架、筷子、公勺）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公筷架全长9.5厘米，底座长5.9厘米,宽1.2厘米，勺座直径2.5厘米，筷座长3.5厘米，宽1.2厘米（大赛产品）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折叠餐巾花专用大盘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直径40厘米，材质：瓷器（大赛产品）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服务巾（斟酒用）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边长48厘米，材质：棉质（大赛产品）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室内软装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房间内装饰画4张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Tahoma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班班通多媒体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201" w:type="dxa"/>
            <w:gridSpan w:val="9"/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cs="宋体" w:asciiTheme="majorEastAsia" w:hAnsiTheme="majorEastAsia" w:eastAsiaTheme="maj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color w:val="000000"/>
                <w:kern w:val="0"/>
                <w:szCs w:val="21"/>
              </w:rPr>
              <w:t>合计：</w:t>
            </w:r>
            <w:r>
              <w:rPr>
                <w:rFonts w:cs="宋体" w:asciiTheme="majorEastAsia" w:hAnsiTheme="majorEastAsia" w:eastAsiaTheme="majorEastAsia"/>
                <w:b/>
                <w:bCs/>
                <w:color w:val="000000"/>
                <w:kern w:val="0"/>
                <w:szCs w:val="21"/>
              </w:rPr>
              <w:t>贰拾肆万捌仟肆佰</w:t>
            </w:r>
            <w:r>
              <w:rPr>
                <w:rFonts w:hint="eastAsia" w:cs="宋体" w:asciiTheme="majorEastAsia" w:hAnsiTheme="majorEastAsia" w:eastAsiaTheme="majorEastAsia"/>
                <w:b/>
                <w:bCs/>
                <w:color w:val="000000"/>
                <w:kern w:val="0"/>
                <w:szCs w:val="21"/>
              </w:rPr>
              <w:t>玖拾</w:t>
            </w:r>
            <w:r>
              <w:rPr>
                <w:rFonts w:cs="宋体" w:asciiTheme="majorEastAsia" w:hAnsiTheme="majorEastAsia" w:eastAsiaTheme="majorEastAsia"/>
                <w:b/>
                <w:bCs/>
                <w:color w:val="000000"/>
                <w:kern w:val="0"/>
                <w:szCs w:val="21"/>
              </w:rPr>
              <w:t>元整（</w:t>
            </w:r>
            <w:r>
              <w:rPr>
                <w:rFonts w:hint="eastAsia" w:cs="宋体" w:asciiTheme="majorEastAsia" w:hAnsiTheme="majorEastAsia" w:eastAsiaTheme="majorEastAsia"/>
                <w:b/>
                <w:bCs/>
                <w:color w:val="000000"/>
                <w:kern w:val="0"/>
                <w:szCs w:val="21"/>
              </w:rPr>
              <w:t>小写</w:t>
            </w:r>
            <w:r>
              <w:rPr>
                <w:rFonts w:cs="宋体" w:asciiTheme="majorEastAsia" w:hAnsiTheme="majorEastAsia" w:eastAsiaTheme="majorEastAsia"/>
                <w:b/>
                <w:bCs/>
                <w:color w:val="000000"/>
                <w:kern w:val="0"/>
                <w:szCs w:val="21"/>
              </w:rPr>
              <w:t>：</w:t>
            </w:r>
            <w:r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  <w:t>248490</w:t>
            </w:r>
            <w:r>
              <w:rPr>
                <w:rFonts w:cs="宋体" w:asciiTheme="majorEastAsia" w:hAnsiTheme="majorEastAsia" w:eastAsiaTheme="majorEastAsia"/>
                <w:b/>
                <w:bCs/>
                <w:color w:val="000000"/>
                <w:kern w:val="0"/>
                <w:szCs w:val="21"/>
              </w:rPr>
              <w:t>）</w:t>
            </w:r>
          </w:p>
        </w:tc>
      </w:tr>
    </w:tbl>
    <w:p>
      <w:pPr>
        <w:ind w:left="105" w:leftChars="50" w:firstLine="360" w:firstLineChars="150"/>
        <w:jc w:val="center"/>
        <w:rPr>
          <w:sz w:val="24"/>
          <w:szCs w:val="24"/>
        </w:rPr>
      </w:pPr>
    </w:p>
    <w:p>
      <w:pPr>
        <w:widowControl/>
        <w:spacing w:line="240" w:lineRule="auto"/>
        <w:ind w:firstLine="0" w:firstLineChars="0"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>
      <w:pPr>
        <w:pStyle w:val="2"/>
        <w:rPr>
          <w:rFonts w:hint="eastAsia"/>
          <w:lang w:eastAsia="zh-CN"/>
        </w:rPr>
      </w:pPr>
      <w:r>
        <w:rPr>
          <w:rFonts w:hint="eastAsia"/>
          <w:sz w:val="24"/>
          <w:szCs w:val="24"/>
        </w:rPr>
        <w:t>附：拼接液晶电视屏 设计效果图</w:t>
      </w:r>
      <w:r>
        <w:rPr>
          <w:rFonts w:hint="eastAsia"/>
          <w:color w:val="FF0000"/>
          <w:sz w:val="24"/>
          <w:szCs w:val="24"/>
        </w:rPr>
        <w:t xml:space="preserve">                         </w:t>
      </w:r>
      <w:bookmarkStart w:id="1" w:name="_GoBack"/>
      <w:r>
        <w:rPr>
          <w:rFonts w:ascii="宋体" w:hAnsi="宋体" w:cs="Tahoma"/>
          <w:b/>
          <w:bCs/>
          <w:color w:val="000000"/>
          <w:kern w:val="0"/>
          <w:sz w:val="22"/>
        </w:rPr>
        <w:drawing>
          <wp:inline distT="0" distB="0" distL="0" distR="0">
            <wp:extent cx="5688330" cy="3159760"/>
            <wp:effectExtent l="0" t="0" r="1270" b="2540"/>
            <wp:docPr id="9" name="图片 0" descr="微信图片_202003161127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0" descr="微信图片_20200316112744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88330" cy="3160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>
      <w:pPr>
        <w:pStyle w:val="2"/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其中设备清单第2项，第5-9项，第28-50项必须符合安徽省中职旅游技能大赛参数需求，需供应方提供大赛供应商资格。</w:t>
      </w:r>
    </w:p>
    <w:p>
      <w:pPr>
        <w:pStyle w:val="26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after="0" w:line="500" w:lineRule="exact"/>
        <w:jc w:val="both"/>
        <w:textAlignment w:val="baseline"/>
        <w:outlineLvl w:val="9"/>
        <w:rPr>
          <w:rFonts w:hint="eastAsia"/>
          <w:color w:val="auto"/>
          <w:sz w:val="21"/>
          <w:szCs w:val="21"/>
        </w:rPr>
      </w:pPr>
      <w:r>
        <w:rPr>
          <w:rFonts w:hint="eastAsia"/>
          <w:color w:val="auto"/>
          <w:sz w:val="21"/>
          <w:szCs w:val="21"/>
        </w:rPr>
        <w:t>备注：1、本项目报价采用“总价报价”，响应报价应含有所投货物的税费（如关税、进口货物及其所用原材料、各种国内、外税费等）及包装、运至最终目的地的运输、保险、现场落地、安装调试、检测验收、培训和交付后规定免费维保期内维保等环节所发生的一切费用。响应报价为供应商在响应文件中提出的各项支付金额的总和。结算时不再有任何调整，成交供应商依据最终报价与采购人签订合同。</w:t>
      </w:r>
    </w:p>
    <w:p>
      <w:pPr>
        <w:jc w:val="center"/>
        <w:rPr>
          <w:rFonts w:hint="eastAsia" w:ascii="宋体" w:hAnsi="宋体" w:eastAsia="宋体" w:cs="宋体"/>
          <w:color w:val="auto"/>
          <w:sz w:val="21"/>
          <w:szCs w:val="21"/>
        </w:rPr>
      </w:pPr>
    </w:p>
    <w:p>
      <w:pPr>
        <w:jc w:val="center"/>
        <w:rPr>
          <w:rFonts w:hint="eastAsia" w:ascii="宋体" w:hAnsi="宋体" w:eastAsia="宋体" w:cs="宋体"/>
          <w:color w:val="auto"/>
          <w:sz w:val="21"/>
          <w:szCs w:val="21"/>
        </w:rPr>
      </w:pPr>
    </w:p>
    <w:bookmarkEnd w:id="0"/>
    <w:p>
      <w:pPr>
        <w:bidi w:val="0"/>
        <w:jc w:val="both"/>
        <w:rPr>
          <w:lang w:val="en-US" w:eastAsia="zh-CN"/>
        </w:rPr>
      </w:pPr>
    </w:p>
    <w:sectPr>
      <w:footerReference r:id="rId3" w:type="default"/>
      <w:pgSz w:w="11906" w:h="16838"/>
      <w:pgMar w:top="1134" w:right="1449" w:bottom="1134" w:left="1417" w:header="567" w:footer="992" w:gutter="0"/>
      <w:pgNumType w:fmt="decimal" w:start="1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tabs>
        <w:tab w:val="center" w:pos="4520"/>
        <w:tab w:val="clear" w:pos="4153"/>
        <w:tab w:val="clear" w:pos="8306"/>
      </w:tabs>
      <w:jc w:val="both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OqXm5zwAAAAUB&#10;AAAPAAAAAAAAAAEAIAAAACIAAABkcnMvZG93bnJldi54bWxQSwECFAAUAAAACACHTuJAlqd70rIB&#10;AABZAwAADgAAAAAAAAABACAAAAAeAQAAZHJzL2Uyb0RvYy54bWxQSwUGAAAAAAYABgBZAQAAQgUA&#10;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1C57A5"/>
    <w:rsid w:val="0003708B"/>
    <w:rsid w:val="00292389"/>
    <w:rsid w:val="00847D88"/>
    <w:rsid w:val="00B03C56"/>
    <w:rsid w:val="00B17BC8"/>
    <w:rsid w:val="02AA1EE6"/>
    <w:rsid w:val="03150F8F"/>
    <w:rsid w:val="059C0CBD"/>
    <w:rsid w:val="0644344B"/>
    <w:rsid w:val="065734CB"/>
    <w:rsid w:val="066160FD"/>
    <w:rsid w:val="06BE48F4"/>
    <w:rsid w:val="07500CD8"/>
    <w:rsid w:val="09F429FB"/>
    <w:rsid w:val="0A967446"/>
    <w:rsid w:val="0ADA7309"/>
    <w:rsid w:val="0C5D10F3"/>
    <w:rsid w:val="0C8B3F0F"/>
    <w:rsid w:val="0CE51BA4"/>
    <w:rsid w:val="0D4A538B"/>
    <w:rsid w:val="0E7B6D74"/>
    <w:rsid w:val="0EB23F58"/>
    <w:rsid w:val="0EC811A0"/>
    <w:rsid w:val="11013491"/>
    <w:rsid w:val="13592465"/>
    <w:rsid w:val="1414601F"/>
    <w:rsid w:val="147737A7"/>
    <w:rsid w:val="14827BCA"/>
    <w:rsid w:val="15081ED3"/>
    <w:rsid w:val="159267B6"/>
    <w:rsid w:val="161D1882"/>
    <w:rsid w:val="16C41FE1"/>
    <w:rsid w:val="16E90795"/>
    <w:rsid w:val="174F1F7C"/>
    <w:rsid w:val="18B06CB8"/>
    <w:rsid w:val="18FB5F6E"/>
    <w:rsid w:val="1A1D00D5"/>
    <w:rsid w:val="1A331B52"/>
    <w:rsid w:val="1B8850A8"/>
    <w:rsid w:val="1BD82076"/>
    <w:rsid w:val="1C230B2D"/>
    <w:rsid w:val="1C996F6B"/>
    <w:rsid w:val="1D16290A"/>
    <w:rsid w:val="1D217AE8"/>
    <w:rsid w:val="1DC0444F"/>
    <w:rsid w:val="215167E4"/>
    <w:rsid w:val="221A7232"/>
    <w:rsid w:val="221B322D"/>
    <w:rsid w:val="23146CA5"/>
    <w:rsid w:val="234A74A5"/>
    <w:rsid w:val="249C4D10"/>
    <w:rsid w:val="252F4627"/>
    <w:rsid w:val="25656A25"/>
    <w:rsid w:val="25991012"/>
    <w:rsid w:val="260D2BCC"/>
    <w:rsid w:val="2756117E"/>
    <w:rsid w:val="28B95567"/>
    <w:rsid w:val="2A987BB9"/>
    <w:rsid w:val="2B1C14C3"/>
    <w:rsid w:val="2BA25F45"/>
    <w:rsid w:val="2BB052E5"/>
    <w:rsid w:val="2D254D25"/>
    <w:rsid w:val="2DD57ECD"/>
    <w:rsid w:val="2E812FF3"/>
    <w:rsid w:val="2ED51A6E"/>
    <w:rsid w:val="2F1C57A5"/>
    <w:rsid w:val="2FA7707A"/>
    <w:rsid w:val="30091271"/>
    <w:rsid w:val="31F9233C"/>
    <w:rsid w:val="32661595"/>
    <w:rsid w:val="340E6C58"/>
    <w:rsid w:val="34D536C4"/>
    <w:rsid w:val="362D06DE"/>
    <w:rsid w:val="38B45EFC"/>
    <w:rsid w:val="38D036A4"/>
    <w:rsid w:val="39792C93"/>
    <w:rsid w:val="3AE97D6B"/>
    <w:rsid w:val="3B8E3C6C"/>
    <w:rsid w:val="3C1C5FDB"/>
    <w:rsid w:val="3C967255"/>
    <w:rsid w:val="3D457CC8"/>
    <w:rsid w:val="3D5C50E1"/>
    <w:rsid w:val="3E046DF3"/>
    <w:rsid w:val="3E9D780F"/>
    <w:rsid w:val="3FE111C3"/>
    <w:rsid w:val="40B4502A"/>
    <w:rsid w:val="40FE59B1"/>
    <w:rsid w:val="41666DD5"/>
    <w:rsid w:val="41DD49C0"/>
    <w:rsid w:val="42B2150D"/>
    <w:rsid w:val="431D644D"/>
    <w:rsid w:val="44595EFE"/>
    <w:rsid w:val="44A83992"/>
    <w:rsid w:val="45FC1F89"/>
    <w:rsid w:val="46447AD0"/>
    <w:rsid w:val="4667667C"/>
    <w:rsid w:val="46FE1966"/>
    <w:rsid w:val="47AD1197"/>
    <w:rsid w:val="47ED349E"/>
    <w:rsid w:val="48D30C8F"/>
    <w:rsid w:val="48F93679"/>
    <w:rsid w:val="493E0515"/>
    <w:rsid w:val="49665DCB"/>
    <w:rsid w:val="49974E74"/>
    <w:rsid w:val="4A405D23"/>
    <w:rsid w:val="4A4D2829"/>
    <w:rsid w:val="4D18297E"/>
    <w:rsid w:val="4D757618"/>
    <w:rsid w:val="4E126F73"/>
    <w:rsid w:val="4F490783"/>
    <w:rsid w:val="4F9010E9"/>
    <w:rsid w:val="50345C2D"/>
    <w:rsid w:val="51373F3D"/>
    <w:rsid w:val="54A309A3"/>
    <w:rsid w:val="54B56A54"/>
    <w:rsid w:val="552175DB"/>
    <w:rsid w:val="558001AF"/>
    <w:rsid w:val="559C563E"/>
    <w:rsid w:val="55FB7588"/>
    <w:rsid w:val="57562B24"/>
    <w:rsid w:val="581B40F7"/>
    <w:rsid w:val="58565344"/>
    <w:rsid w:val="58695F8B"/>
    <w:rsid w:val="589543F5"/>
    <w:rsid w:val="5BA07BB6"/>
    <w:rsid w:val="5BBE35F6"/>
    <w:rsid w:val="5C3E5A4E"/>
    <w:rsid w:val="5CFA0810"/>
    <w:rsid w:val="5D273630"/>
    <w:rsid w:val="5D603CFB"/>
    <w:rsid w:val="5EB3743D"/>
    <w:rsid w:val="5EFB6C0F"/>
    <w:rsid w:val="5F2B66BC"/>
    <w:rsid w:val="618D0E1A"/>
    <w:rsid w:val="619C1CA6"/>
    <w:rsid w:val="629D1B22"/>
    <w:rsid w:val="63637DD7"/>
    <w:rsid w:val="639C65AB"/>
    <w:rsid w:val="63CE30A4"/>
    <w:rsid w:val="65502555"/>
    <w:rsid w:val="65771F5A"/>
    <w:rsid w:val="66357CC3"/>
    <w:rsid w:val="66F918C9"/>
    <w:rsid w:val="678154B0"/>
    <w:rsid w:val="68560087"/>
    <w:rsid w:val="68BA3798"/>
    <w:rsid w:val="690D0368"/>
    <w:rsid w:val="692F6410"/>
    <w:rsid w:val="69FF7CBD"/>
    <w:rsid w:val="6A47529D"/>
    <w:rsid w:val="6AF61310"/>
    <w:rsid w:val="6B225547"/>
    <w:rsid w:val="6B413A50"/>
    <w:rsid w:val="6C0040EC"/>
    <w:rsid w:val="6C640C01"/>
    <w:rsid w:val="6CD771B7"/>
    <w:rsid w:val="6DA52666"/>
    <w:rsid w:val="6DB0368A"/>
    <w:rsid w:val="6F5632F9"/>
    <w:rsid w:val="6FB45A58"/>
    <w:rsid w:val="73D81B5D"/>
    <w:rsid w:val="78397A44"/>
    <w:rsid w:val="789C2226"/>
    <w:rsid w:val="78F92F7D"/>
    <w:rsid w:val="79F628A4"/>
    <w:rsid w:val="7A1A522E"/>
    <w:rsid w:val="7A686D7F"/>
    <w:rsid w:val="7AA81F8D"/>
    <w:rsid w:val="7D196BB9"/>
    <w:rsid w:val="7D6A6C42"/>
    <w:rsid w:val="7E456548"/>
    <w:rsid w:val="7EF1633B"/>
    <w:rsid w:val="7FBA1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5">
    <w:name w:val="heading 1"/>
    <w:basedOn w:val="1"/>
    <w:next w:val="1"/>
    <w:qFormat/>
    <w:uiPriority w:val="99"/>
    <w:pPr>
      <w:autoSpaceDE w:val="0"/>
      <w:autoSpaceDN w:val="0"/>
      <w:ind w:left="838"/>
      <w:jc w:val="center"/>
      <w:outlineLvl w:val="0"/>
    </w:pPr>
    <w:rPr>
      <w:rFonts w:ascii="宋体" w:hAnsi="宋体"/>
      <w:b/>
      <w:bCs/>
      <w:kern w:val="0"/>
      <w:sz w:val="32"/>
      <w:szCs w:val="32"/>
    </w:rPr>
  </w:style>
  <w:style w:type="paragraph" w:styleId="6">
    <w:name w:val="heading 2"/>
    <w:basedOn w:val="1"/>
    <w:next w:val="1"/>
    <w:qFormat/>
    <w:uiPriority w:val="99"/>
    <w:pPr>
      <w:keepNext/>
      <w:keepLines/>
      <w:adjustRightInd w:val="0"/>
      <w:spacing w:before="260" w:after="260" w:line="416" w:lineRule="atLeast"/>
      <w:jc w:val="left"/>
      <w:textAlignment w:val="baseline"/>
      <w:outlineLvl w:val="1"/>
    </w:pPr>
    <w:rPr>
      <w:rFonts w:ascii="Arial" w:hAnsi="Arial" w:eastAsia="黑体"/>
      <w:b/>
      <w:kern w:val="0"/>
      <w:sz w:val="32"/>
    </w:rPr>
  </w:style>
  <w:style w:type="paragraph" w:styleId="7">
    <w:name w:val="heading 3"/>
    <w:basedOn w:val="1"/>
    <w:next w:val="1"/>
    <w:link w:val="28"/>
    <w:qFormat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360" w:lineRule="auto"/>
      <w:jc w:val="left"/>
    </w:pPr>
    <w:rPr>
      <w:rFonts w:cs="宋体"/>
      <w:sz w:val="28"/>
      <w:szCs w:val="28"/>
    </w:rPr>
  </w:style>
  <w:style w:type="paragraph" w:styleId="3">
    <w:name w:val="Body Text Indent"/>
    <w:basedOn w:val="1"/>
    <w:next w:val="4"/>
    <w:unhideWhenUsed/>
    <w:qFormat/>
    <w:uiPriority w:val="0"/>
    <w:pPr>
      <w:ind w:left="420" w:leftChars="200"/>
    </w:pPr>
  </w:style>
  <w:style w:type="paragraph" w:styleId="4">
    <w:name w:val="envelope return"/>
    <w:basedOn w:val="1"/>
    <w:unhideWhenUsed/>
    <w:qFormat/>
    <w:uiPriority w:val="99"/>
    <w:pPr>
      <w:snapToGrid w:val="0"/>
      <w:spacing w:line="360" w:lineRule="auto"/>
    </w:pPr>
    <w:rPr>
      <w:rFonts w:ascii="Arial" w:hAnsi="Arial" w:cs="Arial"/>
    </w:rPr>
  </w:style>
  <w:style w:type="paragraph" w:styleId="8">
    <w:name w:val="Normal Indent"/>
    <w:basedOn w:val="1"/>
    <w:qFormat/>
    <w:uiPriority w:val="0"/>
    <w:pPr>
      <w:autoSpaceDE/>
      <w:autoSpaceDN/>
      <w:adjustRightInd/>
      <w:ind w:firstLine="420"/>
    </w:pPr>
    <w:rPr>
      <w:color w:val="auto"/>
      <w:kern w:val="2"/>
      <w:szCs w:val="20"/>
    </w:rPr>
  </w:style>
  <w:style w:type="paragraph" w:styleId="9">
    <w:name w:val="Body Text"/>
    <w:basedOn w:val="1"/>
    <w:next w:val="10"/>
    <w:qFormat/>
    <w:uiPriority w:val="99"/>
    <w:pPr>
      <w:spacing w:after="120"/>
    </w:pPr>
    <w:rPr>
      <w:szCs w:val="24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  <w:style w:type="paragraph" w:styleId="11">
    <w:name w:val="Plain Text"/>
    <w:basedOn w:val="1"/>
    <w:qFormat/>
    <w:uiPriority w:val="99"/>
    <w:rPr>
      <w:rFonts w:ascii="宋体" w:hAnsi="Courier New"/>
      <w:szCs w:val="22"/>
    </w:rPr>
  </w:style>
  <w:style w:type="paragraph" w:styleId="12">
    <w:name w:val="Date"/>
    <w:basedOn w:val="1"/>
    <w:next w:val="1"/>
    <w:qFormat/>
    <w:uiPriority w:val="99"/>
    <w:rPr>
      <w:rFonts w:ascii="Arial" w:hAnsi="Arial" w:eastAsia="楷体_GB2312"/>
      <w:sz w:val="28"/>
    </w:rPr>
  </w:style>
  <w:style w:type="paragraph" w:styleId="1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6">
    <w:name w:val="Body Text First Indent"/>
    <w:basedOn w:val="9"/>
    <w:qFormat/>
    <w:uiPriority w:val="0"/>
    <w:pPr>
      <w:spacing w:line="400" w:lineRule="atLeast"/>
      <w:ind w:firstLine="426"/>
    </w:pPr>
    <w:rPr>
      <w:rFonts w:ascii="Times New Roman" w:hAnsi="Times New Roman"/>
      <w:sz w:val="24"/>
      <w:szCs w:val="20"/>
    </w:r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qFormat/>
    <w:uiPriority w:val="0"/>
  </w:style>
  <w:style w:type="character" w:styleId="21">
    <w:name w:val="Hyperlink"/>
    <w:qFormat/>
    <w:uiPriority w:val="0"/>
    <w:rPr>
      <w:color w:val="0000FF"/>
      <w:u w:val="single"/>
    </w:rPr>
  </w:style>
  <w:style w:type="paragraph" w:customStyle="1" w:styleId="22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3">
    <w:name w:val="D&amp;L"/>
    <w:basedOn w:val="14"/>
    <w:qFormat/>
    <w:uiPriority w:val="99"/>
    <w:pPr>
      <w:pBdr>
        <w:bottom w:val="thinThickSmallGap" w:color="auto" w:sz="18" w:space="1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24">
    <w:name w:val="xl31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25">
    <w:name w:val="Char"/>
    <w:basedOn w:val="1"/>
    <w:qFormat/>
    <w:uiPriority w:val="99"/>
    <w:rPr>
      <w:rFonts w:ascii="Tahoma" w:hAnsi="Tahoma"/>
      <w:sz w:val="24"/>
    </w:rPr>
  </w:style>
  <w:style w:type="paragraph" w:customStyle="1" w:styleId="26">
    <w:name w:val="样式 标题 2 + 宋体 五号 行距: 单倍行距"/>
    <w:basedOn w:val="6"/>
    <w:qFormat/>
    <w:uiPriority w:val="99"/>
    <w:pPr>
      <w:spacing w:line="240" w:lineRule="auto"/>
    </w:pPr>
    <w:rPr>
      <w:rFonts w:ascii="宋体" w:hAnsi="宋体" w:eastAsia="宋体"/>
      <w:sz w:val="21"/>
    </w:rPr>
  </w:style>
  <w:style w:type="paragraph" w:customStyle="1" w:styleId="27">
    <w:name w:val="Char Char Char Char Char Char Char1 Char"/>
    <w:basedOn w:val="1"/>
    <w:qFormat/>
    <w:uiPriority w:val="99"/>
    <w:rPr>
      <w:rFonts w:ascii="Tahoma" w:hAnsi="Tahoma"/>
      <w:sz w:val="24"/>
    </w:rPr>
  </w:style>
  <w:style w:type="character" w:customStyle="1" w:styleId="28">
    <w:name w:val="标题 3 Char"/>
    <w:basedOn w:val="19"/>
    <w:link w:val="7"/>
    <w:qFormat/>
    <w:locked/>
    <w:uiPriority w:val="99"/>
    <w:rPr>
      <w:b/>
      <w:bCs/>
      <w:sz w:val="32"/>
      <w:szCs w:val="32"/>
    </w:rPr>
  </w:style>
  <w:style w:type="paragraph" w:customStyle="1" w:styleId="29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0">
    <w:name w:val="List Paragraph"/>
    <w:basedOn w:val="1"/>
    <w:unhideWhenUsed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31">
    <w:name w:val="Table Paragraph"/>
    <w:basedOn w:val="1"/>
    <w:qFormat/>
    <w:uiPriority w:val="1"/>
  </w:style>
  <w:style w:type="paragraph" w:customStyle="1" w:styleId="32">
    <w:name w:val="_Style 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33">
    <w:name w:val="正文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2019-07-10T01:13:00Z</dcterms:created>
  <dc:creator>Calm.</dc:creator>
  <cp:lastModifiedBy>南栀</cp:lastModifiedBy>
  <cp:lastPrinted>2020-05-18T08:07:00Z</cp:lastPrinted>
  <dcterms:modified xsi:type="dcterms:W3CDTF">2020-05-22T01:02:45Z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