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pPr>
      <w:r>
        <w:rPr>
          <w:rFonts w:hint="eastAsia"/>
        </w:rPr>
        <w:t>一、</w:t>
      </w:r>
      <w:r>
        <w:rPr>
          <w:rFonts w:hint="eastAsia"/>
          <w:lang w:eastAsia="zh-CN"/>
        </w:rPr>
        <w:t>采购</w:t>
      </w:r>
      <w:r>
        <w:rPr>
          <w:rFonts w:hint="eastAsia"/>
        </w:rPr>
        <w:t>清单</w:t>
      </w:r>
    </w:p>
    <w:tbl>
      <w:tblPr>
        <w:tblStyle w:val="8"/>
        <w:tblW w:w="9494" w:type="dxa"/>
        <w:tblInd w:w="-572" w:type="dxa"/>
        <w:tblLayout w:type="fixed"/>
        <w:tblCellMar>
          <w:top w:w="0" w:type="dxa"/>
          <w:left w:w="108" w:type="dxa"/>
          <w:bottom w:w="0" w:type="dxa"/>
          <w:right w:w="108" w:type="dxa"/>
        </w:tblCellMar>
      </w:tblPr>
      <w:tblGrid>
        <w:gridCol w:w="680"/>
        <w:gridCol w:w="1305"/>
        <w:gridCol w:w="4337"/>
        <w:gridCol w:w="687"/>
        <w:gridCol w:w="721"/>
        <w:gridCol w:w="822"/>
        <w:gridCol w:w="942"/>
      </w:tblGrid>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b/>
                <w:color w:val="000000"/>
                <w:kern w:val="0"/>
                <w:sz w:val="20"/>
                <w:szCs w:val="20"/>
              </w:rPr>
            </w:pPr>
            <w:r>
              <w:rPr>
                <w:rFonts w:hint="eastAsia" w:ascii="宋体" w:hAnsi="宋体" w:cs="宋体"/>
                <w:b/>
                <w:color w:val="000000"/>
                <w:kern w:val="0"/>
                <w:sz w:val="20"/>
                <w:szCs w:val="20"/>
              </w:rPr>
              <w:t>序号</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b/>
                <w:kern w:val="0"/>
                <w:sz w:val="20"/>
                <w:szCs w:val="20"/>
              </w:rPr>
            </w:pPr>
            <w:r>
              <w:rPr>
                <w:rFonts w:hint="eastAsia" w:ascii="宋体" w:hAnsi="宋体" w:cs="宋体"/>
                <w:b/>
                <w:kern w:val="0"/>
                <w:sz w:val="20"/>
                <w:szCs w:val="20"/>
              </w:rPr>
              <w:t>名称</w:t>
            </w:r>
          </w:p>
        </w:tc>
        <w:tc>
          <w:tcPr>
            <w:tcW w:w="4337" w:type="dxa"/>
            <w:tcBorders>
              <w:top w:val="single" w:color="auto" w:sz="4" w:space="0"/>
              <w:left w:val="nil"/>
              <w:bottom w:val="single" w:color="auto" w:sz="4" w:space="0"/>
              <w:right w:val="single" w:color="auto" w:sz="4" w:space="0"/>
            </w:tcBorders>
            <w:vAlign w:val="center"/>
          </w:tcPr>
          <w:p>
            <w:pPr>
              <w:widowControl/>
              <w:jc w:val="center"/>
              <w:rPr>
                <w:rFonts w:ascii="宋体" w:cs="宋体"/>
                <w:b/>
                <w:kern w:val="0"/>
                <w:sz w:val="20"/>
                <w:szCs w:val="20"/>
              </w:rPr>
            </w:pPr>
            <w:r>
              <w:rPr>
                <w:rFonts w:hint="eastAsia" w:ascii="宋体" w:hAnsi="宋体" w:cs="宋体"/>
                <w:b/>
                <w:kern w:val="0"/>
                <w:sz w:val="20"/>
                <w:szCs w:val="20"/>
              </w:rPr>
              <w:t>技术参数</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b/>
                <w:kern w:val="0"/>
                <w:sz w:val="20"/>
                <w:szCs w:val="20"/>
              </w:rPr>
            </w:pPr>
            <w:r>
              <w:rPr>
                <w:rFonts w:hint="eastAsia" w:ascii="宋体" w:hAnsi="宋体" w:cs="宋体"/>
                <w:b/>
                <w:kern w:val="0"/>
                <w:sz w:val="20"/>
                <w:szCs w:val="20"/>
              </w:rPr>
              <w:t>数量</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cs="宋体"/>
                <w:b/>
                <w:kern w:val="0"/>
                <w:sz w:val="20"/>
                <w:szCs w:val="20"/>
              </w:rPr>
            </w:pPr>
            <w:r>
              <w:rPr>
                <w:rFonts w:hint="eastAsia" w:ascii="宋体" w:hAnsi="宋体" w:cs="宋体"/>
                <w:b/>
                <w:kern w:val="0"/>
                <w:sz w:val="20"/>
                <w:szCs w:val="20"/>
              </w:rPr>
              <w:t>单位</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hint="eastAsia" w:ascii="宋体" w:eastAsia="宋体" w:cs="宋体"/>
                <w:b/>
                <w:kern w:val="0"/>
                <w:sz w:val="20"/>
                <w:szCs w:val="20"/>
                <w:lang w:eastAsia="zh-CN"/>
              </w:rPr>
            </w:pPr>
            <w:r>
              <w:rPr>
                <w:rFonts w:hint="eastAsia" w:ascii="宋体" w:hAnsi="宋体" w:cs="宋体"/>
                <w:b/>
                <w:kern w:val="0"/>
                <w:sz w:val="20"/>
                <w:szCs w:val="20"/>
                <w:lang w:eastAsia="zh-CN"/>
              </w:rPr>
              <w:t>单价</w:t>
            </w: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b/>
                <w:color w:val="000000"/>
                <w:kern w:val="0"/>
                <w:sz w:val="20"/>
                <w:szCs w:val="20"/>
              </w:rPr>
            </w:pPr>
            <w:r>
              <w:rPr>
                <w:rFonts w:hint="eastAsia" w:ascii="宋体" w:hAnsi="宋体" w:cs="宋体"/>
                <w:b/>
                <w:color w:val="000000"/>
                <w:kern w:val="0"/>
                <w:sz w:val="20"/>
                <w:szCs w:val="20"/>
              </w:rPr>
              <w:t>总价</w:t>
            </w: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吊顶</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sz w:val="20"/>
                <w:szCs w:val="20"/>
              </w:rPr>
              <w:t>600*600mm</w:t>
            </w:r>
            <w:r>
              <w:rPr>
                <w:rFonts w:hint="eastAsia" w:ascii="宋体" w:hAnsi="宋体"/>
                <w:sz w:val="20"/>
                <w:szCs w:val="20"/>
              </w:rPr>
              <w:t>，矿棉板吊顶</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ascii="宋体" w:hAnsi="宋体"/>
                <w:sz w:val="20"/>
                <w:szCs w:val="20"/>
              </w:rPr>
              <w:t>135</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hAnsi="宋体"/>
                <w:sz w:val="20"/>
                <w:szCs w:val="20"/>
              </w:rPr>
              <w:t>平方米</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2</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hAnsi="宋体"/>
                <w:sz w:val="20"/>
                <w:szCs w:val="20"/>
              </w:rPr>
              <w:t>照明</w:t>
            </w:r>
          </w:p>
          <w:p>
            <w:pPr>
              <w:widowControl/>
              <w:jc w:val="center"/>
              <w:rPr>
                <w:rFonts w:ascii="宋体" w:cs="宋体"/>
                <w:kern w:val="0"/>
                <w:sz w:val="20"/>
                <w:szCs w:val="20"/>
              </w:rPr>
            </w:pPr>
            <w:r>
              <w:rPr>
                <w:rFonts w:hint="eastAsia" w:ascii="宋体" w:hAnsi="宋体"/>
                <w:sz w:val="20"/>
                <w:szCs w:val="20"/>
              </w:rPr>
              <w:t>灯具</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sz w:val="20"/>
                <w:szCs w:val="20"/>
              </w:rPr>
              <w:t>600*600mmLED</w:t>
            </w:r>
            <w:r>
              <w:rPr>
                <w:rFonts w:hint="eastAsia" w:ascii="宋体" w:hAnsi="宋体"/>
                <w:sz w:val="20"/>
                <w:szCs w:val="20"/>
              </w:rPr>
              <w:t>格栅灯，白光</w:t>
            </w:r>
            <w:r>
              <w:rPr>
                <w:rFonts w:ascii="宋体" w:hAnsi="宋体"/>
                <w:sz w:val="20"/>
                <w:szCs w:val="20"/>
              </w:rPr>
              <w:t>.</w:t>
            </w:r>
            <w:r>
              <w:rPr>
                <w:rFonts w:hint="eastAsia" w:ascii="宋体" w:hAnsi="宋体"/>
                <w:sz w:val="20"/>
                <w:szCs w:val="20"/>
              </w:rPr>
              <w:t>安装费用</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18</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hAnsi="宋体"/>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3</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地胶</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sz w:val="20"/>
                <w:szCs w:val="20"/>
              </w:rPr>
              <w:t>2.6mm</w:t>
            </w:r>
            <w:r>
              <w:rPr>
                <w:rFonts w:hint="eastAsia" w:ascii="宋体" w:hAnsi="宋体"/>
                <w:sz w:val="20"/>
                <w:szCs w:val="20"/>
              </w:rPr>
              <w:t>多层复合型环保内芯，双面防水、耐磨、阻燃、防滑</w:t>
            </w:r>
            <w:r>
              <w:rPr>
                <w:rFonts w:ascii="宋体" w:hAnsi="宋体"/>
                <w:sz w:val="20"/>
                <w:szCs w:val="20"/>
              </w:rPr>
              <w:t>PVC</w:t>
            </w:r>
            <w:r>
              <w:rPr>
                <w:rFonts w:hint="eastAsia" w:ascii="宋体" w:hAnsi="宋体"/>
                <w:sz w:val="20"/>
                <w:szCs w:val="20"/>
              </w:rPr>
              <w:t>地胶。</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ascii="宋体" w:hAnsi="宋体"/>
                <w:sz w:val="20"/>
                <w:szCs w:val="20"/>
              </w:rPr>
              <w:t>135</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hAnsi="宋体"/>
                <w:sz w:val="20"/>
                <w:szCs w:val="20"/>
              </w:rPr>
              <w:t>平方米</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4</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把杆</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sz w:val="20"/>
                <w:szCs w:val="20"/>
              </w:rPr>
              <w:t>落地训练把杆</w:t>
            </w:r>
            <w:r>
              <w:rPr>
                <w:rFonts w:ascii="宋体" w:hAnsi="宋体"/>
                <w:sz w:val="20"/>
                <w:szCs w:val="20"/>
              </w:rPr>
              <w:t>35</w:t>
            </w:r>
            <w:r>
              <w:rPr>
                <w:rFonts w:hint="eastAsia" w:ascii="宋体" w:hAnsi="宋体"/>
                <w:sz w:val="20"/>
                <w:szCs w:val="20"/>
              </w:rPr>
              <w:t>米，活动把杆</w:t>
            </w:r>
            <w:r>
              <w:rPr>
                <w:rFonts w:ascii="宋体" w:hAnsi="宋体"/>
                <w:sz w:val="20"/>
                <w:szCs w:val="20"/>
              </w:rPr>
              <w:t>10</w:t>
            </w:r>
            <w:r>
              <w:rPr>
                <w:rFonts w:hint="eastAsia" w:ascii="宋体" w:hAnsi="宋体"/>
                <w:sz w:val="20"/>
                <w:szCs w:val="20"/>
              </w:rPr>
              <w:t>米</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ascii="宋体" w:hAnsi="宋体"/>
                <w:sz w:val="20"/>
                <w:szCs w:val="20"/>
              </w:rPr>
              <w:t>45</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hAnsi="宋体"/>
                <w:sz w:val="20"/>
                <w:szCs w:val="20"/>
              </w:rPr>
              <w:t>米</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5</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墙面开洞</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90*2.04</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cs="宋体"/>
                <w:kern w:val="0"/>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6</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封墙</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60平方（木工板打底）</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60</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cs="宋体"/>
                <w:kern w:val="0"/>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7</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墙面镜</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sz w:val="20"/>
                <w:szCs w:val="20"/>
              </w:rPr>
              <w:t>墙面安装舞蹈训练专用玻璃镜，</w:t>
            </w:r>
            <w:r>
              <w:rPr>
                <w:rFonts w:ascii="宋体"/>
                <w:sz w:val="20"/>
                <w:szCs w:val="20"/>
              </w:rPr>
              <w:br w:type="textWrapping"/>
            </w:r>
            <w:r>
              <w:rPr>
                <w:rFonts w:hint="eastAsia" w:ascii="宋体"/>
                <w:sz w:val="20"/>
                <w:szCs w:val="20"/>
              </w:rPr>
              <w:t>38.2*60*98.2  三面加框。</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98.2</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hAnsi="宋体"/>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8</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更衣柜</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2.4*0.4*5.8（实木衣</w:t>
            </w:r>
            <w:r>
              <w:rPr>
                <w:rFonts w:hint="eastAsia" w:ascii="宋体" w:hAnsi="宋体"/>
                <w:sz w:val="20"/>
                <w:szCs w:val="20"/>
              </w:rPr>
              <w:t>柜7层）</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14</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cs="宋体"/>
                <w:kern w:val="0"/>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9</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矮柜</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5.9*50*40（实木）</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2.36</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cs="宋体"/>
                <w:kern w:val="0"/>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10</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护墙板</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19.2*2（竹纤维护墙板，包括线条）</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38.4</w:t>
            </w:r>
          </w:p>
        </w:tc>
        <w:tc>
          <w:tcPr>
            <w:tcW w:w="721"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cs="宋体"/>
                <w:kern w:val="0"/>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11</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门</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实木门</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扇</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12</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强弱电路改造</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131平方（包括电箱移位及材料）</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131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13</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bCs/>
                <w:kern w:val="0"/>
                <w:sz w:val="20"/>
                <w:szCs w:val="20"/>
              </w:rPr>
            </w:pPr>
            <w:r>
              <w:rPr>
                <w:rFonts w:hint="eastAsia" w:ascii="宋体" w:cs="宋体"/>
                <w:bCs/>
                <w:kern w:val="0"/>
                <w:sz w:val="20"/>
                <w:szCs w:val="20"/>
              </w:rPr>
              <w:t>电脑桌</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18"/>
                <w:szCs w:val="18"/>
              </w:rPr>
            </w:pPr>
            <w:r>
              <w:rPr>
                <w:rFonts w:hint="eastAsia" w:ascii="宋体"/>
                <w:sz w:val="18"/>
                <w:szCs w:val="18"/>
              </w:rPr>
              <w:t>90cm 浅色人造板</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14</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bCs/>
                <w:kern w:val="0"/>
                <w:sz w:val="20"/>
                <w:szCs w:val="20"/>
              </w:rPr>
            </w:pPr>
            <w:r>
              <w:rPr>
                <w:rFonts w:hint="eastAsia" w:ascii="宋体" w:cs="宋体"/>
                <w:bCs/>
                <w:kern w:val="0"/>
                <w:sz w:val="20"/>
                <w:szCs w:val="20"/>
              </w:rPr>
              <w:t>电脑</w:t>
            </w:r>
          </w:p>
        </w:tc>
        <w:tc>
          <w:tcPr>
            <w:tcW w:w="4337"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宋体"/>
                <w:szCs w:val="21"/>
                <w:lang w:eastAsia="zh-CN"/>
              </w:rPr>
            </w:pPr>
            <w:r>
              <w:rPr>
                <w:rFonts w:hint="eastAsia" w:ascii="仿宋" w:hAnsi="仿宋" w:eastAsia="仿宋" w:cs="宋体"/>
                <w:szCs w:val="21"/>
                <w:lang w:eastAsia="zh-CN"/>
              </w:rPr>
              <w:t>推荐品牌：联想（</w:t>
            </w:r>
            <w:r>
              <w:rPr>
                <w:rFonts w:hint="eastAsia" w:ascii="仿宋" w:hAnsi="仿宋" w:eastAsia="仿宋" w:cs="宋体"/>
                <w:color w:val="0000FF"/>
                <w:szCs w:val="21"/>
                <w:lang w:eastAsia="zh-CN"/>
              </w:rPr>
              <w:t>承诺中标后所供电脑需满足以下参数要求</w:t>
            </w:r>
            <w:r>
              <w:rPr>
                <w:rFonts w:hint="eastAsia" w:ascii="仿宋" w:hAnsi="仿宋" w:eastAsia="仿宋" w:cs="宋体"/>
                <w:szCs w:val="21"/>
                <w:lang w:eastAsia="zh-CN"/>
              </w:rPr>
              <w:t>）</w:t>
            </w:r>
          </w:p>
          <w:p>
            <w:pPr>
              <w:widowControl/>
              <w:jc w:val="left"/>
              <w:rPr>
                <w:rFonts w:ascii="仿宋" w:hAnsi="仿宋" w:eastAsia="仿宋" w:cs="宋体"/>
                <w:szCs w:val="21"/>
              </w:rPr>
            </w:pPr>
            <w:r>
              <w:rPr>
                <w:rFonts w:ascii="仿宋" w:hAnsi="仿宋" w:eastAsia="仿宋" w:cs="宋体"/>
                <w:szCs w:val="21"/>
              </w:rPr>
              <w:t>1、CPU：Intel</w:t>
            </w:r>
            <w:r>
              <w:rPr>
                <w:rFonts w:ascii="Calibri" w:hAnsi="Calibri" w:eastAsia="仿宋" w:cs="Calibri"/>
                <w:szCs w:val="21"/>
              </w:rPr>
              <w:t> </w:t>
            </w:r>
            <w:r>
              <w:rPr>
                <w:rFonts w:ascii="仿宋" w:hAnsi="仿宋" w:eastAsia="仿宋" w:cs="宋体"/>
                <w:szCs w:val="21"/>
              </w:rPr>
              <w:t>Core</w:t>
            </w:r>
            <w:r>
              <w:rPr>
                <w:rFonts w:ascii="Calibri" w:hAnsi="Calibri" w:eastAsia="仿宋" w:cs="Calibri"/>
                <w:szCs w:val="21"/>
              </w:rPr>
              <w:t> </w:t>
            </w:r>
            <w:r>
              <w:rPr>
                <w:rFonts w:hint="eastAsia" w:ascii="仿宋" w:hAnsi="仿宋" w:eastAsia="仿宋" w:cs="宋体"/>
                <w:szCs w:val="21"/>
              </w:rPr>
              <w:t>6</w:t>
            </w:r>
            <w:r>
              <w:rPr>
                <w:rFonts w:ascii="仿宋" w:hAnsi="仿宋" w:eastAsia="仿宋" w:cs="宋体"/>
                <w:szCs w:val="21"/>
              </w:rPr>
              <w:t>核</w:t>
            </w:r>
            <w:r>
              <w:rPr>
                <w:rFonts w:hint="eastAsia" w:ascii="仿宋" w:hAnsi="仿宋" w:eastAsia="仿宋" w:cs="宋体"/>
                <w:szCs w:val="21"/>
              </w:rPr>
              <w:t xml:space="preserve"> I7-8700</w:t>
            </w:r>
            <w:r>
              <w:rPr>
                <w:rFonts w:ascii="仿宋" w:hAnsi="仿宋" w:eastAsia="仿宋" w:cs="宋体"/>
                <w:szCs w:val="21"/>
              </w:rPr>
              <w:t>处理器（主频≥</w:t>
            </w:r>
            <w:r>
              <w:rPr>
                <w:rFonts w:hint="eastAsia" w:ascii="仿宋" w:hAnsi="仿宋" w:eastAsia="仿宋" w:cs="宋体"/>
                <w:szCs w:val="21"/>
              </w:rPr>
              <w:t xml:space="preserve">3.2 </w:t>
            </w:r>
            <w:r>
              <w:rPr>
                <w:rFonts w:ascii="仿宋" w:hAnsi="仿宋" w:eastAsia="仿宋" w:cs="宋体"/>
                <w:szCs w:val="21"/>
              </w:rPr>
              <w:t>GHz，缓存≥</w:t>
            </w:r>
            <w:r>
              <w:rPr>
                <w:rFonts w:hint="eastAsia" w:ascii="仿宋" w:hAnsi="仿宋" w:eastAsia="仿宋" w:cs="宋体"/>
                <w:szCs w:val="21"/>
              </w:rPr>
              <w:t>12</w:t>
            </w:r>
            <w:r>
              <w:rPr>
                <w:rFonts w:ascii="仿宋" w:hAnsi="仿宋" w:eastAsia="仿宋" w:cs="宋体"/>
                <w:szCs w:val="21"/>
              </w:rPr>
              <w:t>M）；</w:t>
            </w:r>
            <w:r>
              <w:rPr>
                <w:rFonts w:ascii="仿宋" w:hAnsi="仿宋" w:eastAsia="仿宋" w:cs="宋体"/>
                <w:szCs w:val="21"/>
              </w:rPr>
              <w:br w:type="textWrapping"/>
            </w:r>
            <w:r>
              <w:rPr>
                <w:rFonts w:ascii="仿宋" w:hAnsi="仿宋" w:eastAsia="仿宋" w:cs="宋体"/>
                <w:szCs w:val="21"/>
              </w:rPr>
              <w:t>2、内存：≥</w:t>
            </w:r>
            <w:r>
              <w:rPr>
                <w:rFonts w:hint="eastAsia" w:ascii="仿宋" w:hAnsi="仿宋" w:eastAsia="仿宋" w:cs="宋体"/>
                <w:szCs w:val="21"/>
              </w:rPr>
              <w:t>8</w:t>
            </w:r>
            <w:r>
              <w:rPr>
                <w:rFonts w:ascii="仿宋" w:hAnsi="仿宋" w:eastAsia="仿宋" w:cs="宋体"/>
                <w:szCs w:val="21"/>
              </w:rPr>
              <w:t>GB</w:t>
            </w:r>
            <w:r>
              <w:rPr>
                <w:rFonts w:ascii="Calibri" w:hAnsi="Calibri" w:eastAsia="仿宋" w:cs="Calibri"/>
                <w:szCs w:val="21"/>
              </w:rPr>
              <w:t> </w:t>
            </w:r>
            <w:r>
              <w:rPr>
                <w:rFonts w:ascii="仿宋" w:hAnsi="仿宋" w:eastAsia="仿宋" w:cs="宋体"/>
                <w:szCs w:val="21"/>
              </w:rPr>
              <w:t>DDR4</w:t>
            </w:r>
            <w:r>
              <w:rPr>
                <w:rFonts w:ascii="Calibri" w:hAnsi="Calibri" w:eastAsia="仿宋" w:cs="Calibri"/>
                <w:szCs w:val="21"/>
              </w:rPr>
              <w:t> </w:t>
            </w:r>
            <w:r>
              <w:rPr>
                <w:rFonts w:ascii="仿宋" w:hAnsi="仿宋" w:eastAsia="仿宋" w:cs="宋体"/>
                <w:szCs w:val="21"/>
              </w:rPr>
              <w:t>2</w:t>
            </w:r>
            <w:r>
              <w:rPr>
                <w:rFonts w:hint="eastAsia" w:ascii="仿宋" w:hAnsi="仿宋" w:eastAsia="仿宋" w:cs="宋体"/>
                <w:szCs w:val="21"/>
              </w:rPr>
              <w:t>666</w:t>
            </w:r>
            <w:r>
              <w:rPr>
                <w:rFonts w:ascii="仿宋" w:hAnsi="仿宋" w:eastAsia="仿宋" w:cs="宋体"/>
                <w:szCs w:val="21"/>
              </w:rPr>
              <w:t>，最大支持32G容量；</w:t>
            </w:r>
            <w:r>
              <w:rPr>
                <w:rFonts w:ascii="仿宋" w:hAnsi="仿宋" w:eastAsia="仿宋" w:cs="宋体"/>
                <w:szCs w:val="21"/>
              </w:rPr>
              <w:br w:type="textWrapping"/>
            </w:r>
            <w:r>
              <w:rPr>
                <w:rFonts w:ascii="仿宋" w:hAnsi="仿宋" w:eastAsia="仿宋" w:cs="宋体"/>
                <w:szCs w:val="21"/>
              </w:rPr>
              <w:t>3、硬盘：</w:t>
            </w:r>
            <w:r>
              <w:rPr>
                <w:rFonts w:hint="eastAsia" w:ascii="仿宋" w:hAnsi="仿宋" w:eastAsia="仿宋" w:cs="宋体"/>
                <w:szCs w:val="21"/>
              </w:rPr>
              <w:t xml:space="preserve">256G </w:t>
            </w:r>
            <w:r>
              <w:rPr>
                <w:rFonts w:ascii="仿宋" w:hAnsi="仿宋" w:eastAsia="仿宋" w:cs="宋体"/>
                <w:szCs w:val="21"/>
              </w:rPr>
              <w:t>SSD</w:t>
            </w:r>
            <w:r>
              <w:rPr>
                <w:rFonts w:hint="eastAsia" w:ascii="仿宋" w:hAnsi="仿宋" w:eastAsia="仿宋" w:cs="宋体"/>
                <w:szCs w:val="21"/>
              </w:rPr>
              <w:t>原厂高速固态硬盘</w:t>
            </w:r>
            <w:r>
              <w:rPr>
                <w:rFonts w:hint="eastAsia" w:ascii="仿宋" w:hAnsi="仿宋" w:eastAsia="仿宋" w:cs="宋体"/>
                <w:szCs w:val="21"/>
                <w:lang w:val="en-US" w:eastAsia="zh-CN"/>
              </w:rPr>
              <w:t>+1T机械硬盘</w:t>
            </w:r>
            <w:r>
              <w:rPr>
                <w:rFonts w:ascii="仿宋" w:hAnsi="仿宋" w:eastAsia="仿宋" w:cs="宋体"/>
                <w:szCs w:val="21"/>
              </w:rPr>
              <w:t>；</w:t>
            </w:r>
            <w:r>
              <w:rPr>
                <w:rFonts w:ascii="仿宋" w:hAnsi="仿宋" w:eastAsia="仿宋" w:cs="宋体"/>
                <w:szCs w:val="21"/>
              </w:rPr>
              <w:br w:type="textWrapping"/>
            </w:r>
            <w:r>
              <w:rPr>
                <w:rFonts w:ascii="仿宋" w:hAnsi="仿宋" w:eastAsia="仿宋" w:cs="宋体"/>
                <w:szCs w:val="21"/>
              </w:rPr>
              <w:t>4、显卡：</w:t>
            </w:r>
            <w:r>
              <w:rPr>
                <w:rFonts w:hint="eastAsia" w:ascii="仿宋" w:hAnsi="仿宋" w:eastAsia="仿宋" w:cs="宋体"/>
                <w:szCs w:val="21"/>
              </w:rPr>
              <w:t>高性能 Radeon 520 2GB（VGA+HDMI）独显</w:t>
            </w:r>
            <w:r>
              <w:rPr>
                <w:rFonts w:ascii="仿宋" w:hAnsi="仿宋" w:eastAsia="仿宋" w:cs="宋体"/>
                <w:szCs w:val="21"/>
              </w:rPr>
              <w:t>；</w:t>
            </w:r>
            <w:r>
              <w:rPr>
                <w:rFonts w:ascii="仿宋" w:hAnsi="仿宋" w:eastAsia="仿宋" w:cs="宋体"/>
                <w:szCs w:val="21"/>
              </w:rPr>
              <w:br w:type="textWrapping"/>
            </w:r>
            <w:r>
              <w:rPr>
                <w:rFonts w:ascii="仿宋" w:hAnsi="仿宋" w:eastAsia="仿宋" w:cs="宋体"/>
                <w:szCs w:val="21"/>
              </w:rPr>
              <w:t>5、主板：Inter</w:t>
            </w:r>
            <w:r>
              <w:rPr>
                <w:rFonts w:ascii="Calibri" w:hAnsi="Calibri" w:eastAsia="仿宋" w:cs="Calibri"/>
                <w:szCs w:val="21"/>
              </w:rPr>
              <w:t> </w:t>
            </w:r>
            <w:r>
              <w:rPr>
                <w:rFonts w:ascii="仿宋" w:hAnsi="仿宋" w:eastAsia="仿宋" w:cs="宋体"/>
                <w:szCs w:val="21"/>
              </w:rPr>
              <w:t>B360及以上，原厂同品牌主板；</w:t>
            </w:r>
            <w:r>
              <w:rPr>
                <w:rFonts w:ascii="仿宋" w:hAnsi="仿宋" w:eastAsia="仿宋" w:cs="宋体"/>
                <w:szCs w:val="21"/>
              </w:rPr>
              <w:br w:type="textWrapping"/>
            </w:r>
            <w:r>
              <w:rPr>
                <w:rFonts w:ascii="仿宋" w:hAnsi="仿宋" w:eastAsia="仿宋" w:cs="宋体"/>
                <w:szCs w:val="21"/>
              </w:rPr>
              <w:t>6、网卡：集成10-100-1000M自适应网卡；</w:t>
            </w:r>
            <w:r>
              <w:rPr>
                <w:rFonts w:ascii="仿宋" w:hAnsi="仿宋" w:eastAsia="仿宋" w:cs="宋体"/>
                <w:szCs w:val="21"/>
              </w:rPr>
              <w:br w:type="textWrapping"/>
            </w:r>
            <w:r>
              <w:rPr>
                <w:rFonts w:ascii="仿宋" w:hAnsi="仿宋" w:eastAsia="仿宋" w:cs="宋体"/>
                <w:szCs w:val="21"/>
              </w:rPr>
              <w:t>7、声卡：集成5.1声道声卡，具有至少2个音频接口;</w:t>
            </w:r>
            <w:r>
              <w:rPr>
                <w:rFonts w:ascii="仿宋" w:hAnsi="仿宋" w:eastAsia="仿宋" w:cs="宋体"/>
                <w:szCs w:val="21"/>
              </w:rPr>
              <w:br w:type="textWrapping"/>
            </w:r>
            <w:r>
              <w:rPr>
                <w:rFonts w:ascii="仿宋" w:hAnsi="仿宋" w:eastAsia="仿宋" w:cs="宋体"/>
                <w:szCs w:val="21"/>
              </w:rPr>
              <w:t>8、电源：不大于180W高转换率电源；</w:t>
            </w:r>
            <w:r>
              <w:rPr>
                <w:rFonts w:ascii="仿宋" w:hAnsi="仿宋" w:eastAsia="仿宋" w:cs="宋体"/>
                <w:szCs w:val="21"/>
              </w:rPr>
              <w:br w:type="textWrapping"/>
            </w:r>
            <w:r>
              <w:rPr>
                <w:rFonts w:ascii="仿宋" w:hAnsi="仿宋" w:eastAsia="仿宋" w:cs="宋体"/>
                <w:szCs w:val="21"/>
              </w:rPr>
              <w:t>9、</w:t>
            </w:r>
            <w:r>
              <w:rPr>
                <w:rFonts w:ascii="Calibri" w:hAnsi="Calibri" w:eastAsia="仿宋" w:cs="Calibri"/>
                <w:szCs w:val="21"/>
              </w:rPr>
              <w:t> </w:t>
            </w:r>
            <w:r>
              <w:rPr>
                <w:rFonts w:ascii="仿宋" w:hAnsi="仿宋" w:eastAsia="仿宋" w:cs="宋体"/>
                <w:szCs w:val="21"/>
              </w:rPr>
              <w:t>接口：≥10个原厂出厂USB接口（其中前置4个USB</w:t>
            </w:r>
            <w:r>
              <w:rPr>
                <w:rFonts w:ascii="Calibri" w:hAnsi="Calibri" w:eastAsia="仿宋" w:cs="Calibri"/>
                <w:szCs w:val="21"/>
              </w:rPr>
              <w:t> </w:t>
            </w:r>
            <w:r>
              <w:rPr>
                <w:rFonts w:ascii="仿宋" w:hAnsi="仿宋" w:eastAsia="仿宋" w:cs="宋体"/>
                <w:szCs w:val="21"/>
              </w:rPr>
              <w:t>3.1接口+2个USB</w:t>
            </w:r>
            <w:r>
              <w:rPr>
                <w:rFonts w:ascii="Calibri" w:hAnsi="Calibri" w:eastAsia="仿宋" w:cs="Calibri"/>
                <w:szCs w:val="21"/>
              </w:rPr>
              <w:t> </w:t>
            </w:r>
            <w:r>
              <w:rPr>
                <w:rFonts w:ascii="仿宋" w:hAnsi="仿宋" w:eastAsia="仿宋" w:cs="宋体"/>
                <w:szCs w:val="21"/>
              </w:rPr>
              <w:t>3.1</w:t>
            </w:r>
            <w:r>
              <w:rPr>
                <w:rFonts w:ascii="Calibri" w:hAnsi="Calibri" w:eastAsia="仿宋" w:cs="Calibri"/>
                <w:szCs w:val="21"/>
              </w:rPr>
              <w:t> </w:t>
            </w:r>
            <w:r>
              <w:rPr>
                <w:rFonts w:ascii="仿宋" w:hAnsi="仿宋" w:eastAsia="仿宋" w:cs="宋体"/>
                <w:szCs w:val="21"/>
              </w:rPr>
              <w:t>Gen2接口+后置4个USB2.0）、2个PS/2接口、1个串口，主板集成2个视频接口（其中至少1个VGA）、≥1个PCI-E*16，≥1个PCI-E*1，可选可拆卸前面板防尘罩；</w:t>
            </w:r>
            <w:r>
              <w:rPr>
                <w:rFonts w:ascii="仿宋" w:hAnsi="仿宋" w:eastAsia="仿宋" w:cs="宋体"/>
                <w:szCs w:val="21"/>
              </w:rPr>
              <w:br w:type="textWrapping"/>
            </w:r>
            <w:r>
              <w:rPr>
                <w:rFonts w:ascii="仿宋" w:hAnsi="仿宋" w:eastAsia="仿宋" w:cs="宋体"/>
                <w:szCs w:val="21"/>
              </w:rPr>
              <w:t>10、显示器：</w:t>
            </w:r>
            <w:r>
              <w:rPr>
                <w:rFonts w:hint="eastAsia" w:ascii="仿宋" w:hAnsi="仿宋" w:eastAsia="仿宋" w:cs="宋体"/>
                <w:szCs w:val="21"/>
              </w:rPr>
              <w:t>21</w:t>
            </w:r>
            <w:r>
              <w:rPr>
                <w:rFonts w:ascii="仿宋" w:hAnsi="仿宋" w:eastAsia="仿宋" w:cs="宋体"/>
                <w:szCs w:val="21"/>
              </w:rPr>
              <w:t>.5宽LED液晶屏，通过第三方权威机构的TUV低蓝光认证,</w:t>
            </w:r>
            <w:r>
              <w:rPr>
                <w:rFonts w:ascii="Calibri" w:hAnsi="Calibri" w:eastAsia="仿宋" w:cs="Calibri"/>
                <w:szCs w:val="21"/>
              </w:rPr>
              <w:t> </w:t>
            </w:r>
            <w:r>
              <w:rPr>
                <w:rFonts w:ascii="仿宋" w:hAnsi="仿宋" w:eastAsia="仿宋" w:cs="宋体"/>
                <w:szCs w:val="21"/>
              </w:rPr>
              <w:t>并提供第三方权威检测机构认证文件截图；</w:t>
            </w:r>
            <w:r>
              <w:rPr>
                <w:rFonts w:ascii="仿宋" w:hAnsi="仿宋" w:eastAsia="仿宋" w:cs="宋体"/>
                <w:szCs w:val="21"/>
              </w:rPr>
              <w:br w:type="textWrapping"/>
            </w:r>
            <w:r>
              <w:rPr>
                <w:rFonts w:ascii="仿宋" w:hAnsi="仿宋" w:eastAsia="仿宋" w:cs="宋体"/>
                <w:szCs w:val="21"/>
              </w:rPr>
              <w:t>11、机箱：标准MATX机箱，容积≤15L，顶置提手方便移动；</w:t>
            </w:r>
            <w:r>
              <w:rPr>
                <w:rFonts w:ascii="仿宋" w:hAnsi="仿宋" w:eastAsia="仿宋" w:cs="宋体"/>
                <w:szCs w:val="21"/>
              </w:rPr>
              <w:br w:type="textWrapping"/>
            </w:r>
            <w:r>
              <w:rPr>
                <w:rFonts w:ascii="仿宋" w:hAnsi="仿宋" w:eastAsia="仿宋" w:cs="宋体"/>
                <w:szCs w:val="21"/>
              </w:rPr>
              <w:t>12、键鼠：PS2防水抗菌键盘、USB光电鼠标；</w:t>
            </w:r>
            <w:r>
              <w:rPr>
                <w:rFonts w:ascii="仿宋" w:hAnsi="仿宋" w:eastAsia="仿宋" w:cs="宋体"/>
                <w:szCs w:val="21"/>
              </w:rPr>
              <w:br w:type="textWrapping"/>
            </w:r>
            <w:r>
              <w:rPr>
                <w:rFonts w:ascii="仿宋" w:hAnsi="仿宋" w:eastAsia="仿宋" w:cs="宋体"/>
                <w:szCs w:val="21"/>
              </w:rPr>
              <w:t>13、安全功能:智能USB屏蔽技术，仅识别键盘、鼠标，无法识别USB读取设备，主机BIOS需自带基于硬件底层的数据安全擦除功能且保证硬盘数据擦除后不可恢复，厂家需免费提供原厂数据安全擦除软件（签订合同前提供软件截图），有效防止数据泄露；有后IO安全盖板，保护键盘、鼠标等外设不被随意插拔；</w:t>
            </w:r>
            <w:r>
              <w:rPr>
                <w:rFonts w:ascii="仿宋" w:hAnsi="仿宋" w:eastAsia="仿宋" w:cs="宋体"/>
                <w:szCs w:val="21"/>
              </w:rPr>
              <w:br w:type="textWrapping"/>
            </w:r>
            <w:r>
              <w:rPr>
                <w:rFonts w:ascii="仿宋" w:hAnsi="仿宋" w:eastAsia="仿宋" w:cs="宋体"/>
                <w:szCs w:val="21"/>
              </w:rPr>
              <w:t>14、随机系统管理软件：能够实现USB端口的有效管理、能够配置网络带宽、流量；可以及时更新操作系统、安全补丁及业务系统的安装或升级；能够对软/硬件资产进行统计，监控软/硬件变更，并可报警；能够提供完善的报表和系统日志；</w:t>
            </w:r>
            <w:r>
              <w:rPr>
                <w:rFonts w:ascii="仿宋" w:hAnsi="仿宋" w:eastAsia="仿宋" w:cs="宋体"/>
                <w:szCs w:val="21"/>
              </w:rPr>
              <w:br w:type="textWrapping"/>
            </w:r>
            <w:r>
              <w:rPr>
                <w:rFonts w:ascii="仿宋" w:hAnsi="仿宋" w:eastAsia="仿宋" w:cs="宋体"/>
                <w:szCs w:val="21"/>
              </w:rPr>
              <w:t>15、提供所投产品3C证书</w:t>
            </w:r>
            <w:r>
              <w:rPr>
                <w:rFonts w:ascii="Calibri" w:hAnsi="Calibri" w:eastAsia="仿宋" w:cs="Calibri"/>
                <w:szCs w:val="21"/>
              </w:rPr>
              <w:t> </w:t>
            </w:r>
            <w:r>
              <w:rPr>
                <w:rFonts w:ascii="仿宋" w:hAnsi="仿宋" w:eastAsia="仿宋" w:cs="宋体"/>
                <w:szCs w:val="21"/>
              </w:rPr>
              <w:t>、创新产品认证证书、整机防雷检测认证；</w:t>
            </w:r>
          </w:p>
          <w:p>
            <w:pPr>
              <w:widowControl/>
              <w:jc w:val="left"/>
              <w:rPr>
                <w:rFonts w:ascii="仿宋" w:hAnsi="仿宋" w:eastAsia="仿宋" w:cs="宋体"/>
                <w:szCs w:val="21"/>
              </w:rPr>
            </w:pPr>
            <w:r>
              <w:rPr>
                <w:rFonts w:ascii="仿宋" w:hAnsi="仿宋" w:eastAsia="仿宋" w:cs="宋体"/>
                <w:szCs w:val="21"/>
              </w:rPr>
              <w:t>16、须提供所投设备原厂商具备《信息安全服务资质证书》安全工程类一级认证；生产厂商通过ISO/IEC27001：2013认证及OHSA18001健康安全管理体系认证、中国合格评定国家认可委员会（CNAS）实验室认可证书、高新技术企业认证证书；</w:t>
            </w:r>
            <w:r>
              <w:rPr>
                <w:rFonts w:ascii="仿宋" w:hAnsi="仿宋" w:eastAsia="仿宋" w:cs="宋体"/>
                <w:szCs w:val="21"/>
              </w:rPr>
              <w:br w:type="textWrapping"/>
            </w:r>
            <w:r>
              <w:rPr>
                <w:rFonts w:ascii="仿宋" w:hAnsi="仿宋" w:eastAsia="仿宋" w:cs="宋体"/>
                <w:szCs w:val="21"/>
              </w:rPr>
              <w:t>17、售后服务：原厂400/800售后电话，厂家在当地有维修站（官网可查询,提供官网链接及网点截图），供货前需向采购单位提供原厂商针对本项目的授权书原件和主机</w:t>
            </w:r>
            <w:r>
              <w:rPr>
                <w:rFonts w:hint="eastAsia" w:ascii="仿宋" w:hAnsi="仿宋" w:eastAsia="仿宋" w:cs="宋体"/>
                <w:szCs w:val="21"/>
              </w:rPr>
              <w:t>三</w:t>
            </w:r>
            <w:r>
              <w:rPr>
                <w:rFonts w:ascii="仿宋" w:hAnsi="仿宋" w:eastAsia="仿宋" w:cs="宋体"/>
                <w:szCs w:val="21"/>
              </w:rPr>
              <w:t>年保修及上门售后服务承诺函原件；</w:t>
            </w:r>
          </w:p>
          <w:p>
            <w:pPr>
              <w:widowControl/>
              <w:jc w:val="left"/>
              <w:rPr>
                <w:rFonts w:ascii="宋体"/>
                <w:sz w:val="18"/>
                <w:szCs w:val="18"/>
              </w:rPr>
            </w:pPr>
            <w:r>
              <w:rPr>
                <w:rFonts w:ascii="仿宋" w:hAnsi="仿宋" w:eastAsia="仿宋" w:cs="宋体"/>
                <w:szCs w:val="21"/>
              </w:rPr>
              <w:t>18、为保证售后服务方便，台式机与</w:t>
            </w:r>
            <w:r>
              <w:rPr>
                <w:rFonts w:hint="eastAsia" w:ascii="仿宋" w:hAnsi="仿宋" w:eastAsia="仿宋" w:cs="宋体"/>
                <w:szCs w:val="21"/>
              </w:rPr>
              <w:t>显示器</w:t>
            </w:r>
            <w:r>
              <w:rPr>
                <w:rFonts w:ascii="仿宋" w:hAnsi="仿宋" w:eastAsia="仿宋" w:cs="宋体"/>
                <w:szCs w:val="21"/>
              </w:rPr>
              <w:t>为同一品牌</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台</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15</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bCs/>
                <w:kern w:val="0"/>
                <w:sz w:val="20"/>
                <w:szCs w:val="20"/>
              </w:rPr>
            </w:pPr>
            <w:r>
              <w:rPr>
                <w:rFonts w:hint="eastAsia" w:ascii="宋体" w:cs="宋体"/>
                <w:bCs/>
                <w:kern w:val="0"/>
                <w:sz w:val="20"/>
                <w:szCs w:val="20"/>
              </w:rPr>
              <w:t>音响</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18"/>
                <w:szCs w:val="18"/>
              </w:rPr>
            </w:pPr>
            <w:r>
              <w:rPr>
                <w:rFonts w:hint="eastAsia" w:ascii="宋体" w:cs="宋体"/>
                <w:kern w:val="0"/>
                <w:sz w:val="20"/>
                <w:szCs w:val="20"/>
              </w:rPr>
              <w:t>ｋｖ－７００功放机一台　　ＨＹ－６００１０英寸低音４个　　内置蓝牙　ＵＳＢ接口支持解码APE/FLAC/WAV  DSP双混响</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ascii="宋体" w:hAnsi="宋体"/>
                <w:sz w:val="20"/>
                <w:szCs w:val="20"/>
              </w:rPr>
              <w:t>4</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16</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cs="宋体"/>
                <w:bCs/>
                <w:kern w:val="0"/>
                <w:sz w:val="20"/>
                <w:szCs w:val="20"/>
              </w:rPr>
            </w:pPr>
            <w:r>
              <w:rPr>
                <w:rFonts w:hint="eastAsia" w:ascii="宋体" w:cs="宋体"/>
                <w:bCs/>
                <w:kern w:val="0"/>
                <w:sz w:val="20"/>
                <w:szCs w:val="20"/>
              </w:rPr>
              <w:t>液晶显示屏</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18"/>
                <w:szCs w:val="18"/>
              </w:rPr>
            </w:pPr>
            <w:r>
              <w:rPr>
                <w:rFonts w:hint="eastAsia" w:ascii="宋体"/>
                <w:sz w:val="18"/>
                <w:szCs w:val="18"/>
              </w:rPr>
              <w:t xml:space="preserve">75寸   屏幕比例16：9   </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sz w:val="20"/>
                <w:szCs w:val="20"/>
              </w:rPr>
              <w:t>台</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ascii="宋体" w:hAnsi="宋体"/>
                <w:sz w:val="20"/>
                <w:szCs w:val="20"/>
              </w:rPr>
              <w:t>17</w:t>
            </w:r>
          </w:p>
        </w:tc>
        <w:tc>
          <w:tcPr>
            <w:tcW w:w="1305"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cs="宋体"/>
                <w:kern w:val="0"/>
                <w:sz w:val="20"/>
                <w:szCs w:val="20"/>
              </w:rPr>
            </w:pPr>
            <w:r>
              <w:rPr>
                <w:rFonts w:hint="eastAsia" w:ascii="宋体" w:cs="宋体"/>
                <w:kern w:val="0"/>
                <w:sz w:val="20"/>
                <w:szCs w:val="20"/>
              </w:rPr>
              <w:t>舞蹈装饰画</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cs="宋体"/>
                <w:kern w:val="0"/>
                <w:sz w:val="20"/>
                <w:szCs w:val="20"/>
              </w:rPr>
              <w:t>40*60 PS环保画框+有机玻璃</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6</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cs="宋体"/>
                <w:kern w:val="0"/>
                <w:sz w:val="20"/>
                <w:szCs w:val="20"/>
              </w:rPr>
              <w:t>幅</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cs="宋体"/>
                <w:color w:val="000000"/>
                <w:kern w:val="0"/>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ascii="宋体" w:hAnsi="宋体"/>
                <w:sz w:val="20"/>
                <w:szCs w:val="20"/>
              </w:rPr>
              <w:t>18</w:t>
            </w:r>
          </w:p>
        </w:tc>
        <w:tc>
          <w:tcPr>
            <w:tcW w:w="1305" w:type="dxa"/>
            <w:tcBorders>
              <w:top w:val="single" w:color="auto" w:sz="4" w:space="0"/>
              <w:left w:val="nil"/>
              <w:bottom w:val="single" w:color="auto" w:sz="4" w:space="0"/>
              <w:right w:val="single" w:color="auto" w:sz="4" w:space="0"/>
            </w:tcBorders>
            <w:vAlign w:val="center"/>
          </w:tcPr>
          <w:p>
            <w:pPr>
              <w:widowControl/>
              <w:ind w:left="-105" w:leftChars="-50" w:right="-105" w:rightChars="-50"/>
              <w:jc w:val="center"/>
              <w:rPr>
                <w:rFonts w:ascii="宋体"/>
                <w:sz w:val="20"/>
                <w:szCs w:val="20"/>
              </w:rPr>
            </w:pPr>
            <w:r>
              <w:rPr>
                <w:rFonts w:hint="eastAsia" w:ascii="宋体"/>
                <w:sz w:val="20"/>
                <w:szCs w:val="20"/>
              </w:rPr>
              <w:t>节奏鼓</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12寸红鼓、鼓棒、鼓架</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ascii="宋体" w:hAnsi="宋体"/>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台</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ascii="宋体" w:hAnsi="宋体"/>
                <w:sz w:val="20"/>
                <w:szCs w:val="20"/>
              </w:rPr>
              <w:t>19</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练功凳</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3米一个  实木PU革包面</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4</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hAnsi="宋体"/>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20</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练功垫</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10cm皮革2m*1cm*10cm</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4</w:t>
            </w:r>
          </w:p>
        </w:tc>
        <w:tc>
          <w:tcPr>
            <w:tcW w:w="721" w:type="dxa"/>
            <w:tcBorders>
              <w:top w:val="single" w:color="auto" w:sz="4" w:space="0"/>
              <w:left w:val="nil"/>
              <w:bottom w:val="single" w:color="auto" w:sz="4" w:space="0"/>
              <w:right w:val="single" w:color="auto" w:sz="4" w:space="0"/>
            </w:tcBorders>
            <w:vAlign w:val="center"/>
          </w:tcPr>
          <w:p>
            <w:pPr>
              <w:widowControl/>
              <w:ind w:firstLine="200" w:firstLineChars="100"/>
              <w:rPr>
                <w:rFonts w:ascii="宋体" w:hAnsi="宋体"/>
                <w:sz w:val="20"/>
                <w:szCs w:val="20"/>
              </w:rPr>
            </w:pPr>
            <w:r>
              <w:rPr>
                <w:rFonts w:hint="eastAsia" w:ascii="宋体" w:hAnsi="宋体"/>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21</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包柱子</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22</w:t>
            </w:r>
          </w:p>
        </w:tc>
        <w:tc>
          <w:tcPr>
            <w:tcW w:w="1305" w:type="dxa"/>
            <w:tcBorders>
              <w:top w:val="single" w:color="auto" w:sz="4" w:space="0"/>
              <w:left w:val="nil"/>
              <w:bottom w:val="single" w:color="auto" w:sz="4" w:space="0"/>
              <w:right w:val="single" w:color="auto" w:sz="4" w:space="0"/>
            </w:tcBorders>
            <w:vAlign w:val="center"/>
          </w:tcPr>
          <w:p>
            <w:pPr>
              <w:widowControl/>
              <w:rPr>
                <w:rFonts w:ascii="宋体"/>
                <w:sz w:val="20"/>
                <w:szCs w:val="20"/>
              </w:rPr>
            </w:pPr>
            <w:r>
              <w:rPr>
                <w:rFonts w:hint="eastAsia" w:ascii="宋体"/>
                <w:sz w:val="20"/>
                <w:szCs w:val="20"/>
              </w:rPr>
              <w:t>卫生间地胶</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3.1*6.8</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23</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拆除蹲坑</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蹲坑4个小便池5个</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24</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鞋柜</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3.7*1.4   5层</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25</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封门</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扇</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26</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更衣间员顶</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集成吊顶</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27</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更衣间灯</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LED60*30灯</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4</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盏</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28</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PU凳</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r>
              <w:rPr>
                <w:rFonts w:hint="eastAsia" w:ascii="宋体"/>
                <w:sz w:val="20"/>
                <w:szCs w:val="20"/>
              </w:rPr>
              <w:t>115cm*49cm</w:t>
            </w: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4</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29</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沙发</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组</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30</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茶几</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1</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31</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电热水壶</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2</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个</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399"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32</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宋体"/>
                <w:sz w:val="20"/>
                <w:szCs w:val="20"/>
              </w:rPr>
            </w:pPr>
            <w:r>
              <w:rPr>
                <w:rFonts w:hint="eastAsia" w:ascii="宋体"/>
                <w:sz w:val="20"/>
                <w:szCs w:val="20"/>
              </w:rPr>
              <w:t>保洁</w:t>
            </w:r>
          </w:p>
        </w:tc>
        <w:tc>
          <w:tcPr>
            <w:tcW w:w="4337" w:type="dxa"/>
            <w:tcBorders>
              <w:top w:val="single" w:color="auto" w:sz="4" w:space="0"/>
              <w:left w:val="nil"/>
              <w:bottom w:val="single" w:color="auto" w:sz="4" w:space="0"/>
              <w:right w:val="single" w:color="auto" w:sz="4" w:space="0"/>
            </w:tcBorders>
            <w:vAlign w:val="center"/>
          </w:tcPr>
          <w:p>
            <w:pPr>
              <w:widowControl/>
              <w:jc w:val="left"/>
              <w:rPr>
                <w:rFonts w:ascii="宋体"/>
                <w:sz w:val="20"/>
                <w:szCs w:val="20"/>
              </w:rPr>
            </w:pPr>
          </w:p>
        </w:tc>
        <w:tc>
          <w:tcPr>
            <w:tcW w:w="687"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135</w:t>
            </w:r>
          </w:p>
        </w:tc>
        <w:tc>
          <w:tcPr>
            <w:tcW w:w="721"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r>
              <w:rPr>
                <w:rFonts w:hint="eastAsia" w:ascii="宋体" w:hAnsi="宋体"/>
                <w:sz w:val="20"/>
                <w:szCs w:val="20"/>
              </w:rPr>
              <w:t>平方</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c>
          <w:tcPr>
            <w:tcW w:w="942" w:type="dxa"/>
            <w:tcBorders>
              <w:top w:val="single" w:color="auto" w:sz="4" w:space="0"/>
              <w:left w:val="nil"/>
              <w:bottom w:val="single" w:color="auto" w:sz="4" w:space="0"/>
              <w:right w:val="single" w:color="auto" w:sz="4" w:space="0"/>
            </w:tcBorders>
            <w:vAlign w:val="center"/>
          </w:tcPr>
          <w:p>
            <w:pPr>
              <w:widowControl/>
              <w:jc w:val="center"/>
              <w:rPr>
                <w:rFonts w:ascii="宋体" w:hAnsi="宋体"/>
                <w:sz w:val="20"/>
                <w:szCs w:val="20"/>
              </w:rPr>
            </w:pPr>
          </w:p>
        </w:tc>
      </w:tr>
      <w:tr>
        <w:tblPrEx>
          <w:tblCellMar>
            <w:top w:w="0" w:type="dxa"/>
            <w:left w:w="108" w:type="dxa"/>
            <w:bottom w:w="0" w:type="dxa"/>
            <w:right w:w="108" w:type="dxa"/>
          </w:tblCellMar>
        </w:tblPrEx>
        <w:trPr>
          <w:trHeight w:val="740" w:hRule="atLeast"/>
        </w:trPr>
        <w:tc>
          <w:tcPr>
            <w:tcW w:w="198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b/>
                <w:bCs/>
                <w:sz w:val="26"/>
                <w:szCs w:val="20"/>
              </w:rPr>
            </w:pPr>
          </w:p>
        </w:tc>
        <w:tc>
          <w:tcPr>
            <w:tcW w:w="7509"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b/>
                <w:bCs/>
                <w:sz w:val="26"/>
                <w:szCs w:val="20"/>
              </w:rPr>
            </w:pPr>
          </w:p>
        </w:tc>
      </w:tr>
    </w:tbl>
    <w:p>
      <w:pPr>
        <w:pStyle w:val="2"/>
        <w:ind w:firstLine="0" w:firstLineChars="0"/>
      </w:pPr>
    </w:p>
    <w:p>
      <w:pPr>
        <w:pStyle w:val="2"/>
        <w:ind w:firstLine="0" w:firstLineChars="0"/>
      </w:pPr>
    </w:p>
    <w:p/>
    <w:p>
      <w:pPr>
        <w:pStyle w:val="2"/>
        <w:ind w:firstLine="480"/>
      </w:pPr>
    </w:p>
    <w:p>
      <w:pPr>
        <w:widowControl/>
        <w:jc w:val="left"/>
      </w:pPr>
      <w:bookmarkStart w:id="2" w:name="_GoBack"/>
      <w:bookmarkEnd w:id="2"/>
    </w:p>
    <w:p/>
    <w:p>
      <w:pPr>
        <w:spacing w:line="360" w:lineRule="auto"/>
        <w:jc w:val="left"/>
        <w:rPr>
          <w:rFonts w:ascii="等线" w:hAnsi="等线" w:eastAsia="等线" w:cs="等线"/>
          <w:b/>
          <w:bCs/>
          <w:sz w:val="28"/>
          <w:szCs w:val="28"/>
        </w:rPr>
      </w:pPr>
      <w:bookmarkStart w:id="0" w:name="_Toc26588_WPSOffice_Level3"/>
      <w:bookmarkEnd w:id="0"/>
      <w:bookmarkStart w:id="1" w:name="_Toc11139_WPSOffice_Level3"/>
      <w:bookmarkEnd w:id="1"/>
    </w:p>
    <w:sectPr>
      <w:footerReference r:id="rId3" w:type="default"/>
      <w:footerReference r:id="rId4" w:type="even"/>
      <w:pgSz w:w="11850" w:h="16783"/>
      <w:pgMar w:top="1440" w:right="1803" w:bottom="1440" w:left="1803" w:header="851" w:footer="992" w:gutter="0"/>
      <w:pgNumType w:start="72"/>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caps/>
        <w:color w:val="4472C4"/>
      </w:rPr>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5DC"/>
    <w:rsid w:val="000015DC"/>
    <w:rsid w:val="00015964"/>
    <w:rsid w:val="00025A85"/>
    <w:rsid w:val="00064D38"/>
    <w:rsid w:val="000907BD"/>
    <w:rsid w:val="000B1885"/>
    <w:rsid w:val="000C492F"/>
    <w:rsid w:val="001166AA"/>
    <w:rsid w:val="00143A61"/>
    <w:rsid w:val="00154335"/>
    <w:rsid w:val="001B3AFE"/>
    <w:rsid w:val="001C28D8"/>
    <w:rsid w:val="001F1F82"/>
    <w:rsid w:val="0021231B"/>
    <w:rsid w:val="002147CB"/>
    <w:rsid w:val="002B0A4A"/>
    <w:rsid w:val="002F760E"/>
    <w:rsid w:val="00315378"/>
    <w:rsid w:val="003622D5"/>
    <w:rsid w:val="003C6FA9"/>
    <w:rsid w:val="003D06B3"/>
    <w:rsid w:val="004274D2"/>
    <w:rsid w:val="004527C1"/>
    <w:rsid w:val="00462734"/>
    <w:rsid w:val="00495227"/>
    <w:rsid w:val="004C2C41"/>
    <w:rsid w:val="004E78BD"/>
    <w:rsid w:val="004F3847"/>
    <w:rsid w:val="00535617"/>
    <w:rsid w:val="0055431F"/>
    <w:rsid w:val="005620C4"/>
    <w:rsid w:val="00566E0D"/>
    <w:rsid w:val="00572165"/>
    <w:rsid w:val="005A2A2D"/>
    <w:rsid w:val="005C1EFF"/>
    <w:rsid w:val="005E12AE"/>
    <w:rsid w:val="006B28A4"/>
    <w:rsid w:val="006D6488"/>
    <w:rsid w:val="007238A1"/>
    <w:rsid w:val="007477E0"/>
    <w:rsid w:val="007514D6"/>
    <w:rsid w:val="007A1CFB"/>
    <w:rsid w:val="007D44BD"/>
    <w:rsid w:val="008079FC"/>
    <w:rsid w:val="008167CF"/>
    <w:rsid w:val="0084428C"/>
    <w:rsid w:val="00846B03"/>
    <w:rsid w:val="008930D9"/>
    <w:rsid w:val="008A2C85"/>
    <w:rsid w:val="008B37AC"/>
    <w:rsid w:val="008B7014"/>
    <w:rsid w:val="009118F1"/>
    <w:rsid w:val="00926132"/>
    <w:rsid w:val="00926EA2"/>
    <w:rsid w:val="00944C89"/>
    <w:rsid w:val="009A7B73"/>
    <w:rsid w:val="009C5A3B"/>
    <w:rsid w:val="009F446E"/>
    <w:rsid w:val="00A14B2C"/>
    <w:rsid w:val="00A34423"/>
    <w:rsid w:val="00A42BC6"/>
    <w:rsid w:val="00A63DBD"/>
    <w:rsid w:val="00B91368"/>
    <w:rsid w:val="00BB10C4"/>
    <w:rsid w:val="00BC5CDA"/>
    <w:rsid w:val="00C0200A"/>
    <w:rsid w:val="00C02DC7"/>
    <w:rsid w:val="00C076E7"/>
    <w:rsid w:val="00CA0111"/>
    <w:rsid w:val="00CB0EB0"/>
    <w:rsid w:val="00CF18E9"/>
    <w:rsid w:val="00D20A9F"/>
    <w:rsid w:val="00E35E0F"/>
    <w:rsid w:val="00E50998"/>
    <w:rsid w:val="00E639AB"/>
    <w:rsid w:val="00E81DDA"/>
    <w:rsid w:val="00E849B5"/>
    <w:rsid w:val="00E86946"/>
    <w:rsid w:val="00E9586D"/>
    <w:rsid w:val="00EA7FD7"/>
    <w:rsid w:val="00F3103A"/>
    <w:rsid w:val="00F32A16"/>
    <w:rsid w:val="00F34007"/>
    <w:rsid w:val="00F71725"/>
    <w:rsid w:val="00F73DF0"/>
    <w:rsid w:val="08D45A04"/>
    <w:rsid w:val="0A953924"/>
    <w:rsid w:val="0B80719C"/>
    <w:rsid w:val="0E0708A6"/>
    <w:rsid w:val="108B31B5"/>
    <w:rsid w:val="2CD50120"/>
    <w:rsid w:val="37567287"/>
    <w:rsid w:val="3CF526BF"/>
    <w:rsid w:val="418D4F4C"/>
    <w:rsid w:val="42DD27E0"/>
    <w:rsid w:val="52470D85"/>
    <w:rsid w:val="53EB7C39"/>
    <w:rsid w:val="574A3BF6"/>
    <w:rsid w:val="6D5223BE"/>
    <w:rsid w:val="6EF91C16"/>
    <w:rsid w:val="785A063B"/>
    <w:rsid w:val="7CB7180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1"/>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12"/>
    <w:qFormat/>
    <w:uiPriority w:val="99"/>
    <w:pPr>
      <w:keepNext/>
      <w:keepLines/>
      <w:spacing w:before="260" w:after="260" w:line="413" w:lineRule="auto"/>
      <w:outlineLvl w:val="1"/>
    </w:pPr>
    <w:rPr>
      <w:rFonts w:ascii="Arial" w:hAnsi="Arial" w:eastAsia="黑体"/>
      <w:b/>
      <w:sz w:val="32"/>
      <w:szCs w:val="2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styleId="5">
    <w:name w:val="Balloon Text"/>
    <w:basedOn w:val="1"/>
    <w:link w:val="14"/>
    <w:semiHidden/>
    <w:qFormat/>
    <w:uiPriority w:val="99"/>
    <w:rPr>
      <w:sz w:val="18"/>
      <w:szCs w:val="18"/>
    </w:rPr>
  </w:style>
  <w:style w:type="paragraph" w:styleId="6">
    <w:name w:val="footer"/>
    <w:basedOn w:val="1"/>
    <w:link w:val="13"/>
    <w:qFormat/>
    <w:uiPriority w:val="99"/>
    <w:pPr>
      <w:tabs>
        <w:tab w:val="center" w:pos="4153"/>
        <w:tab w:val="right" w:pos="8306"/>
      </w:tabs>
      <w:snapToGrid w:val="0"/>
      <w:jc w:val="left"/>
    </w:pPr>
    <w:rPr>
      <w:sz w:val="18"/>
    </w:rPr>
  </w:style>
  <w:style w:type="paragraph" w:styleId="7">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character" w:styleId="10">
    <w:name w:val="page number"/>
    <w:qFormat/>
    <w:uiPriority w:val="99"/>
    <w:rPr>
      <w:rFonts w:cs="Times New Roman"/>
    </w:rPr>
  </w:style>
  <w:style w:type="character" w:customStyle="1" w:styleId="11">
    <w:name w:val="标题 1 字符"/>
    <w:link w:val="3"/>
    <w:qFormat/>
    <w:locked/>
    <w:uiPriority w:val="99"/>
    <w:rPr>
      <w:rFonts w:ascii="Calibri" w:hAnsi="Calibri" w:eastAsia="宋体" w:cs="Times New Roman"/>
      <w:b/>
      <w:bCs/>
      <w:kern w:val="44"/>
      <w:sz w:val="44"/>
      <w:szCs w:val="44"/>
    </w:rPr>
  </w:style>
  <w:style w:type="character" w:customStyle="1" w:styleId="12">
    <w:name w:val="标题 2 字符"/>
    <w:link w:val="4"/>
    <w:qFormat/>
    <w:locked/>
    <w:uiPriority w:val="99"/>
    <w:rPr>
      <w:rFonts w:ascii="Arial" w:hAnsi="Arial" w:eastAsia="黑体" w:cs="Times New Roman"/>
      <w:b/>
      <w:sz w:val="24"/>
      <w:szCs w:val="24"/>
    </w:rPr>
  </w:style>
  <w:style w:type="character" w:customStyle="1" w:styleId="13">
    <w:name w:val="页脚 字符"/>
    <w:link w:val="6"/>
    <w:qFormat/>
    <w:locked/>
    <w:uiPriority w:val="99"/>
    <w:rPr>
      <w:rFonts w:ascii="Calibri" w:hAnsi="Calibri" w:eastAsia="宋体" w:cs="Times New Roman"/>
      <w:sz w:val="18"/>
    </w:rPr>
  </w:style>
  <w:style w:type="character" w:customStyle="1" w:styleId="14">
    <w:name w:val="批注框文本 字符"/>
    <w:link w:val="5"/>
    <w:semiHidden/>
    <w:qFormat/>
    <w:locked/>
    <w:uiPriority w:val="99"/>
    <w:rPr>
      <w:rFonts w:ascii="Calibri" w:hAnsi="Calibri" w:eastAsia="宋体" w:cs="Times New Roman"/>
      <w:sz w:val="18"/>
      <w:szCs w:val="18"/>
    </w:rPr>
  </w:style>
  <w:style w:type="character" w:customStyle="1" w:styleId="15">
    <w:name w:val="页眉 字符"/>
    <w:link w:val="7"/>
    <w:qFormat/>
    <w:locked/>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B6014A-11C7-4E62-9569-B67CEC9D0CEA}">
  <ds:schemaRefs/>
</ds:datastoreItem>
</file>

<file path=docProps/app.xml><?xml version="1.0" encoding="utf-8"?>
<Properties xmlns="http://schemas.openxmlformats.org/officeDocument/2006/extended-properties" xmlns:vt="http://schemas.openxmlformats.org/officeDocument/2006/docPropsVTypes">
  <Template>Normal.dotm</Template>
  <Company>wyyp</Company>
  <Pages>5</Pages>
  <Words>195</Words>
  <Characters>1117</Characters>
  <Lines>9</Lines>
  <Paragraphs>2</Paragraphs>
  <TotalTime>1</TotalTime>
  <ScaleCrop>false</ScaleCrop>
  <LinksUpToDate>false</LinksUpToDate>
  <CharactersWithSpaces>1310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2020-03-26T02:14:00Z</dcterms:created>
  <dc:creator>杨 杨</dc:creator>
  <cp:lastModifiedBy>有为</cp:lastModifiedBy>
  <cp:lastPrinted>2020-04-30T00:37:00Z</cp:lastPrinted>
  <dcterms:modified xsi:type="dcterms:W3CDTF">2020-05-13T09:19:03Z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