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b/>
          <w:bCs/>
          <w:color w:val="auto"/>
          <w:sz w:val="52"/>
          <w:szCs w:val="52"/>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货物询价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DBSCG-2020-01</w:t>
      </w:r>
      <w:r>
        <w:rPr>
          <w:rFonts w:hint="eastAsia" w:ascii="宋体" w:hAnsi="等线" w:cs="Times New Roman"/>
          <w:b/>
          <w:bCs/>
          <w:color w:val="auto"/>
          <w:spacing w:val="20"/>
          <w:kern w:val="0"/>
          <w:sz w:val="32"/>
          <w:szCs w:val="32"/>
          <w:lang w:val="en-US" w:eastAsia="zh-CN"/>
        </w:rPr>
        <w:t>1</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3855" w:right="0" w:rightChars="0" w:hanging="3855" w:hangingChars="1200"/>
        <w:jc w:val="both"/>
        <w:textAlignment w:val="auto"/>
        <w:outlineLvl w:val="9"/>
        <w:rPr>
          <w:rFonts w:hint="default"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val="en-US" w:eastAsia="zh-CN"/>
        </w:rPr>
        <w:t xml:space="preserve">       项 目 名 称</w:t>
      </w:r>
      <w:r>
        <w:rPr>
          <w:rFonts w:hint="eastAsia" w:ascii="宋体" w:hAnsi="宋体" w:cs="宋体"/>
          <w:b/>
          <w:color w:val="auto"/>
          <w:spacing w:val="34"/>
          <w:kern w:val="0"/>
          <w:sz w:val="32"/>
          <w:szCs w:val="32"/>
          <w:u w:val="none"/>
          <w:lang w:val="en-US" w:eastAsia="zh-CN"/>
        </w:rPr>
        <w:t>：公务用车采购项目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cs="宋体"/>
          <w:b/>
          <w:color w:val="auto"/>
          <w:spacing w:val="34"/>
          <w:kern w:val="0"/>
          <w:sz w:val="32"/>
          <w:szCs w:val="32"/>
          <w:u w:val="none"/>
          <w:lang w:val="en-US"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34"/>
          <w:kern w:val="0"/>
          <w:sz w:val="32"/>
          <w:szCs w:val="32"/>
          <w:u w:val="none"/>
          <w:lang w:val="en-US" w:eastAsia="zh-CN"/>
        </w:rPr>
        <w:t>:安徽霍山大别山融资担保有限公司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r>
        <w:rPr>
          <w:rFonts w:hint="eastAsia" w:ascii="宋体" w:hAnsi="宋体" w:cs="宋体"/>
          <w:b/>
          <w:color w:val="auto"/>
          <w:spacing w:val="164"/>
          <w:kern w:val="0"/>
          <w:sz w:val="32"/>
          <w:szCs w:val="32"/>
          <w:lang w:val="en-US" w:eastAsia="zh-CN"/>
        </w:rPr>
        <w:t xml:space="preserve"> </w:t>
      </w: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eastAsia="zh-CN"/>
        </w:rPr>
        <w:t>四</w:t>
      </w:r>
      <w:r>
        <w:rPr>
          <w:rFonts w:hint="eastAsia" w:ascii="宋体" w:hAnsi="宋体" w:eastAsia="宋体" w:cs="宋体"/>
          <w:b/>
          <w:color w:val="auto"/>
          <w:spacing w:val="164"/>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216158623"/>
      <w:bookmarkStart w:id="2" w:name="_Toc363199264"/>
    </w:p>
    <w:p>
      <w:pPr>
        <w:pStyle w:val="15"/>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2"/>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DBSCG-2020-011</w:t>
      </w:r>
      <w:r>
        <w:rPr>
          <w:rFonts w:hint="eastAsia" w:ascii="宋体" w:hAnsi="宋体" w:eastAsia="宋体" w:cs="宋体"/>
          <w:b/>
          <w:bCs/>
          <w:color w:val="auto"/>
          <w:kern w:val="0"/>
          <w:sz w:val="30"/>
          <w:szCs w:val="30"/>
          <w:lang w:val="en-US" w:eastAsia="zh-CN" w:bidi="ar-SA"/>
        </w:rPr>
        <w:t>安徽霍山大别山融资担保有限公司公务用车采购项目询价公告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color w:val="auto"/>
          <w:kern w:val="2"/>
          <w:sz w:val="21"/>
          <w:szCs w:val="21"/>
          <w:u w:val="single"/>
          <w:lang w:val="en-US" w:eastAsia="zh-CN" w:bidi="ar-SA"/>
        </w:rPr>
        <w:t>安徽霍山大别山融资担保有限公司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安徽霍山大别山融资担保有限公司公务用车采购项目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color w:val="auto"/>
          <w:kern w:val="2"/>
          <w:sz w:val="21"/>
          <w:szCs w:val="21"/>
          <w:u w:val="single"/>
          <w:lang w:val="en-US" w:eastAsia="zh-CN" w:bidi="ar-SA"/>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eastAsia="宋体" w:cs="宋体"/>
          <w:color w:val="auto"/>
          <w:kern w:val="2"/>
          <w:sz w:val="21"/>
          <w:szCs w:val="21"/>
          <w:lang w:val="en-US" w:eastAsia="zh-CN" w:bidi="ar-SA"/>
        </w:rPr>
        <w:t>安徽霍山大别山融资担保有限公司公务用车采购项目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DBSCG-2020-011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eastAsia="宋体" w:cs="宋体"/>
          <w:color w:val="auto"/>
          <w:kern w:val="2"/>
          <w:sz w:val="21"/>
          <w:szCs w:val="21"/>
          <w:lang w:val="en-US" w:eastAsia="zh-CN" w:bidi="ar-SA"/>
        </w:rPr>
        <w:t>安徽霍山大别山融资担保有限公司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25万元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7、最高限价：25万元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9、项目概况：公务用车一辆，别克2018款28T豪华版国VI（冰川银）。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2、供应商具有车辆经营许可证或车辆代销合同；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3、如为代理商投标，则供应商应出具所投产品制造厂家售后服务承诺书；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4、具有本次采购货物的供货及售后服务能力；</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5、本项目不接受联合体参与投标；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6、供应商存在以下不良信用记录情形之一的，不得推荐为中标候选供应商，不得确定为中标供应商（仅以下述渠道查询结果为准，其他网站无效）：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4月17日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4月23日9时00分。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23</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eastAsia="宋体" w:cs="宋体"/>
          <w:color w:val="auto"/>
          <w:kern w:val="2"/>
          <w:sz w:val="21"/>
          <w:szCs w:val="21"/>
          <w:lang w:val="en-US" w:eastAsia="zh-CN" w:bidi="ar-SA"/>
        </w:rPr>
        <w:t>安徽霍山大别山融资担保有限公司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color w:val="auto"/>
          <w:kern w:val="2"/>
          <w:sz w:val="21"/>
          <w:szCs w:val="21"/>
          <w:lang w:val="en-US" w:eastAsia="zh-CN" w:bidi="ar-SA"/>
        </w:rPr>
        <w:t>霍山经济开发区凤凰大厦12楼</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朱先生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13856420449</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w:t>
      </w:r>
      <w:r>
        <w:rPr>
          <w:rFonts w:hint="eastAsia" w:ascii="宋体" w:hAnsi="宋体" w:cs="宋体"/>
          <w:i w:val="0"/>
          <w:caps w:val="0"/>
          <w:color w:val="auto"/>
          <w:spacing w:val="0"/>
          <w:sz w:val="21"/>
          <w:szCs w:val="21"/>
          <w:shd w:val="clear" w:color="auto" w:fill="FFFFFF"/>
          <w:lang w:val="zh-CN" w:eastAsia="zh-CN"/>
        </w:rPr>
        <w:t>元整</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right"/>
        <w:textAlignment w:val="auto"/>
        <w:outlineLvl w:val="9"/>
        <w:rPr>
          <w:rFonts w:hint="eastAsia" w:ascii="宋体" w:hAnsi="宋体" w:eastAsia="宋体" w:cs="宋体"/>
          <w:color w:val="auto"/>
          <w:kern w:val="2"/>
          <w:sz w:val="21"/>
          <w:szCs w:val="21"/>
          <w:lang w:val="en-US" w:eastAsia="zh-CN" w:bidi="ar-SA"/>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color w:val="auto"/>
          <w:kern w:val="2"/>
          <w:sz w:val="21"/>
          <w:szCs w:val="21"/>
          <w:lang w:val="en-US" w:eastAsia="zh-CN" w:bidi="ar-SA"/>
        </w:rPr>
        <w:t>安徽霍山大别山融资担保有限公司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jc w:val="right"/>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4月17日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6"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安徽霍山大别山融资担保有限公司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安徽霍山经济开发区凤凰大厦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eastAsia="zh-CN"/>
              </w:rPr>
              <w:t>：朱</w:t>
            </w:r>
            <w:r>
              <w:rPr>
                <w:rFonts w:hint="eastAsia" w:ascii="宋体" w:hAnsi="宋体" w:cs="宋体"/>
                <w:i w:val="0"/>
                <w:caps w:val="0"/>
                <w:color w:val="auto"/>
                <w:spacing w:val="0"/>
                <w:sz w:val="21"/>
                <w:szCs w:val="21"/>
                <w:highlight w:val="none"/>
                <w:shd w:val="clear" w:color="auto" w:fill="FFFFFF"/>
                <w:lang w:val="en-US" w:eastAsia="zh-CN"/>
              </w:rPr>
              <w:t>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13856420449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ascii="宋体" w:hAnsi="宋体" w:eastAsia="宋体" w:cs="宋体"/>
                <w:color w:val="auto"/>
                <w:kern w:val="2"/>
                <w:sz w:val="21"/>
                <w:szCs w:val="21"/>
                <w:lang w:val="en-US" w:eastAsia="zh-CN" w:bidi="ar-SA"/>
              </w:rPr>
              <w:t>安徽霍山大别山融资担保有限公司公务用车采购项目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DBSCG-2020-01</w:t>
            </w:r>
            <w:r>
              <w:rPr>
                <w:rFonts w:hint="eastAsia" w:cs="宋体"/>
                <w:b/>
                <w:bCs w:val="0"/>
                <w:color w:val="auto"/>
                <w:kern w:val="2"/>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贰拾伍万元</w:t>
            </w:r>
            <w:r>
              <w:rPr>
                <w:rFonts w:hint="eastAsia" w:cs="宋体"/>
                <w:b/>
                <w:bCs/>
                <w:color w:val="auto"/>
                <w:sz w:val="21"/>
                <w:szCs w:val="21"/>
                <w:highlight w:val="none"/>
                <w:u w:val="single"/>
                <w:lang w:eastAsia="zh-CN"/>
              </w:rPr>
              <w:t>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250000.00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bookmarkStart w:id="90" w:name="_GoBack"/>
            <w:bookmarkEnd w:id="90"/>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0000FF"/>
                <w:szCs w:val="21"/>
                <w:highlight w:val="none"/>
                <w:lang w:val="en-US" w:eastAsia="zh-CN"/>
              </w:rPr>
              <w:t>车辆到货验收合格一次性付清。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安徽大别山融资担保有限公司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中标之日起25天内</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zh-CN"/>
              </w:rPr>
              <w:t>验收合格之日起</w:t>
            </w:r>
            <w:r>
              <w:rPr>
                <w:rFonts w:hint="eastAsia" w:ascii="宋体" w:hAnsi="宋体"/>
                <w:b/>
                <w:bCs/>
                <w:i w:val="0"/>
                <w:iCs w:val="0"/>
                <w:color w:val="auto"/>
                <w:sz w:val="24"/>
                <w:szCs w:val="24"/>
                <w:u w:val="none"/>
                <w:lang w:val="en-US" w:eastAsia="zh-CN"/>
              </w:rPr>
              <w:t>3</w:t>
            </w:r>
            <w:r>
              <w:rPr>
                <w:rFonts w:hint="eastAsia" w:ascii="宋体" w:hAnsi="宋体"/>
                <w:b/>
                <w:bCs/>
                <w:i w:val="0"/>
                <w:iCs w:val="0"/>
                <w:color w:val="auto"/>
                <w:sz w:val="24"/>
                <w:szCs w:val="24"/>
                <w:u w:val="none"/>
                <w:lang w:val="zh-CN"/>
              </w:rPr>
              <w:t>年</w:t>
            </w:r>
            <w:r>
              <w:rPr>
                <w:rFonts w:hint="eastAsia" w:ascii="宋体" w:hAnsi="宋体"/>
                <w:b/>
                <w:bCs/>
                <w:color w:val="auto"/>
                <w:sz w:val="24"/>
                <w:szCs w:val="24"/>
                <w:lang w:val="zh-CN"/>
              </w:rPr>
              <w:t>或</w:t>
            </w:r>
            <w:r>
              <w:rPr>
                <w:rFonts w:hint="eastAsia" w:ascii="宋体" w:hAnsi="宋体"/>
                <w:b/>
                <w:bCs/>
                <w:color w:val="auto"/>
                <w:sz w:val="24"/>
                <w:szCs w:val="24"/>
                <w:lang w:val="en-US" w:eastAsia="zh-CN"/>
              </w:rPr>
              <w:t>10万公里</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4月23日9时00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en-US" w:eastAsia="zh-CN"/>
                <w14:textFill>
                  <w14:solidFill>
                    <w14:schemeClr w14:val="tx1"/>
                  </w14:solidFill>
                </w14:textFill>
              </w:rPr>
              <w:t>伍仟</w:t>
            </w:r>
            <w:r>
              <w:rPr>
                <w:rFonts w:hint="eastAsia" w:ascii="宋体" w:hAnsi="宋体" w:cs="宋体"/>
                <w:b w:val="0"/>
                <w:bCs/>
                <w:color w:val="000000" w:themeColor="text1"/>
                <w:szCs w:val="21"/>
                <w:highlight w:val="none"/>
                <w:lang w:val="zh-CN"/>
                <w14:textFill>
                  <w14:solidFill>
                    <w14:schemeClr w14:val="tx1"/>
                  </w14:solidFill>
                </w14:textFill>
              </w:rPr>
              <w:t>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w:t>
            </w:r>
            <w:r>
              <w:rPr>
                <w:rFonts w:hint="eastAsia" w:ascii="宋体" w:hAnsi="宋体" w:cs="宋体"/>
                <w:b/>
                <w:color w:val="000000" w:themeColor="text1"/>
                <w:spacing w:val="-12"/>
                <w:szCs w:val="21"/>
                <w:highlight w:val="none"/>
                <w:lang w:val="en-US" w:eastAsia="zh-CN"/>
                <w14:textFill>
                  <w14:solidFill>
                    <w14:schemeClr w14:val="tx1"/>
                  </w14:solidFill>
                </w14:textFill>
              </w:rPr>
              <w:t>20</w:t>
            </w:r>
            <w:r>
              <w:rPr>
                <w:rFonts w:hint="eastAsia" w:ascii="宋体" w:hAnsi="宋体" w:eastAsia="宋体" w:cs="宋体"/>
                <w:b/>
                <w:color w:val="000000" w:themeColor="text1"/>
                <w:spacing w:val="-12"/>
                <w:szCs w:val="21"/>
                <w:highlight w:val="none"/>
                <w:lang w:val="zh-CN"/>
                <w14:textFill>
                  <w14:solidFill>
                    <w14:schemeClr w14:val="tx1"/>
                  </w14:solidFill>
                </w14:textFill>
              </w:rPr>
              <w:t>年</w:t>
            </w:r>
            <w:r>
              <w:rPr>
                <w:rFonts w:hint="eastAsia" w:ascii="宋体" w:hAnsi="宋体" w:cs="宋体"/>
                <w:b/>
                <w:color w:val="000000" w:themeColor="text1"/>
                <w:spacing w:val="-12"/>
                <w:szCs w:val="21"/>
                <w:highlight w:val="none"/>
                <w:lang w:val="en-US" w:eastAsia="zh-CN"/>
                <w14:textFill>
                  <w14:solidFill>
                    <w14:schemeClr w14:val="tx1"/>
                  </w14:solidFill>
                </w14:textFill>
              </w:rPr>
              <w:t>4月23日9时00分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DBSCG-2020-01</w:t>
            </w:r>
            <w:r>
              <w:rPr>
                <w:rFonts w:hint="eastAsia" w:ascii="宋体" w:hAnsi="宋体" w:cs="宋体"/>
                <w:b/>
                <w:bCs w:val="0"/>
                <w:color w:val="auto"/>
                <w:kern w:val="2"/>
                <w:sz w:val="21"/>
                <w:szCs w:val="21"/>
                <w:highlight w:val="none"/>
                <w:lang w:val="en-US" w:eastAsia="zh-CN"/>
              </w:rPr>
              <w:t>1</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5"/>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5"/>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5"/>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438648662"/>
      <w:bookmarkStart w:id="15" w:name="_Toc363199266"/>
      <w:bookmarkStart w:id="16"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6"/>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5"/>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p>
      <w:pPr>
        <w:keepNext w:val="0"/>
        <w:keepLines w:val="0"/>
        <w:pageBreakBefore w:val="0"/>
        <w:widowControl/>
        <w:numPr>
          <w:ilvl w:val="0"/>
          <w:numId w:val="0"/>
        </w:numPr>
        <w:tabs>
          <w:tab w:val="left" w:pos="3780"/>
          <w:tab w:val="left" w:pos="7020"/>
        </w:tabs>
        <w:kinsoku/>
        <w:wordWrap/>
        <w:overflowPunct/>
        <w:topLinePunct w:val="0"/>
        <w:autoSpaceDE/>
        <w:autoSpaceDN/>
        <w:bidi w:val="0"/>
        <w:adjustRightInd/>
        <w:snapToGrid/>
        <w:spacing w:after="157" w:afterLines="50" w:line="380" w:lineRule="exact"/>
        <w:jc w:val="center"/>
        <w:textAlignment w:val="auto"/>
        <w:outlineLvl w:val="9"/>
        <w:rPr>
          <w:rFonts w:hint="eastAsia" w:ascii="宋体" w:hAnsi="宋体" w:eastAsia="宋体" w:cs="宋体"/>
          <w:color w:val="000000"/>
          <w:sz w:val="24"/>
          <w:szCs w:val="24"/>
          <w:lang w:val="en-US" w:eastAsia="zh-CN"/>
        </w:rPr>
      </w:pPr>
      <w:r>
        <w:rPr>
          <w:rFonts w:hint="eastAsia" w:ascii="宋体" w:hAnsi="宋体" w:cs="宋体"/>
          <w:b/>
          <w:color w:val="000000"/>
          <w:sz w:val="24"/>
          <w:szCs w:val="24"/>
          <w:lang w:val="en-US" w:eastAsia="zh-CN"/>
        </w:rPr>
        <w:t>安徽霍山大别山融资担保有限公司</w:t>
      </w:r>
      <w:r>
        <w:rPr>
          <w:rFonts w:hint="eastAsia" w:ascii="宋体" w:hAnsi="宋体" w:cs="宋体"/>
          <w:b/>
          <w:color w:val="000000"/>
          <w:sz w:val="24"/>
          <w:szCs w:val="24"/>
          <w:lang w:eastAsia="zh-CN"/>
        </w:rPr>
        <w:t>公务车辆</w:t>
      </w:r>
      <w:r>
        <w:rPr>
          <w:rFonts w:hint="eastAsia" w:ascii="宋体" w:hAnsi="宋体" w:eastAsia="宋体" w:cs="宋体"/>
          <w:b/>
          <w:color w:val="000000"/>
          <w:sz w:val="24"/>
          <w:szCs w:val="24"/>
          <w:lang w:eastAsia="zh-CN"/>
        </w:rPr>
        <w:t>采购</w:t>
      </w:r>
      <w:r>
        <w:rPr>
          <w:rFonts w:hint="eastAsia" w:ascii="宋体" w:hAnsi="宋体" w:eastAsia="宋体" w:cs="宋体"/>
          <w:b/>
          <w:color w:val="000000"/>
          <w:sz w:val="24"/>
          <w:szCs w:val="24"/>
          <w:lang w:val="en-US" w:eastAsia="zh-CN"/>
        </w:rPr>
        <w:t>需求</w:t>
      </w: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p>
      <w:pPr>
        <w:widowControl/>
        <w:shd w:val="clear" w:color="auto" w:fill="FFFFFF"/>
        <w:jc w:val="center"/>
        <w:rPr>
          <w:rFonts w:ascii="宋体" w:hAnsi="宋体" w:eastAsia="宋体" w:cs="宋体"/>
          <w:vanish/>
          <w:color w:val="000000"/>
          <w:kern w:val="0"/>
          <w:sz w:val="18"/>
          <w:szCs w:val="18"/>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9"/>
        <w:gridCol w:w="1425"/>
        <w:gridCol w:w="2207"/>
        <w:gridCol w:w="783"/>
        <w:gridCol w:w="803"/>
        <w:gridCol w:w="2957"/>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9522" w:type="dxa"/>
            <w:gridSpan w:val="7"/>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数量：一辆  颜色：冰川银   别克GL8商旅车28T豪华型配置表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261" w:type="dxa"/>
            <w:gridSpan w:val="3"/>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车身/发动机/底盘</w:t>
            </w:r>
          </w:p>
        </w:tc>
        <w:tc>
          <w:tcPr>
            <w:tcW w:w="783" w:type="dxa"/>
            <w:vMerge w:val="restart"/>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4478" w:type="dxa"/>
            <w:gridSpan w:val="3"/>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安全配置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车身尺寸</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5256*1878*1776</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29</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BFI一体化车身</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轴距</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3088</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30</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主副驾驶安全带未系提醒</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整备质量</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1860</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31</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前排正面安全气囊</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座位数</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7座</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32</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前排侧面安全气囊</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油箱容积</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66升</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33</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博士ESP电子稳定系统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6</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额定功率 （kw/rpm）</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191/5400</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34</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ABS防抱死制动系统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7</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最大扭矩（Nm/rpm）</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350/2000-5000</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35</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TCS牵引力控制系统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8</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发动机</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2.0T直喷涡轮增压发动机                            （带发动机启停）</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36</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HSA坡道辅助系统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9</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行李箱</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475/1605</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37</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TPMS智能胎压监测系统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10</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底盘悬挂</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前麦弗逊/后扭杆梁悬挂</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38</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感应型车门自动锁止系统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11</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转向系统</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EPS电子助力转向</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39</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倒车雷达</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12</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排放</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国六排放标准</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40</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倒车影像</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13</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变速箱</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6速DSS智能启停变速箱</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4478" w:type="dxa"/>
            <w:gridSpan w:val="3"/>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舒适配置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14</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最高车速</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205</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41</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四门电动车窗</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有（驾驶座一键升降）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trPr>
        <w:tc>
          <w:tcPr>
            <w:tcW w:w="4261" w:type="dxa"/>
            <w:gridSpan w:val="3"/>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外观配置</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42</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间歇式无骨雨刮</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15</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智能防夹电动天窗</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43</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后挡风玻璃热线式除雾功能</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16</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天窗遮阳帘</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44</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中控门锁及遥控钥匙</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17</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自动感应前大灯</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45</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发动机远程启动</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18</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LED尾灯</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46</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一键启动</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4"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19</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LED高位刹车灯</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47</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eConnect互联技术</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20</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后窗及后档风隐私</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48</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7寸高清触摸屏</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trPr>
        <w:tc>
          <w:tcPr>
            <w:tcW w:w="4261" w:type="dxa"/>
            <w:gridSpan w:val="3"/>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内饰配置</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49</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智能车载信息中心</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21</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驾驶座6向调节</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50</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蓝牙免提电话</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22</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副驾驶4向调节</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51</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智能手机映射</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23</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前排座椅头枕4向调节</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52</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车载扬声器</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5"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24</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第二排多功能行政座椅</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53</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全自动空调系统</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25</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真皮多功能方向盘4幅</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54</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双效纳米防PM2.5空调滤芯</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trPr>
        <w:tc>
          <w:tcPr>
            <w:tcW w:w="629"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26</w:t>
            </w:r>
          </w:p>
        </w:tc>
        <w:tc>
          <w:tcPr>
            <w:tcW w:w="1425"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前排中央储物盒</w:t>
            </w:r>
          </w:p>
        </w:tc>
        <w:tc>
          <w:tcPr>
            <w:tcW w:w="220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c>
          <w:tcPr>
            <w:tcW w:w="783" w:type="dxa"/>
            <w:vMerge w:val="continue"/>
            <w:noWrap w:val="0"/>
            <w:tcMar>
              <w:top w:w="15" w:type="dxa"/>
              <w:left w:w="15" w:type="dxa"/>
              <w:right w:w="15" w:type="dxa"/>
            </w:tcMar>
            <w:vAlign w:val="center"/>
          </w:tcPr>
          <w:p>
            <w:pPr>
              <w:spacing w:line="380" w:lineRule="exact"/>
              <w:jc w:val="center"/>
              <w:rPr>
                <w:rFonts w:hint="eastAsia" w:ascii="宋体" w:hAnsi="宋体" w:cs="宋体"/>
                <w:color w:val="000000"/>
                <w:szCs w:val="21"/>
              </w:rPr>
            </w:pPr>
          </w:p>
        </w:tc>
        <w:tc>
          <w:tcPr>
            <w:tcW w:w="803"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55</w:t>
            </w:r>
          </w:p>
        </w:tc>
        <w:tc>
          <w:tcPr>
            <w:tcW w:w="2957"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二、三排顶置空调出风口</w:t>
            </w:r>
          </w:p>
        </w:tc>
        <w:tc>
          <w:tcPr>
            <w:tcW w:w="718" w:type="dxa"/>
            <w:noWrap w:val="0"/>
            <w:tcMar>
              <w:top w:w="15" w:type="dxa"/>
              <w:left w:w="15" w:type="dxa"/>
              <w:right w:w="15" w:type="dxa"/>
            </w:tcMar>
            <w:vAlign w:val="center"/>
          </w:tcPr>
          <w:p>
            <w:pPr>
              <w:spacing w:line="380" w:lineRule="exact"/>
              <w:jc w:val="center"/>
              <w:rPr>
                <w:rFonts w:hint="eastAsia" w:ascii="宋体" w:hAnsi="宋体" w:cs="宋体"/>
                <w:color w:val="000000"/>
                <w:szCs w:val="21"/>
              </w:rPr>
            </w:pPr>
            <w:r>
              <w:rPr>
                <w:rFonts w:hint="eastAsia" w:ascii="宋体" w:hAnsi="宋体" w:cs="宋体"/>
                <w:color w:val="000000"/>
                <w:szCs w:val="21"/>
                <w:lang w:val="en-US" w:eastAsia="zh-CN"/>
              </w:rPr>
              <w:t>有</w:t>
            </w:r>
          </w:p>
        </w:tc>
      </w:tr>
    </w:tbl>
    <w:p/>
    <w:p>
      <w:pPr>
        <w:pStyle w:val="16"/>
        <w:rPr>
          <w:rFonts w:hint="eastAsia"/>
          <w:lang w:eastAsia="zh-CN"/>
        </w:rPr>
      </w:pPr>
    </w:p>
    <w:p>
      <w:pPr>
        <w:pStyle w:val="26"/>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11297"/>
      <w:bookmarkStart w:id="38"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2"/>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3858_WPSOffice_Level1"/>
      <w:bookmarkStart w:id="60" w:name="_Toc516969098"/>
      <w:bookmarkStart w:id="61" w:name="_Toc148501698"/>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2" w:name="_Toc30711"/>
      <w:bookmarkStart w:id="63" w:name="_Toc471299106"/>
      <w:bookmarkStart w:id="64" w:name="_Toc417045478"/>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5" w:name="_Toc32017"/>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供货、安装、售后服务承诺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28"/>
          <w:rFonts w:hint="eastAsia"/>
          <w:color w:val="auto"/>
          <w:sz w:val="21"/>
          <w:szCs w:val="21"/>
          <w:lang w:val="en-US" w:eastAsia="zh-CN"/>
        </w:rPr>
        <w:t>附件九</w:t>
      </w:r>
      <w:r>
        <w:rPr>
          <w:rStyle w:val="28"/>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4"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85" w:name="_Toc11536"/>
      <w:r>
        <w:rPr>
          <w:rFonts w:hint="eastAsia" w:ascii="宋体" w:hAnsi="宋体"/>
          <w:b/>
          <w:color w:val="auto"/>
          <w:sz w:val="24"/>
          <w:szCs w:val="28"/>
          <w:lang w:val="en-US" w:eastAsia="zh-CN"/>
        </w:rPr>
        <w:t>附件十</w:t>
      </w:r>
      <w:bookmarkEnd w:id="85"/>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4"/>
    </w:p>
    <w:p>
      <w:pPr>
        <w:spacing w:line="400" w:lineRule="exact"/>
        <w:jc w:val="center"/>
        <w:rPr>
          <w:rFonts w:hint="eastAsia" w:ascii="宋体" w:hAnsi="宋体" w:cs="宋体"/>
          <w:b/>
          <w:color w:val="auto"/>
          <w:sz w:val="28"/>
          <w:szCs w:val="28"/>
          <w:shd w:val="clear" w:color="auto" w:fill="FFFFFF"/>
        </w:rPr>
      </w:pPr>
      <w:bookmarkStart w:id="86"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6"/>
    </w:p>
    <w:p>
      <w:pPr>
        <w:adjustRightInd w:val="0"/>
        <w:snapToGrid w:val="0"/>
        <w:spacing w:line="360" w:lineRule="exact"/>
        <w:ind w:right="15" w:rightChars="7"/>
        <w:rPr>
          <w:rFonts w:hint="eastAsia" w:ascii="宋体" w:hAnsi="宋体" w:cs="宋体"/>
          <w:bCs/>
          <w:color w:val="auto"/>
          <w:shd w:val="clear" w:color="auto" w:fill="FFFFFF"/>
        </w:rPr>
      </w:pPr>
      <w:bookmarkStart w:id="87" w:name="_Toc3059_WPSOffice_Level1"/>
      <w:r>
        <w:rPr>
          <w:rFonts w:hint="eastAsia" w:ascii="宋体" w:hAnsi="宋体" w:cs="宋体"/>
          <w:bCs/>
          <w:color w:val="auto"/>
          <w:shd w:val="clear" w:color="auto" w:fill="FFFFFF"/>
        </w:rPr>
        <w:t>一、项目相关情况</w:t>
      </w:r>
      <w:bookmarkEnd w:id="87"/>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8" w:name="_Toc21327_WPSOffice_Level1"/>
      <w:r>
        <w:rPr>
          <w:rFonts w:hint="eastAsia" w:ascii="宋体" w:hAnsi="宋体" w:cs="宋体"/>
          <w:bCs/>
          <w:color w:val="auto"/>
          <w:shd w:val="clear" w:color="auto" w:fill="FFFFFF"/>
        </w:rPr>
        <w:t>二、质疑提起的条件及不予受理的情形</w:t>
      </w:r>
      <w:bookmarkEnd w:id="88"/>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9" w:name="_Toc17685_WPSOffice_Level1"/>
      <w:r>
        <w:rPr>
          <w:rFonts w:hint="eastAsia" w:ascii="宋体" w:hAnsi="宋体" w:cs="宋体"/>
          <w:bCs/>
          <w:color w:val="auto"/>
          <w:shd w:val="clear" w:color="auto" w:fill="FFFFFF"/>
        </w:rPr>
        <w:t>三、其他</w:t>
      </w:r>
      <w:bookmarkEnd w:id="89"/>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安徽霍山大别山融资担保有限公司公务用车采购项目询价文件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149221C"/>
    <w:rsid w:val="02AA1EE6"/>
    <w:rsid w:val="03150F8F"/>
    <w:rsid w:val="059C0CBD"/>
    <w:rsid w:val="0644344B"/>
    <w:rsid w:val="065734CB"/>
    <w:rsid w:val="06BE48F4"/>
    <w:rsid w:val="07500CD8"/>
    <w:rsid w:val="09F429FB"/>
    <w:rsid w:val="0A8E4FFF"/>
    <w:rsid w:val="0A967446"/>
    <w:rsid w:val="0ADA7309"/>
    <w:rsid w:val="0C8B3F0F"/>
    <w:rsid w:val="0D4A538B"/>
    <w:rsid w:val="0E7B6D74"/>
    <w:rsid w:val="13592465"/>
    <w:rsid w:val="1414601F"/>
    <w:rsid w:val="147737A7"/>
    <w:rsid w:val="14827BCA"/>
    <w:rsid w:val="15081ED3"/>
    <w:rsid w:val="159267B6"/>
    <w:rsid w:val="159F1CE3"/>
    <w:rsid w:val="161D1882"/>
    <w:rsid w:val="16C41FE1"/>
    <w:rsid w:val="16E90795"/>
    <w:rsid w:val="174F1F7C"/>
    <w:rsid w:val="18B06CB8"/>
    <w:rsid w:val="18FB5F6E"/>
    <w:rsid w:val="1A1D00D5"/>
    <w:rsid w:val="1A331B52"/>
    <w:rsid w:val="1BD82076"/>
    <w:rsid w:val="1C230B2D"/>
    <w:rsid w:val="1C996F6B"/>
    <w:rsid w:val="1D217AE8"/>
    <w:rsid w:val="1D7F23B1"/>
    <w:rsid w:val="1DC0444F"/>
    <w:rsid w:val="1EFF270E"/>
    <w:rsid w:val="211E7B20"/>
    <w:rsid w:val="215167E4"/>
    <w:rsid w:val="22030953"/>
    <w:rsid w:val="221B322D"/>
    <w:rsid w:val="234A74A5"/>
    <w:rsid w:val="249C4D10"/>
    <w:rsid w:val="25656A25"/>
    <w:rsid w:val="25991012"/>
    <w:rsid w:val="260D2BCC"/>
    <w:rsid w:val="2756117E"/>
    <w:rsid w:val="28B95567"/>
    <w:rsid w:val="2A0B5273"/>
    <w:rsid w:val="2A987BB9"/>
    <w:rsid w:val="2B1C14C3"/>
    <w:rsid w:val="2C204823"/>
    <w:rsid w:val="2C484A2B"/>
    <w:rsid w:val="2D254D25"/>
    <w:rsid w:val="2DD57ECD"/>
    <w:rsid w:val="2DF94357"/>
    <w:rsid w:val="2ED51A6E"/>
    <w:rsid w:val="2F1C57A5"/>
    <w:rsid w:val="2FA7707A"/>
    <w:rsid w:val="30091271"/>
    <w:rsid w:val="31F9233C"/>
    <w:rsid w:val="32661595"/>
    <w:rsid w:val="340E6C58"/>
    <w:rsid w:val="34707045"/>
    <w:rsid w:val="34D536C4"/>
    <w:rsid w:val="35F561C1"/>
    <w:rsid w:val="38B45EFC"/>
    <w:rsid w:val="38D036A4"/>
    <w:rsid w:val="39792C93"/>
    <w:rsid w:val="3A062C13"/>
    <w:rsid w:val="3AE97D6B"/>
    <w:rsid w:val="3B8E3C6C"/>
    <w:rsid w:val="3C1C5FDB"/>
    <w:rsid w:val="3C967255"/>
    <w:rsid w:val="3D457CC8"/>
    <w:rsid w:val="3D5C50E1"/>
    <w:rsid w:val="3E046DF3"/>
    <w:rsid w:val="3E9D780F"/>
    <w:rsid w:val="3F89752D"/>
    <w:rsid w:val="3FE111C3"/>
    <w:rsid w:val="40B4502A"/>
    <w:rsid w:val="41DD49C0"/>
    <w:rsid w:val="431D644D"/>
    <w:rsid w:val="44A83992"/>
    <w:rsid w:val="45FC1F89"/>
    <w:rsid w:val="46447AD0"/>
    <w:rsid w:val="4667667C"/>
    <w:rsid w:val="46FE1966"/>
    <w:rsid w:val="47AD1197"/>
    <w:rsid w:val="47ED349E"/>
    <w:rsid w:val="4837206E"/>
    <w:rsid w:val="48D30C8F"/>
    <w:rsid w:val="48F93679"/>
    <w:rsid w:val="490A3BE0"/>
    <w:rsid w:val="493E0515"/>
    <w:rsid w:val="49665DCB"/>
    <w:rsid w:val="49974E74"/>
    <w:rsid w:val="4A4D2829"/>
    <w:rsid w:val="4D18297E"/>
    <w:rsid w:val="4D757618"/>
    <w:rsid w:val="4F9010E9"/>
    <w:rsid w:val="4FE772B4"/>
    <w:rsid w:val="50345C2D"/>
    <w:rsid w:val="51373F3D"/>
    <w:rsid w:val="515D087D"/>
    <w:rsid w:val="54782474"/>
    <w:rsid w:val="54A309A3"/>
    <w:rsid w:val="54B56A54"/>
    <w:rsid w:val="558001AF"/>
    <w:rsid w:val="55FB7588"/>
    <w:rsid w:val="56C909BE"/>
    <w:rsid w:val="57562B24"/>
    <w:rsid w:val="581B40F7"/>
    <w:rsid w:val="58565344"/>
    <w:rsid w:val="58695F8B"/>
    <w:rsid w:val="589543F5"/>
    <w:rsid w:val="5BA07BB6"/>
    <w:rsid w:val="5BBE35F6"/>
    <w:rsid w:val="5C3E5A4E"/>
    <w:rsid w:val="5D273630"/>
    <w:rsid w:val="5D603CFB"/>
    <w:rsid w:val="5EB3743D"/>
    <w:rsid w:val="5EFB6C0F"/>
    <w:rsid w:val="5F2B66BC"/>
    <w:rsid w:val="614D145C"/>
    <w:rsid w:val="618D0E1A"/>
    <w:rsid w:val="619C1CA6"/>
    <w:rsid w:val="629D1B22"/>
    <w:rsid w:val="63637DD7"/>
    <w:rsid w:val="639C65AB"/>
    <w:rsid w:val="63CE30A4"/>
    <w:rsid w:val="65502555"/>
    <w:rsid w:val="65771F5A"/>
    <w:rsid w:val="66272510"/>
    <w:rsid w:val="66F918C9"/>
    <w:rsid w:val="678154B0"/>
    <w:rsid w:val="679818EA"/>
    <w:rsid w:val="68560087"/>
    <w:rsid w:val="68BA3798"/>
    <w:rsid w:val="690D0368"/>
    <w:rsid w:val="6A47529D"/>
    <w:rsid w:val="6AF61310"/>
    <w:rsid w:val="6B225547"/>
    <w:rsid w:val="6B413A50"/>
    <w:rsid w:val="6C0040EC"/>
    <w:rsid w:val="6C640C01"/>
    <w:rsid w:val="6CD771B7"/>
    <w:rsid w:val="6DA52666"/>
    <w:rsid w:val="6DB0368A"/>
    <w:rsid w:val="6F5632F9"/>
    <w:rsid w:val="6FB45A58"/>
    <w:rsid w:val="73D81B5D"/>
    <w:rsid w:val="762147FD"/>
    <w:rsid w:val="78397A44"/>
    <w:rsid w:val="789C2226"/>
    <w:rsid w:val="78F92F7D"/>
    <w:rsid w:val="79F628A4"/>
    <w:rsid w:val="7A1A522E"/>
    <w:rsid w:val="7A686D7F"/>
    <w:rsid w:val="7D196BB9"/>
    <w:rsid w:val="7D6A6C42"/>
    <w:rsid w:val="7E456548"/>
    <w:rsid w:val="7EF1633B"/>
    <w:rsid w:val="7F7B2110"/>
    <w:rsid w:val="7FAF1E06"/>
    <w:rsid w:val="7FFE3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qFormat/>
    <w:uiPriority w:val="0"/>
    <w:rPr>
      <w:color w:val="0000FF"/>
      <w:u w:val="single"/>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5">
    <w:name w:val="Char"/>
    <w:basedOn w:val="1"/>
    <w:qFormat/>
    <w:uiPriority w:val="99"/>
    <w:rPr>
      <w:rFonts w:ascii="Tahoma" w:hAnsi="Tahoma"/>
      <w:sz w:val="24"/>
    </w:rPr>
  </w:style>
  <w:style w:type="paragraph" w:customStyle="1" w:styleId="26">
    <w:name w:val="样式 标题 2 + 宋体 五号 行距: 单倍行距"/>
    <w:basedOn w:val="5"/>
    <w:qFormat/>
    <w:uiPriority w:val="99"/>
    <w:pPr>
      <w:spacing w:line="240" w:lineRule="auto"/>
    </w:pPr>
    <w:rPr>
      <w:rFonts w:ascii="宋体" w:hAnsi="宋体" w:eastAsia="宋体"/>
      <w:sz w:val="21"/>
    </w:rPr>
  </w:style>
  <w:style w:type="paragraph" w:customStyle="1" w:styleId="27">
    <w:name w:val="Char Char Char Char Char Char Char1 Char"/>
    <w:basedOn w:val="1"/>
    <w:qFormat/>
    <w:uiPriority w:val="99"/>
    <w:rPr>
      <w:rFonts w:ascii="Tahoma" w:hAnsi="Tahoma"/>
      <w:sz w:val="24"/>
    </w:rPr>
  </w:style>
  <w:style w:type="character" w:customStyle="1" w:styleId="28">
    <w:name w:val="标题 3 Char"/>
    <w:basedOn w:val="19"/>
    <w:link w:val="6"/>
    <w:qFormat/>
    <w:locked/>
    <w:uiPriority w:val="99"/>
    <w:rPr>
      <w:b/>
      <w:bCs/>
      <w:sz w:val="32"/>
      <w:szCs w:val="32"/>
    </w:rPr>
  </w:style>
  <w:style w:type="paragraph" w:customStyle="1" w:styleId="2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List Paragraph"/>
    <w:basedOn w:val="1"/>
    <w:unhideWhenUsed/>
    <w:qFormat/>
    <w:uiPriority w:val="99"/>
    <w:pPr>
      <w:ind w:firstLine="420" w:firstLineChars="200"/>
    </w:pPr>
    <w:rPr>
      <w:rFonts w:ascii="Calibri" w:hAnsi="Calibri"/>
      <w:szCs w:val="22"/>
    </w:rPr>
  </w:style>
  <w:style w:type="paragraph" w:customStyle="1" w:styleId="31">
    <w:name w:val="Table Paragraph"/>
    <w:basedOn w:val="1"/>
    <w:qFormat/>
    <w:uiPriority w:val="1"/>
  </w:style>
  <w:style w:type="paragraph" w:customStyle="1" w:styleId="32">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2020-03-31T06:20:00Z</cp:lastPrinted>
  <dcterms:modified xsi:type="dcterms:W3CDTF">2020-04-17T09:34:41Z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