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left="0" w:leftChars="0" w:firstLine="0" w:firstLineChars="0"/>
        <w:jc w:val="center"/>
        <w:rPr>
          <w:rFonts w:hint="eastAsia" w:ascii="宋体" w:hAnsi="宋体"/>
          <w:b/>
          <w:bCs/>
          <w:color w:val="auto"/>
          <w:sz w:val="52"/>
          <w:szCs w:val="52"/>
          <w:lang w:val="en-US" w:eastAsia="zh-CN"/>
        </w:rPr>
      </w:pPr>
    </w:p>
    <w:p>
      <w:pPr>
        <w:pStyle w:val="16"/>
        <w:ind w:left="0" w:leftChars="0" w:firstLine="0" w:firstLineChars="0"/>
        <w:jc w:val="center"/>
        <w:rPr>
          <w:rFonts w:hint="eastAsia" w:ascii="宋体" w:hAnsi="宋体"/>
          <w:b/>
          <w:bCs/>
          <w:color w:val="auto"/>
          <w:sz w:val="52"/>
          <w:szCs w:val="52"/>
          <w:lang w:eastAsia="zh-CN"/>
        </w:rPr>
      </w:pPr>
      <w:r>
        <w:rPr>
          <w:rFonts w:hint="eastAsia" w:ascii="宋体" w:hAnsi="宋体"/>
          <w:b/>
          <w:bCs/>
          <w:color w:val="auto"/>
          <w:sz w:val="52"/>
          <w:szCs w:val="52"/>
          <w:lang w:val="en-US" w:eastAsia="zh-CN"/>
        </w:rPr>
        <w:t>霍山县矿产资源开发有限责任公司废弃砂、石处置利用点地磅及监控采购项目</w:t>
      </w:r>
    </w:p>
    <w:p>
      <w:pPr>
        <w:pStyle w:val="16"/>
        <w:jc w:val="center"/>
        <w:rPr>
          <w:rFonts w:hint="eastAsia" w:ascii="宋体" w:hAnsi="宋体"/>
          <w:b/>
          <w:bCs/>
          <w:color w:val="auto"/>
          <w:sz w:val="52"/>
          <w:szCs w:val="52"/>
          <w:lang w:eastAsia="zh-CN"/>
        </w:rPr>
      </w:pPr>
    </w:p>
    <w:p>
      <w:pPr>
        <w:pStyle w:val="16"/>
        <w:jc w:val="center"/>
        <w:rPr>
          <w:rFonts w:hint="eastAsia" w:ascii="宋体" w:hAnsi="宋体"/>
          <w:b/>
          <w:bCs/>
          <w:color w:val="auto"/>
          <w:sz w:val="52"/>
          <w:szCs w:val="52"/>
          <w:lang w:eastAsia="zh-CN"/>
        </w:rPr>
      </w:pPr>
      <w:r>
        <w:rPr>
          <w:rFonts w:hint="eastAsia" w:ascii="宋体" w:hAnsi="宋体"/>
          <w:b/>
          <w:bCs/>
          <w:color w:val="auto"/>
          <w:sz w:val="52"/>
          <w:szCs w:val="52"/>
          <w:lang w:eastAsia="zh-CN"/>
        </w:rPr>
        <w:t>询</w:t>
      </w:r>
    </w:p>
    <w:p>
      <w:pPr>
        <w:pStyle w:val="16"/>
        <w:jc w:val="center"/>
        <w:rPr>
          <w:rFonts w:hint="eastAsia" w:ascii="宋体" w:hAnsi="宋体"/>
          <w:b/>
          <w:bCs/>
          <w:color w:val="auto"/>
          <w:sz w:val="52"/>
          <w:szCs w:val="52"/>
          <w:lang w:eastAsia="zh-CN"/>
        </w:rPr>
      </w:pPr>
      <w:r>
        <w:rPr>
          <w:rFonts w:hint="eastAsia" w:ascii="宋体" w:hAnsi="宋体"/>
          <w:b/>
          <w:bCs/>
          <w:color w:val="auto"/>
          <w:sz w:val="52"/>
          <w:szCs w:val="52"/>
          <w:lang w:eastAsia="zh-CN"/>
        </w:rPr>
        <w:t>价</w:t>
      </w:r>
    </w:p>
    <w:p>
      <w:pPr>
        <w:pStyle w:val="16"/>
        <w:jc w:val="center"/>
        <w:rPr>
          <w:rFonts w:hint="eastAsia" w:ascii="宋体" w:hAnsi="宋体"/>
          <w:b/>
          <w:bCs/>
          <w:color w:val="auto"/>
          <w:sz w:val="52"/>
          <w:szCs w:val="52"/>
        </w:rPr>
      </w:pPr>
      <w:r>
        <w:rPr>
          <w:rFonts w:hint="eastAsia" w:ascii="宋体" w:hAnsi="宋体"/>
          <w:b/>
          <w:bCs/>
          <w:color w:val="auto"/>
          <w:sz w:val="52"/>
          <w:szCs w:val="52"/>
        </w:rPr>
        <w:t>文</w:t>
      </w:r>
    </w:p>
    <w:p>
      <w:pPr>
        <w:pStyle w:val="16"/>
        <w:jc w:val="center"/>
        <w:rPr>
          <w:rFonts w:hint="eastAsia" w:ascii="宋体" w:hAnsi="宋体" w:eastAsia="宋体" w:cs="宋体"/>
          <w:b/>
          <w:bCs/>
          <w:color w:val="auto"/>
          <w:sz w:val="48"/>
          <w:szCs w:val="48"/>
        </w:rPr>
      </w:pPr>
      <w:r>
        <w:rPr>
          <w:rFonts w:hint="eastAsia" w:ascii="宋体" w:hAnsi="宋体"/>
          <w:b/>
          <w:bCs/>
          <w:color w:val="auto"/>
          <w:sz w:val="52"/>
          <w:szCs w:val="52"/>
        </w:rPr>
        <w:t>件</w:t>
      </w:r>
    </w:p>
    <w:p>
      <w:pPr>
        <w:pStyle w:val="2"/>
        <w:ind w:left="0" w:leftChars="0" w:firstLine="0" w:firstLineChars="0"/>
        <w:jc w:val="both"/>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宋体" w:eastAsia="宋体" w:cs="宋体"/>
          <w:b/>
          <w:color w:val="auto"/>
          <w:spacing w:val="108"/>
          <w:kern w:val="0"/>
          <w:sz w:val="32"/>
          <w:szCs w:val="32"/>
          <w:u w:val="none"/>
          <w:lang w:val="en-US" w:eastAsia="zh-CN"/>
        </w:rPr>
      </w:pPr>
      <w:r>
        <w:rPr>
          <w:rFonts w:hint="eastAsia" w:ascii="宋体" w:hAnsi="等线" w:eastAsia="宋体" w:cs="Times New Roman"/>
          <w:b/>
          <w:bCs/>
          <w:color w:val="auto"/>
          <w:spacing w:val="2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20"/>
          <w:kern w:val="0"/>
          <w:sz w:val="32"/>
          <w:szCs w:val="32"/>
          <w:lang w:eastAsia="zh-CN"/>
        </w:rPr>
        <w:t>DBSCG-2020-</w:t>
      </w:r>
      <w:r>
        <w:rPr>
          <w:rFonts w:hint="eastAsia" w:ascii="宋体" w:hAnsi="等线" w:cs="Times New Roman"/>
          <w:b/>
          <w:bCs/>
          <w:color w:val="auto"/>
          <w:spacing w:val="20"/>
          <w:kern w:val="0"/>
          <w:sz w:val="32"/>
          <w:szCs w:val="32"/>
          <w:lang w:val="en-US" w:eastAsia="zh-CN"/>
        </w:rPr>
        <w:t>023</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130"/>
          <w:kern w:val="0"/>
          <w:sz w:val="32"/>
          <w:szCs w:val="32"/>
          <w:lang w:val="en-US" w:eastAsia="zh-CN"/>
        </w:rPr>
      </w:pPr>
      <w:r>
        <w:rPr>
          <w:rFonts w:hint="eastAsia" w:ascii="宋体" w:hAnsi="宋体" w:cs="宋体"/>
          <w:b/>
          <w:color w:val="auto"/>
          <w:spacing w:val="130"/>
          <w:kern w:val="0"/>
          <w:sz w:val="32"/>
          <w:szCs w:val="32"/>
          <w:lang w:val="en-US" w:eastAsia="zh-CN"/>
        </w:rPr>
        <w:t xml:space="preserve"> </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130"/>
          <w:kern w:val="0"/>
          <w:sz w:val="32"/>
          <w:szCs w:val="32"/>
          <w:lang w:val="en-US"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ascii="宋体" w:hAnsi="宋体" w:cs="宋体"/>
          <w:b/>
          <w:color w:val="auto"/>
          <w:spacing w:val="34"/>
          <w:kern w:val="0"/>
          <w:sz w:val="32"/>
          <w:szCs w:val="32"/>
          <w:u w:val="none"/>
          <w:lang w:eastAsia="zh-CN"/>
        </w:rPr>
      </w:pPr>
      <w:r>
        <w:rPr>
          <w:rFonts w:hint="eastAsia" w:ascii="宋体" w:hAnsi="宋体" w:cs="宋体"/>
          <w:b/>
          <w:color w:val="auto"/>
          <w:spacing w:val="51"/>
          <w:kern w:val="0"/>
          <w:sz w:val="32"/>
          <w:szCs w:val="32"/>
          <w:lang w:eastAsia="zh-CN"/>
        </w:rPr>
        <w:t>采购单位</w:t>
      </w:r>
      <w:r>
        <w:rPr>
          <w:rFonts w:hint="eastAsia" w:ascii="宋体" w:hAnsi="宋体" w:cs="宋体"/>
          <w:b/>
          <w:color w:val="auto"/>
          <w:spacing w:val="51"/>
          <w:kern w:val="0"/>
          <w:sz w:val="32"/>
          <w:szCs w:val="32"/>
          <w:lang w:val="en-US" w:eastAsia="zh-CN"/>
        </w:rPr>
        <w:t>:霍山县矿产资源开发有限责任公司</w:t>
      </w:r>
      <w:r>
        <w:rPr>
          <w:rFonts w:hint="eastAsia" w:ascii="宋体" w:hAnsi="宋体" w:cs="宋体"/>
          <w:b/>
          <w:color w:val="auto"/>
          <w:spacing w:val="34"/>
          <w:kern w:val="0"/>
          <w:sz w:val="32"/>
          <w:szCs w:val="32"/>
          <w:lang w:val="en-US" w:eastAsia="zh-CN"/>
        </w:rPr>
        <w:t xml:space="preserve">  </w:t>
      </w:r>
      <w:r>
        <w:rPr>
          <w:rFonts w:hint="eastAsia" w:ascii="宋体" w:hAnsi="宋体" w:cs="宋体"/>
          <w:b/>
          <w:color w:val="auto"/>
          <w:spacing w:val="34"/>
          <w:kern w:val="0"/>
          <w:sz w:val="32"/>
          <w:szCs w:val="32"/>
          <w:lang w:eastAsia="zh-CN"/>
        </w:rPr>
        <w:t>代理机构</w:t>
      </w:r>
      <w:r>
        <w:rPr>
          <w:rFonts w:hint="eastAsia" w:ascii="宋体" w:hAnsi="宋体" w:eastAsia="宋体" w:cs="宋体"/>
          <w:b/>
          <w:color w:val="auto"/>
          <w:spacing w:val="34"/>
          <w:kern w:val="0"/>
          <w:sz w:val="32"/>
          <w:szCs w:val="32"/>
        </w:rPr>
        <w:t>：</w:t>
      </w:r>
      <w:r>
        <w:rPr>
          <w:rFonts w:hint="eastAsia" w:ascii="宋体" w:hAnsi="宋体" w:cs="宋体"/>
          <w:b/>
          <w:color w:val="auto"/>
          <w:spacing w:val="34"/>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eastAsia"/>
        </w:rPr>
      </w:pPr>
      <w:r>
        <w:rPr>
          <w:rFonts w:hint="eastAsia" w:ascii="宋体" w:hAnsi="宋体" w:eastAsia="宋体" w:cs="宋体"/>
          <w:b/>
          <w:color w:val="auto"/>
          <w:spacing w:val="164"/>
          <w:kern w:val="0"/>
          <w:sz w:val="32"/>
          <w:szCs w:val="32"/>
        </w:rPr>
        <w:t>采购时间：</w:t>
      </w:r>
      <w:r>
        <w:rPr>
          <w:rFonts w:hint="eastAsia" w:ascii="宋体" w:hAnsi="宋体" w:eastAsia="宋体" w:cs="宋体"/>
          <w:b/>
          <w:color w:val="auto"/>
          <w:spacing w:val="164"/>
          <w:kern w:val="0"/>
          <w:sz w:val="32"/>
          <w:szCs w:val="32"/>
          <w:u w:val="none"/>
        </w:rPr>
        <w:t>二0</w:t>
      </w:r>
      <w:r>
        <w:rPr>
          <w:rFonts w:hint="eastAsia" w:ascii="宋体" w:hAnsi="宋体" w:cs="宋体"/>
          <w:b/>
          <w:color w:val="auto"/>
          <w:spacing w:val="164"/>
          <w:kern w:val="0"/>
          <w:sz w:val="32"/>
          <w:szCs w:val="32"/>
          <w:u w:val="none"/>
          <w:lang w:val="en-US" w:eastAsia="zh-CN"/>
        </w:rPr>
        <w:t>二0</w:t>
      </w:r>
      <w:r>
        <w:rPr>
          <w:rFonts w:hint="eastAsia" w:ascii="宋体" w:hAnsi="宋体" w:eastAsia="宋体" w:cs="宋体"/>
          <w:b/>
          <w:color w:val="auto"/>
          <w:spacing w:val="164"/>
          <w:kern w:val="0"/>
          <w:sz w:val="32"/>
          <w:szCs w:val="32"/>
          <w:u w:val="none"/>
        </w:rPr>
        <w:t>年</w:t>
      </w:r>
      <w:r>
        <w:rPr>
          <w:rFonts w:hint="eastAsia" w:ascii="宋体" w:hAnsi="宋体" w:cs="宋体"/>
          <w:b/>
          <w:color w:val="auto"/>
          <w:spacing w:val="164"/>
          <w:kern w:val="0"/>
          <w:sz w:val="32"/>
          <w:szCs w:val="32"/>
          <w:u w:val="none"/>
          <w:lang w:val="en-US" w:eastAsia="zh-CN"/>
        </w:rPr>
        <w:t>四</w:t>
      </w:r>
      <w:r>
        <w:rPr>
          <w:rFonts w:hint="eastAsia" w:ascii="宋体" w:hAnsi="宋体" w:eastAsia="宋体" w:cs="宋体"/>
          <w:b/>
          <w:color w:val="auto"/>
          <w:spacing w:val="164"/>
          <w:kern w:val="0"/>
          <w:sz w:val="32"/>
          <w:szCs w:val="32"/>
          <w:u w:val="none"/>
        </w:rPr>
        <w:t>月</w:t>
      </w:r>
      <w:bookmarkStart w:id="0" w:name="_Toc11428_WPSOffice_Type1"/>
      <w:bookmarkStart w:id="1" w:name="_Toc363199264"/>
      <w:bookmarkStart w:id="2" w:name="_Toc216158623"/>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1"/>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31"/>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31"/>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31"/>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31"/>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1"/>
        </w:numPr>
        <w:tabs>
          <w:tab w:val="left" w:pos="420"/>
        </w:tabs>
        <w:kinsoku/>
        <w:wordWrap/>
        <w:overflowPunct/>
        <w:topLinePunct w:val="0"/>
        <w:autoSpaceDE/>
        <w:autoSpaceDN/>
        <w:bidi w:val="0"/>
        <w:adjustRightInd w:val="0"/>
        <w:snapToGrid w:val="0"/>
        <w:spacing w:line="560" w:lineRule="exact"/>
        <w:ind w:left="398"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DBSCG-2020-023霍山县矿产资源开发有限责任公司废弃砂、石处置利用点地磅及监控采购项目</w:t>
      </w:r>
      <w:r>
        <w:rPr>
          <w:rFonts w:hint="eastAsia" w:ascii="宋体" w:hAnsi="宋体" w:eastAsia="宋体" w:cs="宋体"/>
          <w:b/>
          <w:bCs/>
          <w:color w:val="auto"/>
          <w:kern w:val="0"/>
          <w:sz w:val="30"/>
          <w:szCs w:val="30"/>
          <w:lang w:val="en-US" w:eastAsia="zh-CN" w:bidi="ar-SA"/>
        </w:rPr>
        <w:t>询价公告</w:t>
      </w:r>
      <w:bookmarkEnd w:id="6"/>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DBSCG-2020- 023霍山县矿产资源开发有限责任公司废弃砂、石处置利用点地磅及监控采购项目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霍山县矿产资源开发有限责任公司申请</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霍山县矿产资源开发有限责任公司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霍山县矿产资源开发有限责任公司废弃砂、石处置利用点地磅及监控采购项目</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霍山县矿产资源开发有限责任公司废弃砂、石处置利用点地磅及监控采购项目</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DBSCG-2020-023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38万元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7、最高限价：38万元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9、项目概况：霍山县矿产资源开发有限责任公司废弃砂、石处置利用点地磅及监控采购项目，主要采购内容有：3M*16M SCS-150T地磅（含监控等配套设备），4台，采购预算约38万元。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1、参照《中华人民共和国政府采购法》第二十二条要求；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color w:val="000000"/>
          <w:sz w:val="21"/>
          <w:szCs w:val="21"/>
          <w:lang w:val="en-US" w:eastAsia="zh-CN"/>
        </w:rPr>
      </w:pPr>
      <w:r>
        <w:rPr>
          <w:rFonts w:hint="eastAsia" w:ascii="宋体" w:hAnsi="宋体"/>
          <w:color w:val="000000"/>
          <w:sz w:val="21"/>
          <w:szCs w:val="21"/>
          <w:lang w:val="en-US" w:eastAsia="zh-CN"/>
        </w:rPr>
        <w:t>2、本项目不接受联合体参与投标；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olor w:val="000000"/>
          <w:sz w:val="21"/>
          <w:szCs w:val="21"/>
          <w:lang w:val="en-US" w:eastAsia="zh-CN"/>
        </w:rPr>
        <w:t>3、供应商存在以下不良信用记录情</w:t>
      </w:r>
      <w:r>
        <w:rPr>
          <w:rFonts w:hint="eastAsia" w:ascii="宋体" w:hAnsi="宋体" w:eastAsia="宋体" w:cs="宋体"/>
          <w:i w:val="0"/>
          <w:caps w:val="0"/>
          <w:color w:val="auto"/>
          <w:spacing w:val="0"/>
          <w:sz w:val="21"/>
          <w:szCs w:val="21"/>
          <w:shd w:val="clear" w:color="auto" w:fill="FFFFFF"/>
          <w:lang w:val="en-US" w:eastAsia="zh-CN"/>
        </w:rPr>
        <w:t>形之一的，不得推荐为中标候选供应商，不得确定为中标供应商（仅以下述渠道查询结果为准，其他网站无效）：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  16  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 20  日10时00分。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6"/>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自行下载本项目采购需求文件。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4</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 xml:space="preserve"> 20 </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10</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霍山县衡山镇南岳西路8号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刘女士</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13856430620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徐</w:t>
      </w:r>
      <w:r>
        <w:rPr>
          <w:rFonts w:hint="eastAsia" w:ascii="宋体" w:hAnsi="宋体" w:cs="宋体"/>
          <w:i w:val="0"/>
          <w:caps w:val="0"/>
          <w:color w:val="auto"/>
          <w:spacing w:val="0"/>
          <w:sz w:val="21"/>
          <w:szCs w:val="21"/>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20033，15955919757</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三</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监督管理</w:t>
      </w:r>
      <w:r>
        <w:rPr>
          <w:rFonts w:hint="eastAsia" w:ascii="宋体" w:hAnsi="宋体" w:cs="宋体"/>
          <w:i w:val="0"/>
          <w:caps w:val="0"/>
          <w:color w:val="auto"/>
          <w:spacing w:val="0"/>
          <w:sz w:val="21"/>
          <w:szCs w:val="21"/>
          <w:shd w:val="clear" w:color="auto" w:fill="FFFFFF"/>
          <w:lang w:val="en-US" w:eastAsia="zh-CN"/>
        </w:rPr>
        <w:t>部门</w:t>
      </w:r>
      <w:r>
        <w:rPr>
          <w:rFonts w:hint="eastAsia" w:ascii="宋体" w:hAnsi="宋体" w:eastAsia="宋体" w:cs="宋体"/>
          <w:i w:val="0"/>
          <w:caps w:val="0"/>
          <w:color w:val="auto"/>
          <w:spacing w:val="0"/>
          <w:sz w:val="21"/>
          <w:szCs w:val="21"/>
          <w:shd w:val="clear" w:color="auto" w:fill="FFFFFF"/>
        </w:rPr>
        <w:t>：安徽大别山国投集团监察室</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址：霍山县经济开发区高桥湾路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联系人：任主任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  话：0564-5020180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i w:val="0"/>
          <w:caps w:val="0"/>
          <w:color w:val="auto"/>
          <w:spacing w:val="0"/>
          <w:sz w:val="21"/>
          <w:szCs w:val="21"/>
          <w:shd w:val="clear" w:color="auto" w:fill="FFFFFF"/>
          <w:lang w:val="en-US" w:eastAsia="zh-CN"/>
        </w:rPr>
        <w:t>伍仟元整</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r>
        <w:rPr>
          <w:rFonts w:hint="eastAsia" w:ascii="宋体" w:hAnsi="宋体" w:cs="宋体"/>
          <w:i w:val="0"/>
          <w:caps w:val="0"/>
          <w:color w:val="auto"/>
          <w:spacing w:val="0"/>
          <w:sz w:val="21"/>
          <w:szCs w:val="21"/>
          <w:shd w:val="clear" w:color="auto" w:fill="FFFFFF"/>
          <w:lang w:val="zh-CN" w:eastAsia="zh-CN"/>
        </w:rPr>
        <w:t xml:space="preserve"> </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4、汇出账户要求：应为投标单位基本账户。</w:t>
      </w:r>
      <w:r>
        <w:rPr>
          <w:rFonts w:hint="eastAsia" w:ascii="宋体" w:hAnsi="宋体" w:cs="宋体"/>
          <w:b/>
          <w:bCs/>
          <w:i w:val="0"/>
          <w:caps w:val="0"/>
          <w:color w:val="auto"/>
          <w:spacing w:val="0"/>
          <w:sz w:val="21"/>
          <w:szCs w:val="21"/>
          <w:shd w:val="clear" w:color="auto" w:fill="FFFFFF"/>
          <w:lang w:val="en-US" w:eastAsia="zh-CN"/>
        </w:rPr>
        <w:t>投标保证金须从投标单位基本帐户转出，到账时间为投标截止时间前。</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霍山县矿产资源开发有限责任公司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20</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4月 16  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2"/>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2"/>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lang w:val="en-US" w:eastAsia="zh-CN"/>
              </w:rPr>
              <w:t>霍山县矿产资源开发有限责任公司</w:t>
            </w:r>
          </w:p>
          <w:p>
            <w:pPr>
              <w:adjustRightInd w:val="0"/>
              <w:snapToGrid w:val="0"/>
              <w:spacing w:line="320" w:lineRule="exact"/>
              <w:rPr>
                <w:rFonts w:hint="eastAsia"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rPr>
              <w:t>地</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u w:val="none"/>
              </w:rPr>
              <w:t>址：</w:t>
            </w:r>
            <w:r>
              <w:rPr>
                <w:rFonts w:hint="eastAsia" w:ascii="宋体" w:hAnsi="宋体" w:eastAsia="宋体" w:cs="宋体"/>
                <w:color w:val="auto"/>
                <w:szCs w:val="21"/>
                <w:highlight w:val="none"/>
                <w:u w:val="none"/>
                <w:lang w:val="en-US" w:eastAsia="zh-CN"/>
              </w:rPr>
              <w:t>霍山县衡山镇南岳西路8号</w:t>
            </w:r>
          </w:p>
          <w:p>
            <w:pPr>
              <w:adjustRightInd w:val="0"/>
              <w:snapToGrid w:val="0"/>
              <w:spacing w:line="320" w:lineRule="exact"/>
              <w:rPr>
                <w:rFonts w:hint="default" w:ascii="宋体" w:hAnsi="宋体" w:eastAsia="宋体" w:cs="宋体"/>
                <w:color w:val="auto"/>
                <w:szCs w:val="21"/>
                <w:highlight w:val="none"/>
                <w:u w:val="none"/>
                <w:lang w:val="en-US" w:eastAsia="zh-CN"/>
              </w:rPr>
            </w:pPr>
            <w:r>
              <w:rPr>
                <w:rFonts w:hint="eastAsia" w:ascii="宋体" w:hAnsi="宋体" w:eastAsia="宋体" w:cs="宋体"/>
                <w:color w:val="auto"/>
                <w:szCs w:val="21"/>
                <w:highlight w:val="none"/>
                <w:u w:val="none"/>
              </w:rPr>
              <w:t>联系人：</w:t>
            </w:r>
            <w:r>
              <w:rPr>
                <w:rFonts w:hint="eastAsia" w:ascii="宋体" w:hAnsi="宋体" w:eastAsia="宋体" w:cs="宋体"/>
                <w:color w:val="auto"/>
                <w:szCs w:val="21"/>
                <w:highlight w:val="none"/>
                <w:u w:val="none"/>
                <w:lang w:val="en-US" w:eastAsia="zh-CN"/>
              </w:rPr>
              <w:t>刘</w:t>
            </w:r>
            <w:r>
              <w:rPr>
                <w:rFonts w:hint="eastAsia" w:ascii="宋体" w:hAnsi="宋体" w:cs="宋体"/>
                <w:color w:val="auto"/>
                <w:szCs w:val="21"/>
                <w:highlight w:val="none"/>
                <w:u w:val="none"/>
                <w:lang w:val="en-US" w:eastAsia="zh-CN"/>
              </w:rPr>
              <w:t>女士</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color w:val="auto"/>
                <w:szCs w:val="21"/>
                <w:highlight w:val="none"/>
                <w:u w:val="none"/>
              </w:rPr>
              <w:t>电</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u w:val="none"/>
              </w:rPr>
              <w:t>话：</w:t>
            </w:r>
            <w:r>
              <w:rPr>
                <w:rFonts w:hint="eastAsia" w:ascii="宋体" w:hAnsi="宋体" w:cs="宋体"/>
                <w:i w:val="0"/>
                <w:caps w:val="0"/>
                <w:color w:val="auto"/>
                <w:spacing w:val="0"/>
                <w:sz w:val="21"/>
                <w:szCs w:val="21"/>
                <w:shd w:val="clear" w:color="auto" w:fill="FFFFFF"/>
                <w:lang w:val="en-US" w:eastAsia="zh-CN"/>
              </w:rPr>
              <w:t>13856430620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徐</w:t>
            </w:r>
            <w:r>
              <w:rPr>
                <w:rFonts w:hint="eastAsia" w:ascii="宋体" w:hAnsi="宋体" w:cs="宋体"/>
                <w:i w:val="0"/>
                <w:caps w:val="0"/>
                <w:color w:val="auto"/>
                <w:spacing w:val="0"/>
                <w:sz w:val="21"/>
                <w:szCs w:val="21"/>
                <w:highlight w:val="none"/>
                <w:shd w:val="clear" w:color="auto" w:fill="FFFFFF"/>
                <w:lang w:eastAsia="zh-CN"/>
              </w:rPr>
              <w:t>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20033  15955919757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2"/>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3"/>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霍山县矿产资源开发有限责任公司废弃砂、石处置利用点地磅及监控采购项目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2"/>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33"/>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DBSCG-2020-023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3"/>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人民币</w:t>
            </w:r>
            <w:r>
              <w:rPr>
                <w:rFonts w:hint="eastAsia" w:cs="宋体"/>
                <w:b w:val="0"/>
                <w:bCs w:val="0"/>
                <w:color w:val="auto"/>
                <w:spacing w:val="-4"/>
                <w:kern w:val="2"/>
                <w:sz w:val="21"/>
                <w:szCs w:val="21"/>
                <w:highlight w:val="none"/>
                <w:lang w:val="en-US" w:eastAsia="zh-CN" w:bidi="ar-SA"/>
              </w:rPr>
              <w:t>叁拾捌万元整</w:t>
            </w:r>
            <w:r>
              <w:rPr>
                <w:rFonts w:hint="eastAsia" w:ascii="宋体" w:hAnsi="宋体" w:eastAsia="宋体" w:cs="宋体"/>
                <w:b w:val="0"/>
                <w:bCs w:val="0"/>
                <w:color w:val="auto"/>
                <w:spacing w:val="-4"/>
                <w:kern w:val="2"/>
                <w:sz w:val="21"/>
                <w:szCs w:val="21"/>
                <w:highlight w:val="none"/>
                <w:lang w:val="en-US" w:eastAsia="zh-CN" w:bidi="ar-SA"/>
              </w:rPr>
              <w:t>（￥</w:t>
            </w:r>
            <w:r>
              <w:rPr>
                <w:rFonts w:hint="eastAsia" w:cs="宋体"/>
                <w:b w:val="0"/>
                <w:bCs w:val="0"/>
                <w:color w:val="auto"/>
                <w:spacing w:val="-4"/>
                <w:kern w:val="2"/>
                <w:sz w:val="21"/>
                <w:szCs w:val="21"/>
                <w:highlight w:val="none"/>
                <w:lang w:val="en-US" w:eastAsia="zh-CN" w:bidi="ar-SA"/>
              </w:rPr>
              <w:t>380000</w:t>
            </w:r>
            <w:r>
              <w:rPr>
                <w:rFonts w:hint="eastAsia" w:ascii="宋体" w:hAnsi="宋体" w:eastAsia="宋体" w:cs="宋体"/>
                <w:b w:val="0"/>
                <w:bCs w:val="0"/>
                <w:color w:val="auto"/>
                <w:spacing w:val="-4"/>
                <w:kern w:val="2"/>
                <w:sz w:val="21"/>
                <w:szCs w:val="21"/>
                <w:highlight w:val="none"/>
                <w:lang w:val="en-US" w:eastAsia="zh-CN" w:bidi="ar-SA"/>
              </w:rPr>
              <w:t>.00元），超过此限价的报价为无效响应。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45天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设备安装调试完成并经验收合格后一次性支付80%（以实际安装数量结算），剩余20%作为质保金在一年质保期满且运行正常后支付。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霍山县矿产资源开发有限责任公司指定地点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成交签订合同后7天内完成供货。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zh-CN" w:eastAsia="zh-CN" w:bidi="ar-SA"/>
              </w:rPr>
              <w:t>验收合格之日起</w:t>
            </w:r>
            <w:r>
              <w:rPr>
                <w:rFonts w:hint="eastAsia" w:ascii="宋体" w:hAnsi="宋体" w:eastAsia="宋体" w:cs="宋体"/>
                <w:b w:val="0"/>
                <w:bCs w:val="0"/>
                <w:color w:val="auto"/>
                <w:spacing w:val="-4"/>
                <w:kern w:val="2"/>
                <w:sz w:val="21"/>
                <w:szCs w:val="21"/>
                <w:highlight w:val="none"/>
                <w:lang w:val="en-US" w:eastAsia="zh-CN" w:bidi="ar-SA"/>
              </w:rPr>
              <w:t>一年</w:t>
            </w:r>
            <w:r>
              <w:rPr>
                <w:rFonts w:hint="eastAsia" w:ascii="宋体" w:hAnsi="宋体" w:eastAsia="宋体" w:cs="宋体"/>
                <w:b w:val="0"/>
                <w:bCs w:val="0"/>
                <w:color w:val="auto"/>
                <w:spacing w:val="-4"/>
                <w:kern w:val="2"/>
                <w:sz w:val="21"/>
                <w:szCs w:val="21"/>
                <w:highlight w:val="none"/>
                <w:lang w:val="zh-CN"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4"/>
                <w:kern w:val="2"/>
                <w:sz w:val="21"/>
                <w:szCs w:val="21"/>
                <w:highlight w:val="none"/>
                <w:lang w:val="zh-CN" w:eastAsia="zh-CN" w:bidi="ar-SA"/>
              </w:rPr>
            </w:pPr>
            <w:r>
              <w:rPr>
                <w:rFonts w:hint="eastAsia" w:ascii="宋体" w:hAnsi="宋体" w:eastAsia="宋体" w:cs="宋体"/>
                <w:b w:val="0"/>
                <w:bCs w:val="0"/>
                <w:color w:val="auto"/>
                <w:spacing w:val="-4"/>
                <w:kern w:val="2"/>
                <w:sz w:val="21"/>
                <w:szCs w:val="21"/>
                <w:highlight w:val="none"/>
                <w:lang w:val="en-US" w:eastAsia="zh-CN" w:bidi="ar-SA"/>
              </w:rPr>
              <w:t>响应文件递交截止时间及询价时间：北京时间2020年4月20日10时00分前，逾期递交，概不接受。同时在投标截止时间前,供应商到安徽大别山工程咨询有限公司一楼开标厅参加投标。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4"/>
                <w:kern w:val="2"/>
                <w:sz w:val="21"/>
                <w:szCs w:val="21"/>
                <w:highlight w:val="none"/>
                <w:lang w:val="en-US" w:eastAsia="zh-CN" w:bidi="ar-SA"/>
              </w:rPr>
            </w:pPr>
            <w:r>
              <w:rPr>
                <w:rFonts w:hint="eastAsia" w:ascii="宋体" w:hAnsi="宋体" w:eastAsia="宋体" w:cs="宋体"/>
                <w:b w:val="0"/>
                <w:bCs w:val="0"/>
                <w:color w:val="auto"/>
                <w:spacing w:val="-4"/>
                <w:kern w:val="2"/>
                <w:sz w:val="21"/>
                <w:szCs w:val="21"/>
                <w:highlight w:val="none"/>
                <w:lang w:val="en-US" w:eastAsia="zh-CN" w:bidi="ar-SA"/>
              </w:rPr>
              <w:t>纸质响应文件必须在投标截止时间前现场递交。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6"/>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w:t>
            </w:r>
            <w:r>
              <w:rPr>
                <w:rFonts w:hint="eastAsia" w:ascii="宋体" w:hAnsi="宋体"/>
                <w:color w:val="auto"/>
                <w:szCs w:val="21"/>
                <w:highlight w:val="none"/>
                <w:lang w:val="en-US" w:eastAsia="zh-CN"/>
              </w:rPr>
              <w:t>招标采购专栏</w:t>
            </w:r>
            <w:r>
              <w:rPr>
                <w:rFonts w:hint="eastAsia" w:ascii="宋体" w:hAnsi="宋体"/>
                <w:color w:val="auto"/>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cs="宋体"/>
                <w:bCs/>
                <w:color w:val="000000" w:themeColor="text1"/>
                <w:szCs w:val="21"/>
                <w:highlight w:val="none"/>
                <w:lang w:val="en-US" w:eastAsia="zh-CN"/>
                <w14:textFill>
                  <w14:solidFill>
                    <w14:schemeClr w14:val="tx1"/>
                  </w14:solidFill>
                </w14:textFill>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、联合体供应商，联合体任何一方存在上述不良信用记录的，视同联合体存在不良信用记录。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color w:val="000000"/>
                <w:sz w:val="21"/>
                <w:szCs w:val="21"/>
                <w:lang w:val="en-US" w:eastAsia="zh-CN"/>
              </w:rPr>
              <w:t>供应商存在以下不良信用记录情</w:t>
            </w:r>
            <w:r>
              <w:rPr>
                <w:rFonts w:hint="eastAsia" w:ascii="宋体" w:hAnsi="宋体" w:eastAsia="宋体" w:cs="宋体"/>
                <w:i w:val="0"/>
                <w:caps w:val="0"/>
                <w:color w:val="auto"/>
                <w:spacing w:val="0"/>
                <w:sz w:val="21"/>
                <w:szCs w:val="21"/>
                <w:shd w:val="clear" w:color="auto" w:fill="FFFFFF"/>
                <w:lang w:val="en-US" w:eastAsia="zh-CN"/>
              </w:rPr>
              <w:t>形之一的，不得推荐为中标候选供应商，不得确定为中标供应商（仅以下述渠道查询结果为准，其他网站无效）：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34"/>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34"/>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4"/>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备注三</w:t>
            </w:r>
          </w:p>
        </w:tc>
        <w:tc>
          <w:tcPr>
            <w:tcW w:w="7568" w:type="dxa"/>
            <w:vAlign w:val="center"/>
          </w:tcPr>
          <w:p>
            <w:pPr>
              <w:pStyle w:val="34"/>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cs="宋体"/>
              </w:rPr>
              <w:t>参加开标会时应携带以下资料</w:t>
            </w:r>
            <w:r>
              <w:rPr>
                <w:rFonts w:hint="eastAsia" w:ascii="宋体" w:hAnsi="宋体" w:cs="宋体"/>
                <w:b/>
                <w:bCs/>
              </w:rPr>
              <w:t>原件现场查验</w:t>
            </w:r>
            <w:r>
              <w:rPr>
                <w:rFonts w:hint="eastAsia" w:ascii="宋体" w:hAnsi="宋体" w:cs="宋体"/>
              </w:rPr>
              <w:t>：</w:t>
            </w:r>
            <w:r>
              <w:rPr>
                <w:rFonts w:hint="eastAsia" w:ascii="宋体" w:hAnsi="宋体" w:cs="宋体"/>
                <w:b/>
                <w:bCs/>
                <w:color w:val="FF0000"/>
                <w:szCs w:val="22"/>
                <w:lang w:val="en-US" w:eastAsia="zh-CN"/>
              </w:rPr>
              <w:t>法人身份证明和法人身份证原件或</w:t>
            </w:r>
            <w:r>
              <w:rPr>
                <w:rFonts w:hint="eastAsia" w:ascii="宋体" w:hAnsi="宋体" w:cs="宋体"/>
                <w:b/>
                <w:bCs/>
                <w:color w:val="FF0000"/>
                <w:szCs w:val="22"/>
              </w:rPr>
              <w:t>授权委托代理人身份证和授权委托书原件、</w:t>
            </w:r>
            <w:r>
              <w:rPr>
                <w:rFonts w:hint="eastAsia" w:ascii="宋体" w:hAnsi="宋体" w:cs="宋体"/>
                <w:b/>
                <w:bCs/>
                <w:color w:val="FF0000"/>
                <w:szCs w:val="22"/>
                <w:lang w:val="en-US" w:eastAsia="zh-CN"/>
              </w:rPr>
              <w:t>保证金进账单</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35"/>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12806"/>
      <w:bookmarkStart w:id="14" w:name="_Toc216158625"/>
      <w:bookmarkStart w:id="15" w:name="_Toc363199266"/>
      <w:bookmarkStart w:id="16" w:name="_Toc438648662"/>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w:t>
      </w:r>
      <w:r>
        <w:rPr>
          <w:rFonts w:hint="eastAsia" w:ascii="宋体" w:hAnsi="宋体" w:cs="宋体"/>
          <w:color w:val="auto"/>
          <w:szCs w:val="21"/>
          <w:u w:val="single"/>
          <w:lang w:val="en-US" w:eastAsia="zh-CN"/>
        </w:rPr>
        <w:t>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6"/>
        <w:rPr>
          <w:rFonts w:hint="eastAsia"/>
          <w:color w:val="auto"/>
        </w:rPr>
      </w:pP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霍政办〔2016〕27号文件精神，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5"/>
      <w:bookmarkStart w:id="27" w:name="_Toc382"/>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5"/>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2" w:name="_Toc25805"/>
      <w:bookmarkStart w:id="33" w:name="_Toc8300_WPSOffice_Level1"/>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2757"/>
      <w:bookmarkStart w:id="35" w:name="_Toc16484_WPSOffice_Level1"/>
      <w:bookmarkStart w:id="36" w:name="_Toc363199273"/>
      <w:r>
        <w:rPr>
          <w:rFonts w:hint="eastAsia"/>
          <w:color w:val="auto"/>
          <w:sz w:val="28"/>
          <w:szCs w:val="28"/>
        </w:rPr>
        <w:t>采购合同（甲乙双方可自行拟定）</w:t>
      </w:r>
    </w:p>
    <w:p>
      <w:pPr>
        <w:pStyle w:val="16"/>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2"/>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采购需求</w:t>
      </w:r>
    </w:p>
    <w:tbl>
      <w:tblPr>
        <w:tblW w:w="10128" w:type="dxa"/>
        <w:tblInd w:w="0" w:type="dxa"/>
        <w:shd w:val="clear"/>
        <w:tblLayout w:type="fixed"/>
        <w:tblCellMar>
          <w:top w:w="0" w:type="dxa"/>
          <w:left w:w="0" w:type="dxa"/>
          <w:bottom w:w="0" w:type="dxa"/>
          <w:right w:w="0" w:type="dxa"/>
        </w:tblCellMar>
      </w:tblPr>
      <w:tblGrid>
        <w:gridCol w:w="450"/>
        <w:gridCol w:w="1830"/>
        <w:gridCol w:w="6913"/>
        <w:gridCol w:w="552"/>
        <w:gridCol w:w="383"/>
      </w:tblGrid>
      <w:tr>
        <w:tblPrEx>
          <w:shd w:val="clear"/>
          <w:tblCellMar>
            <w:top w:w="0" w:type="dxa"/>
            <w:left w:w="0" w:type="dxa"/>
            <w:bottom w:w="0" w:type="dxa"/>
            <w:right w:w="0" w:type="dxa"/>
          </w:tblCellMar>
        </w:tblPrEx>
        <w:trPr>
          <w:wAfter w:w="0" w:type="auto"/>
          <w:trHeight w:val="48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序号</w:t>
            </w:r>
          </w:p>
        </w:tc>
        <w:tc>
          <w:tcPr>
            <w:tcW w:w="18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项目名称</w:t>
            </w:r>
          </w:p>
        </w:tc>
        <w:tc>
          <w:tcPr>
            <w:tcW w:w="691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项目特征描述</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单位</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数量</w:t>
            </w:r>
          </w:p>
        </w:tc>
      </w:tr>
      <w:tr>
        <w:tblPrEx>
          <w:tblCellMar>
            <w:top w:w="0" w:type="dxa"/>
            <w:left w:w="0" w:type="dxa"/>
            <w:bottom w:w="0" w:type="dxa"/>
            <w:right w:w="0" w:type="dxa"/>
          </w:tblCellMar>
        </w:tblPrEx>
        <w:trPr>
          <w:wAfter w:w="0" w:type="auto"/>
          <w:trHeight w:val="440" w:hRule="atLeast"/>
        </w:trPr>
        <w:tc>
          <w:tcPr>
            <w:tcW w:w="10128" w:type="dxa"/>
            <w:gridSpan w:val="5"/>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bdr w:val="none" w:color="auto" w:sz="0" w:space="0"/>
                <w:lang w:val="en-US" w:eastAsia="zh-CN" w:bidi="ar"/>
              </w:rPr>
              <w:t>一、地磅项目（3*16米地磅）</w:t>
            </w:r>
          </w:p>
        </w:tc>
      </w:tr>
      <w:tr>
        <w:tblPrEx>
          <w:shd w:val="clear"/>
          <w:tblCellMar>
            <w:top w:w="0" w:type="dxa"/>
            <w:left w:w="0" w:type="dxa"/>
            <w:bottom w:w="0" w:type="dxa"/>
            <w:right w:w="0" w:type="dxa"/>
          </w:tblCellMar>
        </w:tblPrEx>
        <w:trPr>
          <w:wAfter w:w="0" w:type="auto"/>
          <w:trHeight w:val="300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秤台</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（面板14mm）</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规格型号Specifications Model 3米*16米 4节SCS-150T</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最大称量The Largest Weighing 150T</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检定分度Test Index 20kg</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实际分度值Test Index 10kg</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安全过载 Save Overloaded 120%FS</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极限过载 Ultimate Overloaded 150%FS</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台面厚度 Surface Thickness 14mm</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秤体结构 Said Structure U型结构</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主梁规格 Main Specification 340U型槽6道，碳钢Q235材质，封底</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地基形式 Basic Form 浅基坑、无基坑</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精度等级 Accuracy Class C3, OIML III级   （精度高、灵敏度强）</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电源 Power Supply 220VAC(－15％～＋10％),50HZ±2％</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r>
      <w:tr>
        <w:tblPrEx>
          <w:shd w:val="clear"/>
          <w:tblCellMar>
            <w:top w:w="0" w:type="dxa"/>
            <w:left w:w="0" w:type="dxa"/>
            <w:bottom w:w="0" w:type="dxa"/>
            <w:right w:w="0" w:type="dxa"/>
          </w:tblCellMar>
        </w:tblPrEx>
        <w:trPr>
          <w:wAfter w:w="0" w:type="auto"/>
          <w:trHeight w:val="132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柯力PL-D40T传感器</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数字产品，精度高，优于C3。</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材质可分为优质合金钢、不锈钢，密封等级可达到IP68。</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双航空插拔式接口，可串联组秤，免接线盒，整套秤体系统防护等级IP68；防雷击浪涌能力强，可达80KA；承载钢球配橡胶防尘罩，可在泥沙、油污等恶劣环境下长期使用。</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采用双屏蔽防鼠咬导线，防啮齿动物撕咬破坏导线； 产品现场安装快捷方便；质保一年。</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r>
      <w:tr>
        <w:tblPrEx>
          <w:tblCellMar>
            <w:top w:w="0" w:type="dxa"/>
            <w:left w:w="0" w:type="dxa"/>
            <w:bottom w:w="0" w:type="dxa"/>
            <w:right w:w="0" w:type="dxa"/>
          </w:tblCellMar>
        </w:tblPrEx>
        <w:trPr>
          <w:wAfter w:w="0" w:type="auto"/>
          <w:trHeight w:val="92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c>
          <w:tcPr>
            <w:tcW w:w="18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柯力D2008防作弊仪表</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配备RS-232C（RS422/RS485选配）通讯口，配备电流环大屏幕通讯口；配备标准并行打印接口。连接方式Connection mode RS485方式通讯距离Communication distance 约1000米接传感器个数Then the number of sensors 10个通讯协议Communication protocol 宁波柯力， 传感器电源Sensor power supply  DC 10V，0.8A（Max）</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显示范围Display range －325000～325000（d=10）</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r>
      <w:tr>
        <w:tblPrEx>
          <w:shd w:val="clear"/>
          <w:tblCellMar>
            <w:top w:w="0" w:type="dxa"/>
            <w:left w:w="0" w:type="dxa"/>
            <w:bottom w:w="0" w:type="dxa"/>
            <w:right w:w="0" w:type="dxa"/>
          </w:tblCellMar>
        </w:tblPrEx>
        <w:trPr>
          <w:wAfter w:w="0" w:type="auto"/>
          <w:trHeight w:val="40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柯力J6防雷接线盒</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连接所有数字传感器，经过AD转换通过信号线把数据传输给数字仪表，不锈钢材质密封处理，防护等级IP68。</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r>
      <w:tr>
        <w:tblPrEx>
          <w:tblCellMar>
            <w:top w:w="0" w:type="dxa"/>
            <w:left w:w="0" w:type="dxa"/>
            <w:bottom w:w="0" w:type="dxa"/>
            <w:right w:w="0" w:type="dxa"/>
          </w:tblCellMar>
        </w:tblPrEx>
        <w:trPr>
          <w:wAfter w:w="0" w:type="auto"/>
          <w:trHeight w:val="312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7寸大屏</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远距离观察称重结果，可作为称重装置的辅助显示器。</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与计算机连接，作为系统的辅助显示器。</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称重仪表须配置相应的通讯接口。</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基本功能:</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动态扫描锁存技术</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高亮度数码块，特制的光学滤波薄膜，视角范围大。</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显示系统或仪表输出的毛重</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技术参数:</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显示字符：6位LED字高125mm数码管；</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电源：AC 187～242V；49～51Hz；</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通讯接口：RS232方式/电流环方式；</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使用环境温度：0～40℃；</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使用环境湿度：≤85％RH。</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个</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r>
      <w:tr>
        <w:tblPrEx>
          <w:shd w:val="clear"/>
          <w:tblCellMar>
            <w:top w:w="0" w:type="dxa"/>
            <w:left w:w="0" w:type="dxa"/>
            <w:bottom w:w="0" w:type="dxa"/>
            <w:right w:w="0" w:type="dxa"/>
          </w:tblCellMar>
        </w:tblPrEx>
        <w:trPr>
          <w:wAfter w:w="0" w:type="auto"/>
          <w:trHeight w:val="94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网络版智能称重软件</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对日常过磅常用信息进行预存，集成销售、进料、车牌识别、抓拍、客户管理、财务管理、合同管理等模块，如车号、货号、收货单位、发货单位、规格等输入时直接点鼠标选择即可，减少人工输入汉字的麻烦，可按时间段进行查询统计汇总称重数据，重量不能手工输入，设置司磅员登陆密码。(可定制功能)</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r>
      <w:tr>
        <w:tblPrEx>
          <w:shd w:val="clear"/>
          <w:tblCellMar>
            <w:top w:w="0" w:type="dxa"/>
            <w:left w:w="0" w:type="dxa"/>
            <w:bottom w:w="0" w:type="dxa"/>
            <w:right w:w="0" w:type="dxa"/>
          </w:tblCellMar>
        </w:tblPrEx>
        <w:trPr>
          <w:wAfter w:w="0" w:type="auto"/>
          <w:trHeight w:val="60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运输费用及安装</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rPr>
                <w:rFonts w:hint="eastAsia" w:ascii="宋体" w:hAnsi="宋体" w:eastAsia="宋体" w:cs="宋体"/>
                <w:i w:val="0"/>
                <w:color w:val="000000"/>
                <w:sz w:val="18"/>
                <w:szCs w:val="18"/>
                <w:u w:val="none"/>
              </w:rPr>
            </w:pP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r>
      <w:tr>
        <w:tblPrEx>
          <w:tblCellMar>
            <w:top w:w="0" w:type="dxa"/>
            <w:left w:w="0" w:type="dxa"/>
            <w:bottom w:w="0" w:type="dxa"/>
            <w:right w:w="0" w:type="dxa"/>
          </w:tblCellMar>
        </w:tblPrEx>
        <w:trPr>
          <w:trHeight w:val="3125"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车牌自动识别系统</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2"/>
                <w:szCs w:val="12"/>
                <w:u w:val="none"/>
              </w:rPr>
            </w:pPr>
            <w:r>
              <w:rPr>
                <w:rFonts w:hint="eastAsia" w:ascii="宋体" w:hAnsi="宋体" w:eastAsia="宋体" w:cs="宋体"/>
                <w:i w:val="0"/>
                <w:color w:val="000000"/>
                <w:kern w:val="0"/>
                <w:sz w:val="12"/>
                <w:szCs w:val="12"/>
                <w:u w:val="none"/>
                <w:bdr w:val="none" w:color="auto" w:sz="0" w:space="0"/>
                <w:lang w:val="en-US" w:eastAsia="zh-CN" w:bidi="ar"/>
              </w:rPr>
              <w:t>1</w:t>
            </w:r>
            <w:r>
              <w:rPr>
                <w:rFonts w:hint="eastAsia" w:ascii="宋体" w:hAnsi="宋体" w:eastAsia="宋体" w:cs="宋体"/>
                <w:i w:val="0"/>
                <w:color w:val="000000"/>
                <w:kern w:val="0"/>
                <w:sz w:val="18"/>
                <w:szCs w:val="18"/>
                <w:u w:val="none"/>
                <w:lang w:val="en-US" w:eastAsia="zh-CN" w:bidi="ar"/>
              </w:rPr>
              <w:t>、 摄像机类型：1/1.8" 逐行扫描CMOS，200万像素彩色逐行扫描CMOS高清智能摄像机。</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 接口检查：1路RJ45 10M/100M/1000M自适应以太网口，1路RS-485 接口，1路RS-232接口，4路IO输入接口，1路IO输出接口，2路继电器输出，1个SYNC接口，1路BNC输出接口，1路音频输入，1路音频输出，1路TF卡插槽，1路USB接口，3颗LED补光灯。</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 ★最小照度：彩色0.002Lux@(F1.2,AGC ON)，黑白0.0002Lux @(F1.2,AGC ON)。</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 视频压缩标准：H.265、H.264（Main Profile，High Profile,Baseline Profile)、M=JPEG、MPEG4。</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 Smart 264编码：在静止场景下，图片质量无明显劣化得条件下，设备开启Smart264功能后，码流可降低至1/3；帧率：1-25帧/秒可设置。</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 音频编码：支持G.711a、G.711u、AAC、ADPCM音频编码标准，可根据需要扩展。</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 图像分辨率：包含OSD，最大为1920*1592。</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 视频亮度自适应：对准光源并调节光源亮度从暗到亮，监视画面能根据光源亮度变化进行自动调节至正常显示。</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 宽动态范围：120db；信噪比≥60dB。</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10、 三码输出：可同时输出主码流、子码流及第三路码流三种不同分辨率的视频图像。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11、 视频压缩格式设置：可设置视频压缩格式为H.265（默认）或者MJPEG格式。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12、 TF卡存储功能：可在网络连接失效情况下，将抓拍的图片存储至设备自带的TF卡中，支持自动识别格式化，并支持图片检索，自动覆盖，自动上传功能。</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13、 网络数据存储功能：可将数据直接存储在通过网络连接的存储设备中。</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14、 断网续传功能：在正常工作情况下，当网络断开时，可将抓拍图片和录像文件存储于样机内置TF卡内，当网络恢复时，可继续上传图片和录像文件到客户端。</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15、 ★新能源车牌识别功能：在天气晴朗无雾，号牌无遮挡，无污损的条件进行测试，白天测试时的环境光照度不低于200lux，晚上不高于30lux。可对车道内的新能源车车牌进行识别。</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16、 抗干扰功能：视频模式下，设备具备一定的抗干扰功能，支持空拍和同一辆车重复抓拍的过滤。</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17、 车牌识别范围：支持对车牌宽度范围从80*25到1200*300像素、水平倾斜角度范围从0到40度的车牌进行识别。</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18、 支持TCP/IP、HTTPS、FTP、DSN、RTP、RTSP、RTC、NTP、UpnP、IPv6、DHCP、802.1x等网络协议。</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19、 ★倾斜车牌识别功能：在倾斜的情况下可对车辆的特征信息进行识别，包括车牌号码、车身颜色、车辆类型、车辆品牌以及车辆子品牌等功能</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20、 车流量统计功能：支持对通过车辆进行车流量统计功能。</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21、 ★车辆子品牌识别功能：可识别常见3000种车辆子品牌种类，识别准确率白天≥97%，夜间≥95%。</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22、 黑白名单上传功能：支持黑白名单上传功能，1S内同步128条数据；黑白名单控制功能：可根据存储的黑白名单自动控制外接道闸开/管。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23、 浪涌（冲击）抗扰度：符合GB/T 17626.5-2008中规定的，AC电源端口：线-线等级2、线-地6KV；其他电\信号线端口：线-地等级2.</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24、 泄漏电流≤5mA；绝缘电阻：受潮处理后，≥2MΩ；抗电强度：1.5KV 1min，无飞弧和击穿现象。</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25、 外壳防护等级：IP67；工作温度：-40℃~80℃；功耗&lt;15w；电源：AC220V +/-25%的供电条件下正常工作。</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标★项为产品关键性能参数，投标时需提供公安部或第三方权威机构检测报告并加盖厂家公章复印件。</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二、补光设备：1、 16颗原装进口大功率（暖光）LED常亮灯（带N为暖光灯）。</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 三车道环境补光灯，最佳补光距离16m～25m；最大功率30W。</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3、 ★补光灯自带光敏控制，在低</w:t>
            </w:r>
            <w:bookmarkStart w:id="102" w:name="_GoBack"/>
            <w:bookmarkEnd w:id="102"/>
            <w:r>
              <w:rPr>
                <w:rFonts w:hint="eastAsia" w:ascii="宋体" w:hAnsi="宋体" w:eastAsia="宋体" w:cs="宋体"/>
                <w:i w:val="0"/>
                <w:color w:val="000000"/>
                <w:kern w:val="0"/>
                <w:sz w:val="18"/>
                <w:szCs w:val="18"/>
                <w:u w:val="none"/>
                <w:lang w:val="en-US" w:eastAsia="zh-CN" w:bidi="ar"/>
              </w:rPr>
              <w:t>照度下自动开启，低照度阀值可设。</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4、 支持自闪、跟随、自动频闪（外部摄像机触发）模式。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5、 ★频率0-250HZ可调；支持通过调整占空比1%~39%进行亮度调节。</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6、 支持在频率≥250HZ或占空比≥39%时进行自我保护，自动熄灭。</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7、 ★支持爆闪功能，爆闪持续时间、延迟时间及最小间隔时间可设。</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 支持通过同步输出端口级联。</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 可远程显示补光灯故障、正常、开启、关闭等工作状态。</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10、 电源电压在AC80V~264V范围内变化时，设备能正常工作。</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11、 工作环境-40℃~85℃。</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12、 防护等级IP66。</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13、 可外配光栅可有效减少周边光污染。</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标★项为产品关键性能参数，投标时需提供公安部或第三方权威机构检测报告并加盖厂家公章。</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★提供针对本项目的售后服务承诺函原件。</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r>
      <w:tr>
        <w:tblPrEx>
          <w:shd w:val="clear"/>
          <w:tblCellMar>
            <w:top w:w="0" w:type="dxa"/>
            <w:left w:w="0" w:type="dxa"/>
            <w:bottom w:w="0" w:type="dxa"/>
            <w:right w:w="0" w:type="dxa"/>
          </w:tblCellMar>
        </w:tblPrEx>
        <w:trPr>
          <w:wAfter w:w="0" w:type="auto"/>
          <w:trHeight w:val="74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w:t>
            </w:r>
          </w:p>
        </w:tc>
        <w:tc>
          <w:tcPr>
            <w:tcW w:w="183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主信号线缆</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采用6芯双屏蔽信号线，材质为铜</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套</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r>
      <w:tr>
        <w:tblPrEx>
          <w:shd w:val="clear"/>
          <w:tblCellMar>
            <w:top w:w="0" w:type="dxa"/>
            <w:left w:w="0" w:type="dxa"/>
            <w:bottom w:w="0" w:type="dxa"/>
            <w:right w:w="0" w:type="dxa"/>
          </w:tblCellMar>
        </w:tblPrEx>
        <w:trPr>
          <w:wAfter w:w="0" w:type="auto"/>
          <w:trHeight w:val="680" w:hRule="atLeast"/>
        </w:trPr>
        <w:tc>
          <w:tcPr>
            <w:tcW w:w="10128" w:type="dxa"/>
            <w:gridSpan w:val="5"/>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bdr w:val="none" w:color="auto" w:sz="0" w:space="0"/>
                <w:lang w:val="en-US" w:eastAsia="zh-CN" w:bidi="ar"/>
              </w:rPr>
              <w:t>二、监控项目</w:t>
            </w:r>
          </w:p>
        </w:tc>
      </w:tr>
      <w:tr>
        <w:tblPrEx>
          <w:shd w:val="clear"/>
          <w:tblCellMar>
            <w:top w:w="0" w:type="dxa"/>
            <w:left w:w="0" w:type="dxa"/>
            <w:bottom w:w="0" w:type="dxa"/>
            <w:right w:w="0" w:type="dxa"/>
          </w:tblCellMar>
        </w:tblPrEx>
        <w:trPr>
          <w:wAfter w:w="0" w:type="auto"/>
          <w:trHeight w:val="130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摄像头（枪机）</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 具有不小于1/2.8 inch逐行扫描200万像素CMOS图像传感器。</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 焦距：4.mm/6.0mm/8.0mm/12.0mm可选。</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3. 图像分辨力不小于1100线，亮度等级不小于11级。</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4. ★最低照度：≤0.0005lx（彩色）、≤0.0001lx（黑白），提供公安部权威机构出具的报告加盖原厂公章复印件。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5. 支持H.265、H.264视频编码，支持数字降噪、透雾功能、区域遮盖、走廊模式。</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6. ★具备宽动态能力，宽动态能力综合评分得分不低于136，支持宽动态条纹抑制，提供公安部权威机构出具的报告加盖原厂公章复印件。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7. ★具有字符叠加（OSD）功能，字体颜色、描边、背景、空心可设置，可在视频图像叠加图片，叠加的OSD可在屏幕中滚动显示，提供公安部权威机构出具的报告加盖原厂公章复印件。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8. ★支持智能红外功能，可根据被摄物的距离自动调节红外光功率密度，红外作用距离可达250m，提供公安部权威机构出具的报告加盖原厂公章复印件。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9. 支持区域入侵、越界入侵、移动侦测等智能行为分析。</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10. ★为了保证前端设备接入访问的安全性，支持密码复杂度提示、故障报警功能，支持认证模式设置，设置选项包括无、basic、和digest三种，提供公安部权威机构出具的报告加盖原厂公章复印件。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11. ★支持网关ARP绑定功能，摄像机可通过IE浏览器添加并绑定所在网段网关的MAC地址，当其它终端设备访问摄像机时，在使用正确网关MAC地址时可正常访问摄像机，当使用错误网关的MAC地址时不能访问摄像机，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12. 支持TCP/IP、HTTP、HTTPS、RTSP、SNMP、组播网络协议。</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13. ★支持安全接入功能，当摄像机在管理平台软件注册并上线后，只能通过管理平台软件配置和管理摄像机，不能通过其他方式登录、配置和管理摄像机，提供公安部权威机构出具的报告加盖原厂公章复印件。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14. ★支持友好密码功能，启用该策略时与摄像机处于同一网段的地址可以使用摄像机出厂密码登录和访问，跨网段的地址只能使用复杂度为高的密码登录和访问摄像机，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15. ★电源电压在DC12V±35%范围内变化时，摄像机可正常工作，当直流电源接口正负反接时，摄像机可正常工作，提供公安部权威机构出具的报告盖章复印件。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16. 支持不低于IP66防护等级。</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17. ★符合GA/T1127-2013安全防范视频监控摄像机通用技术要求，提供公安部权威机构出具的报告加盖原厂公章复印件。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★提供针对本项目的售后服务承诺函原件。</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w:t>
            </w:r>
          </w:p>
        </w:tc>
      </w:tr>
      <w:tr>
        <w:tblPrEx>
          <w:shd w:val="clear"/>
          <w:tblCellMar>
            <w:top w:w="0" w:type="dxa"/>
            <w:left w:w="0" w:type="dxa"/>
            <w:bottom w:w="0" w:type="dxa"/>
            <w:right w:w="0" w:type="dxa"/>
          </w:tblCellMar>
        </w:tblPrEx>
        <w:trPr>
          <w:wAfter w:w="0" w:type="auto"/>
          <w:trHeight w:val="416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摄像头（半球）</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1.具有不小于1/2.7英寸逐行扫描200万像素CMOS图像传感器。</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2.焦距：2.8mm/4mm/6mm，焦距可选。</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3.支持H.265、H.264视频编码；分辨率1920*1080；最低照度：≤0.005lx（彩色）、≤0.0005lx（黑白）。</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4.★支持OSD显示功能，字体颜色、描边、背景、空心可设置，叠加的OSD可以在屏幕中滚动显示, 可以叠加图片格式的OSD，提供公安部权威机构出具的报告加盖原厂公章复印件。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5.支持数字降噪、透雾功能、区域遮盖、走廊模式、宽动态功能；支持区域入侵、越界入侵、快速移动智能行为分析。</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6.★具有多种场景设置供选择，可手动切换或根据时间、光照范围和仰角实现自动切换功能，提供公安部权威机构出具的报告加盖原厂公章复印件。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7.★静止场景，相同图像质量下，使用H.265/H.254编码格式开启智能编码高级模式与基础模式相比，码流可节省码流85%，提供公安部权威机构出具的报告加盖原厂公章复印件。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8.★支持密码复杂度提示、非法登陆、telnet访问方式默认关闭、认证模式支持（无、basic、digest）三种，网关ARP绑定功能，视频水印功能，提供公安部权威机构出具的报告加盖原厂公章复印件。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9.支持TCP/IP、HTTP、HTTPS、RTSP、DHCP、NTP网络协议。</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10.支持不低于IP66防护等级。</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11.★支持智能红外功能，红外灯开启时，摄像机可根据被摄物的距离自动调节红外光功率密度，提供公安部权威机构出具的报告加盖原厂公章复印件。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12.支持DC12V±25%供电。</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13.★支持电源备份功能，摄像机可同时采用DC12V和POE供电，当一路电源停止供电后，摄像机可正常工作，提供公安部权威机构出具的报告加盖原厂公章复印件。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14.符合GA/T1127-2013安全防范视频监控摄像机通用技术要求。</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★提供针对本项目的售后服务承诺函原件。</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w:t>
            </w:r>
          </w:p>
        </w:tc>
      </w:tr>
      <w:tr>
        <w:tblPrEx>
          <w:shd w:val="clear"/>
          <w:tblCellMar>
            <w:top w:w="0" w:type="dxa"/>
            <w:left w:w="0" w:type="dxa"/>
            <w:bottom w:w="0" w:type="dxa"/>
            <w:right w:w="0" w:type="dxa"/>
          </w:tblCellMar>
        </w:tblPrEx>
        <w:trPr>
          <w:trHeight w:val="2978"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16路硬盘录像机</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1. 2盘位硬盘录像机，可接入不少于16路的1080P高清网络视频。</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 ★具有不少于2个RJ45 10M/100M/1000M自适应以太网口、1个HDMI接口、1个VGA接口、1个CVBS视频输出接口、1对音频输入/输出接口、2个USB2.0、1个USB3.0接口、8路报警输入/2路报警输出接口、1个RS232、1个RS485接口、2个SATA3.0接口，提供公安部检测机构产品专业认证测试报告。</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3. ★具有1个硬盘指示灯（HD）、运行指示灯（RUN）、网络运行状态指示灯（NET）、云状态指示灯、电源指示灯，提供公安部检测机构产品专业认证测试报告复印件加盖原厂公章复印件。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4. 支持4路12MP视频图像同时输出，或4路4K视频图像同时解码，或16路1920×1080分辨率的H265/264格式的IPC视频同时解码。</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5. ★支持指定网段搜索添加IPC，支持一键添加局域网内IPC出图像，自动修改IPC的IP地址，提供公安部权威机构出具的报告复印件加盖原厂公章复印件。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6. 支持HDMI1与VGA接口之间输出相同的视频画面，支持HDMI2与VGA接口之间输出不同的视频画面。</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7. 支持标准GB/T28181协议、标准ONVIF协议、RSTP、自定义等协议的网络摄像机接入。</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8. 支持对接入的IPC进行带宽检测，可查看IPC的总带宽。</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9. 支持1/4/6/8/9/16分屏预览模式，支持多屏同时预览，同时轮切，支持预览界面拖动窗格进行图像位置互换。</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10. ★支持1/2/3画面的走廊模式回放，支持对IPC进行图像镜像配置，提供公安部检测机构产品专业认证测试报告复印件加盖原厂公章复印件。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11. ★支持自动开启摄像机智能编码和H.265，提供公安部检测机构产品专业认证测试报告。</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12. ★支持对前端IPC直接开启音频及语音对讲，并在预览界面叠加图标OSD，提供公安部检测机构产品专业认证测试报告复印件加盖原厂公章复印件。</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13. 支持配额存储配置，可对摄像机分配不同的存储空间，支持硬盘SMART信息检测，支持前端摄像机断网恢复后，自动接收摄像机SD卡存储的视频图像。</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14. 支持多种基本回放模式：标签回放、事件回放、外部文件回放、日志回放，支持回放断电、断网前一秒的录像。</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15. 支持16路人机同步回放，支持1/8、1/4、1/2、1、2、4、8、16、32、64、128、256倍速正放；1、2、4、8、16、32、64、128、256倍速倒放。</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16. ★支持录像剪辑，并用不同颜色标记处剪辑的录像时间范围，提供公安部检测机构产品专业认证测试报告。</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17. 支持运动检测、视频丢失、音频检测、遮挡检测、开关量等多种告警上报。</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18. ★支持配置运动检测物体大小、告警持续时长、灵敏度，提供公安部检测机构产品专业认证测试报告。</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19. 支持告警联动动作，包括：声音报警、发送邮件、联动存储、联动报警输出、预置位、抓图、报警弹窗、联动预览等。</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20. 支持将设备MAC地址和指定的网关绑定，只有通过绑定的网关才可以远程访问设备。</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21. 支持不低于3种语音对讲：可通过NVR客户端和本机下的IPC进行双向语音对讲；可通过NVR本机和本机下的IPC之间语音对讲功能；可通过NVR客户端和本机进行双向语音对讲。</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22. 支持IPC离线状态原因说明，包括设备连接中、用户名密码错误、网络不通、请求媒体流失败、媒体流中断、带宽不足、弱密码拒绝访问。</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23. ★支持4路人脸识别功能，支持添加黑/白名单人脸库，支持实时比对人脸功能。对符合设置条件的人脸触发报警或者联动功能，提供公安部检测机构产品专业认证测试报告。</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24. 支持人数统计功能功能，根据绊线检测告警，快速统计进入区域人数、离开区域人数以及该区域总人数，支持单个通道或多个通道按照日、月、年的方式以柱状图或列表的方式生成统计的报表，并可通过U盘或移动硬盘等外置设备导出统计的报表数据。</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25. ★支持对NVR进行云升级，支持对NVR接入的IPC进行单个或批量云升级；提供公安部检测机构产品专业认证测试报告复印件加盖原厂公章</w:t>
            </w:r>
            <w:r>
              <w:rPr>
                <w:rStyle w:val="46"/>
                <w:bdr w:val="none" w:color="auto" w:sz="0" w:space="0"/>
                <w:lang w:val="en-US" w:eastAsia="zh-CN" w:bidi="ar"/>
              </w:rPr>
              <w:t>复印件</w:t>
            </w:r>
            <w:r>
              <w:rPr>
                <w:rStyle w:val="47"/>
                <w:bdr w:val="none" w:color="auto" w:sz="0" w:space="0"/>
                <w:lang w:val="en-US" w:eastAsia="zh-CN" w:bidi="ar"/>
              </w:rPr>
              <w:t>。</w:t>
            </w:r>
            <w:r>
              <w:rPr>
                <w:rStyle w:val="47"/>
                <w:bdr w:val="none" w:color="auto" w:sz="0" w:space="0"/>
                <w:lang w:val="en-US" w:eastAsia="zh-CN" w:bidi="ar"/>
              </w:rPr>
              <w:br w:type="textWrapping"/>
            </w:r>
            <w:r>
              <w:rPr>
                <w:rStyle w:val="47"/>
                <w:bdr w:val="none" w:color="auto" w:sz="0" w:space="0"/>
                <w:lang w:val="en-US" w:eastAsia="zh-CN" w:bidi="ar"/>
              </w:rPr>
              <w:t>26. 支持手机APP客户端（兼容安卓和苹果系统）、IPAD客户端、PC客户端远程访问。</w:t>
            </w:r>
            <w:r>
              <w:rPr>
                <w:rStyle w:val="47"/>
                <w:bdr w:val="none" w:color="auto" w:sz="0" w:space="0"/>
                <w:lang w:val="en-US" w:eastAsia="zh-CN" w:bidi="ar"/>
              </w:rPr>
              <w:br w:type="textWrapping"/>
            </w:r>
            <w:r>
              <w:rPr>
                <w:rStyle w:val="47"/>
                <w:bdr w:val="none" w:color="auto" w:sz="0" w:space="0"/>
                <w:lang w:val="en-US" w:eastAsia="zh-CN" w:bidi="ar"/>
              </w:rPr>
              <w:t>27.★与公司视频监控平台进行无缝对接，所产生的费用由中标公司自行承担，提供无缝对接承诺书。</w:t>
            </w:r>
            <w:r>
              <w:rPr>
                <w:rStyle w:val="47"/>
                <w:bdr w:val="none" w:color="auto" w:sz="0" w:space="0"/>
                <w:lang w:val="en-US" w:eastAsia="zh-CN" w:bidi="ar"/>
              </w:rPr>
              <w:br w:type="textWrapping"/>
            </w:r>
            <w:r>
              <w:rPr>
                <w:rStyle w:val="47"/>
                <w:bdr w:val="none" w:color="auto" w:sz="0" w:space="0"/>
                <w:lang w:val="en-US" w:eastAsia="zh-CN" w:bidi="ar"/>
              </w:rPr>
              <w:t>★提供针对本项目的售后服务承诺函原件。</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r>
      <w:tr>
        <w:tblPrEx>
          <w:shd w:val="clear"/>
          <w:tblCellMar>
            <w:top w:w="0" w:type="dxa"/>
            <w:left w:w="0" w:type="dxa"/>
            <w:bottom w:w="0" w:type="dxa"/>
            <w:right w:w="0" w:type="dxa"/>
          </w:tblCellMar>
        </w:tblPrEx>
        <w:trPr>
          <w:wAfter w:w="0" w:type="auto"/>
          <w:trHeight w:val="242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4</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24口网络交换机</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★固化千兆电接口≥24个，千兆光接口≥4个，千兆复用电接口≥2个；</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2.交换容量≥192Gbps，包转发率≥42Mpps；</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3.MAC地址表大小≥8K；</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 xml:space="preserve">4.★为保证设备稳定运行，接口防浪涌能力≥10kv，提供第三方权威机构测试报告复印件证明，并加盖厂商公章或投标专用章；  </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5.所投设备具有节能设计，满载工作情况下功耗≤22W；</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6.工作温度：-5-55°</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7.支持快速检测链路的通断和光纤链路的单向性，并支持端口下的环路检测功能</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8.符合国家低碳环保等政策要求，支持IEEE 802.3az标准的EEE节能技术；</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9.支持SNMP、CLI(Telnet/Console)、Syslog、NTP、TFTP、Web；</w:t>
            </w:r>
            <w:r>
              <w:rPr>
                <w:rFonts w:hint="eastAsia" w:ascii="宋体" w:hAnsi="宋体" w:eastAsia="宋体" w:cs="宋体"/>
                <w:i w:val="0"/>
                <w:color w:val="000000"/>
                <w:kern w:val="0"/>
                <w:sz w:val="18"/>
                <w:szCs w:val="18"/>
                <w:u w:val="none"/>
                <w:bdr w:val="none" w:color="auto" w:sz="0" w:space="0"/>
                <w:lang w:val="en-US" w:eastAsia="zh-CN" w:bidi="ar"/>
              </w:rPr>
              <w:br w:type="textWrapping"/>
            </w:r>
            <w:r>
              <w:rPr>
                <w:rFonts w:hint="eastAsia" w:ascii="宋体" w:hAnsi="宋体" w:eastAsia="宋体" w:cs="宋体"/>
                <w:i w:val="0"/>
                <w:color w:val="000000"/>
                <w:kern w:val="0"/>
                <w:sz w:val="18"/>
                <w:szCs w:val="18"/>
                <w:u w:val="none"/>
                <w:bdr w:val="none" w:color="auto" w:sz="0" w:space="0"/>
                <w:lang w:val="en-US" w:eastAsia="zh-CN" w:bidi="ar"/>
              </w:rPr>
              <w:t>资质要求：提供国家强制性3C认证证书复印件。</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r>
      <w:tr>
        <w:tblPrEx>
          <w:shd w:val="clear"/>
          <w:tblCellMar>
            <w:top w:w="0" w:type="dxa"/>
            <w:left w:w="0" w:type="dxa"/>
            <w:bottom w:w="0" w:type="dxa"/>
            <w:right w:w="0" w:type="dxa"/>
          </w:tblCellMar>
        </w:tblPrEx>
        <w:trPr>
          <w:wAfter w:w="0" w:type="auto"/>
          <w:trHeight w:val="52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5</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WD监控硬盘</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WD4000G监控级硬盘</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块</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r>
      <w:tr>
        <w:tblPrEx>
          <w:tblCellMar>
            <w:top w:w="0" w:type="dxa"/>
            <w:left w:w="0" w:type="dxa"/>
            <w:bottom w:w="0" w:type="dxa"/>
            <w:right w:w="0" w:type="dxa"/>
          </w:tblCellMar>
        </w:tblPrEx>
        <w:trPr>
          <w:wAfter w:w="0" w:type="auto"/>
          <w:trHeight w:val="52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支架</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三层万向节/钢/白 喷塑/100×100×92.5mm</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付</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6</w:t>
            </w:r>
          </w:p>
        </w:tc>
      </w:tr>
      <w:tr>
        <w:tblPrEx>
          <w:shd w:val="clear"/>
          <w:tblCellMar>
            <w:top w:w="0" w:type="dxa"/>
            <w:left w:w="0" w:type="dxa"/>
            <w:bottom w:w="0" w:type="dxa"/>
            <w:right w:w="0" w:type="dxa"/>
          </w:tblCellMar>
        </w:tblPrEx>
        <w:trPr>
          <w:wAfter w:w="0" w:type="auto"/>
          <w:trHeight w:val="52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7</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配件</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通用型抱杆支架,加长型 、三维可调安装支架电源线、网线、监控电源、等配套。</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项</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r>
      <w:tr>
        <w:tblPrEx>
          <w:shd w:val="clear"/>
          <w:tblCellMar>
            <w:top w:w="0" w:type="dxa"/>
            <w:left w:w="0" w:type="dxa"/>
            <w:bottom w:w="0" w:type="dxa"/>
            <w:right w:w="0" w:type="dxa"/>
          </w:tblCellMar>
        </w:tblPrEx>
        <w:trPr>
          <w:wAfter w:w="0" w:type="auto"/>
          <w:trHeight w:val="52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8</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网络机柜</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供交换机、硬盘录像机使用；1米。</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r>
      <w:tr>
        <w:tblPrEx>
          <w:shd w:val="clear"/>
          <w:tblCellMar>
            <w:top w:w="0" w:type="dxa"/>
            <w:left w:w="0" w:type="dxa"/>
            <w:bottom w:w="0" w:type="dxa"/>
            <w:right w:w="0" w:type="dxa"/>
          </w:tblCellMar>
        </w:tblPrEx>
        <w:trPr>
          <w:wAfter w:w="0" w:type="auto"/>
          <w:trHeight w:val="520" w:hRule="atLeast"/>
        </w:trPr>
        <w:tc>
          <w:tcPr>
            <w:tcW w:w="450"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9</w:t>
            </w:r>
          </w:p>
        </w:tc>
        <w:tc>
          <w:tcPr>
            <w:tcW w:w="183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监控显示器</w:t>
            </w:r>
          </w:p>
        </w:tc>
        <w:tc>
          <w:tcPr>
            <w:tcW w:w="6913"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23寸显示器用于观看监控实时视频</w:t>
            </w:r>
          </w:p>
        </w:tc>
        <w:tc>
          <w:tcPr>
            <w:tcW w:w="552"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台</w:t>
            </w:r>
          </w:p>
        </w:tc>
        <w:tc>
          <w:tcPr>
            <w:tcW w:w="383" w:type="dxa"/>
            <w:tcBorders>
              <w:top w:val="single" w:color="000000" w:sz="4" w:space="0"/>
              <w:left w:val="single" w:color="000000" w:sz="4" w:space="0"/>
              <w:bottom w:val="single" w:color="000000" w:sz="4" w:space="0"/>
              <w:right w:val="single" w:color="000000" w:sz="4" w:space="0"/>
            </w:tcBorders>
            <w:shd w:val="clear"/>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bdr w:val="none" w:color="auto" w:sz="0" w:space="0"/>
                <w:lang w:val="en-US" w:eastAsia="zh-CN" w:bidi="ar"/>
              </w:rPr>
              <w:t>3</w:t>
            </w:r>
          </w:p>
        </w:tc>
      </w:tr>
    </w:tbl>
    <w:p>
      <w:pPr>
        <w:pStyle w:val="2"/>
        <w:rPr>
          <w:rFonts w:hint="eastAsia"/>
          <w:lang w:eastAsia="zh-CN"/>
        </w:rPr>
      </w:pPr>
    </w:p>
    <w:p>
      <w:pPr>
        <w:pStyle w:val="2"/>
        <w:ind w:right="-420" w:rightChars="-200"/>
        <w:rPr>
          <w:rFonts w:hint="eastAsia"/>
          <w:lang w:eastAsia="zh-CN"/>
        </w:rPr>
      </w:pPr>
      <w:r>
        <w:rPr>
          <w:rFonts w:hint="eastAsia" w:ascii="宋体" w:hAnsi="宋体" w:eastAsia="宋体" w:cs="宋体"/>
          <w:b/>
          <w:i w:val="0"/>
          <w:color w:val="000000"/>
          <w:kern w:val="0"/>
          <w:sz w:val="22"/>
          <w:szCs w:val="22"/>
          <w:u w:val="none"/>
          <w:lang w:val="en-US" w:eastAsia="zh-CN" w:bidi="ar"/>
        </w:rPr>
        <w:t>备注：1、说明：货物或服务需求如有参考品牌，仅作为说明，没有限制性，投标人在投标中可以选用替代标准，但这些替代标准要优于或相当于采购单位要求的标准并提供证明材料，以满足采购人的需要。</w:t>
      </w:r>
      <w:r>
        <w:rPr>
          <w:rFonts w:hint="eastAsia" w:ascii="宋体" w:hAnsi="宋体" w:eastAsia="宋体" w:cs="宋体"/>
          <w:b/>
          <w:i w:val="0"/>
          <w:color w:val="000000"/>
          <w:kern w:val="0"/>
          <w:sz w:val="22"/>
          <w:szCs w:val="22"/>
          <w:u w:val="none"/>
          <w:lang w:val="en-US" w:eastAsia="zh-CN" w:bidi="ar"/>
        </w:rPr>
        <w:br w:type="textWrapping"/>
      </w:r>
      <w:r>
        <w:rPr>
          <w:rFonts w:hint="eastAsia" w:ascii="宋体" w:hAnsi="宋体" w:eastAsia="宋体" w:cs="宋体"/>
          <w:b/>
          <w:i w:val="0"/>
          <w:color w:val="000000"/>
          <w:kern w:val="0"/>
          <w:sz w:val="22"/>
          <w:szCs w:val="22"/>
          <w:u w:val="none"/>
          <w:lang w:val="en-US" w:eastAsia="zh-CN" w:bidi="ar"/>
        </w:rPr>
        <w:t xml:space="preserve">     2、要求标有“★”参数必须满足，如不满足作废标处理。</w:t>
      </w:r>
      <w:r>
        <w:rPr>
          <w:rFonts w:hint="eastAsia" w:ascii="宋体" w:hAnsi="宋体" w:eastAsia="宋体" w:cs="宋体"/>
          <w:b/>
          <w:i w:val="0"/>
          <w:color w:val="000000"/>
          <w:kern w:val="0"/>
          <w:sz w:val="22"/>
          <w:szCs w:val="22"/>
          <w:u w:val="none"/>
          <w:lang w:val="en-US" w:eastAsia="zh-CN" w:bidi="ar"/>
        </w:rPr>
        <w:br w:type="textWrapping"/>
      </w:r>
      <w:r>
        <w:rPr>
          <w:rFonts w:hint="eastAsia" w:ascii="宋体" w:hAnsi="宋体" w:eastAsia="宋体" w:cs="宋体"/>
          <w:b/>
          <w:i w:val="0"/>
          <w:color w:val="000000"/>
          <w:kern w:val="0"/>
          <w:sz w:val="22"/>
          <w:szCs w:val="22"/>
          <w:u w:val="none"/>
          <w:lang w:val="en-US" w:eastAsia="zh-CN" w:bidi="ar"/>
        </w:rPr>
        <w:t xml:space="preserve">     5、项目中标后，中标公司提供一年驻点质保服务，配有维修车辆及两名维修人员。城区半小时到达维修现场进行维修，偏远地区1小时到达现场维修，7*24小时提供售后服务。标书中提供服务承诺函。</w:t>
      </w:r>
    </w:p>
    <w:p>
      <w:pPr>
        <w:pStyle w:val="35"/>
        <w:keepNext/>
        <w:keepLines/>
        <w:pageBreakBefore w:val="0"/>
        <w:widowControl w:val="0"/>
        <w:kinsoku/>
        <w:wordWrap/>
        <w:overflowPunct/>
        <w:topLinePunct w:val="0"/>
        <w:autoSpaceDE/>
        <w:autoSpaceDN/>
        <w:bidi w:val="0"/>
        <w:adjustRightInd w:val="0"/>
        <w:snapToGrid/>
        <w:spacing w:before="0" w:after="0" w:line="500" w:lineRule="exact"/>
        <w:ind w:left="420" w:leftChars="200" w:right="-420" w:rightChars="-200" w:firstLine="635" w:firstLineChars="301"/>
        <w:jc w:val="both"/>
        <w:textAlignment w:val="baseline"/>
        <w:outlineLvl w:val="9"/>
        <w:rPr>
          <w:rFonts w:hint="eastAsia"/>
          <w:color w:val="auto"/>
          <w:sz w:val="21"/>
          <w:szCs w:val="21"/>
        </w:rPr>
      </w:pPr>
      <w:r>
        <w:rPr>
          <w:rFonts w:hint="eastAsia"/>
          <w:color w:val="auto"/>
          <w:sz w:val="21"/>
          <w:szCs w:val="21"/>
          <w:lang w:val="en-US" w:eastAsia="zh-CN"/>
        </w:rPr>
        <w:t>6</w:t>
      </w:r>
      <w:r>
        <w:rPr>
          <w:rFonts w:hint="eastAsia"/>
          <w:color w:val="auto"/>
          <w:sz w:val="21"/>
          <w:szCs w:val="21"/>
        </w:rPr>
        <w:t>、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37" w:name="_Toc4288_WPSOffice_Level1"/>
      <w:bookmarkStart w:id="38" w:name="_Toc11297"/>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9"/>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p>
    <w:p>
      <w:pPr>
        <w:jc w:val="center"/>
        <w:rPr>
          <w:rFonts w:hint="eastAsia"/>
          <w:b/>
          <w:bCs/>
          <w:color w:val="auto"/>
          <w:sz w:val="28"/>
          <w:szCs w:val="28"/>
        </w:rPr>
      </w:pPr>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6"/>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6"/>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 xml:space="preserve">小企业声明函（如有） </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7"/>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b/>
          <w:bCs/>
          <w:color w:val="auto"/>
          <w:sz w:val="28"/>
          <w:szCs w:val="28"/>
        </w:rPr>
      </w:pPr>
      <w:bookmarkStart w:id="50" w:name="_Toc10142_WPSOffice_Level1"/>
      <w:r>
        <w:rPr>
          <w:rFonts w:hint="eastAsia"/>
          <w:b/>
          <w:bCs/>
          <w:color w:val="auto"/>
          <w:sz w:val="28"/>
          <w:szCs w:val="28"/>
        </w:rPr>
        <w:t>供应商基本信息</w:t>
      </w:r>
      <w:bookmarkEnd w:id="50"/>
    </w:p>
    <w:p>
      <w:pPr>
        <w:pStyle w:val="16"/>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1" w:name="_Toc5936_WPSOffice_Level1"/>
      <w:r>
        <w:rPr>
          <w:rFonts w:hint="eastAsia"/>
          <w:b/>
          <w:bCs/>
          <w:color w:val="auto"/>
          <w:sz w:val="28"/>
          <w:szCs w:val="28"/>
          <w:lang w:eastAsia="zh-CN"/>
        </w:rPr>
        <w:t>（格式自拟）</w:t>
      </w:r>
      <w:bookmarkEnd w:id="51"/>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2" w:name="_Toc31656"/>
      <w:bookmarkStart w:id="53" w:name="_Toc471299104"/>
      <w:r>
        <w:rPr>
          <w:rFonts w:hint="eastAsia" w:ascii="宋体" w:hAnsi="宋体" w:eastAsia="宋体" w:cs="宋体"/>
          <w:color w:val="auto"/>
          <w:sz w:val="21"/>
          <w:szCs w:val="21"/>
        </w:rPr>
        <w:t>附件</w:t>
      </w:r>
      <w:bookmarkEnd w:id="52"/>
      <w:bookmarkEnd w:id="53"/>
      <w:r>
        <w:rPr>
          <w:rFonts w:hint="eastAsia" w:ascii="宋体" w:hAnsi="宋体" w:cs="宋体"/>
          <w:color w:val="auto"/>
          <w:sz w:val="21"/>
          <w:szCs w:val="21"/>
          <w:lang w:eastAsia="zh-CN"/>
        </w:rPr>
        <w:t>二</w:t>
      </w:r>
    </w:p>
    <w:p>
      <w:pPr>
        <w:pStyle w:val="6"/>
        <w:spacing w:line="360" w:lineRule="auto"/>
        <w:jc w:val="center"/>
        <w:rPr>
          <w:rFonts w:hint="eastAsia" w:ascii="宋体" w:hAnsi="宋体" w:eastAsia="宋体"/>
          <w:color w:val="auto"/>
          <w:highlight w:val="none"/>
        </w:rPr>
      </w:pPr>
      <w:bookmarkStart w:id="54" w:name="_Toc16469"/>
      <w:bookmarkStart w:id="55" w:name="_Toc30884"/>
      <w:bookmarkStart w:id="56" w:name="_Toc8862_WPSOffice_Level1"/>
      <w:bookmarkStart w:id="57" w:name="_Toc471299105"/>
      <w:r>
        <w:rPr>
          <w:rFonts w:hint="eastAsia" w:ascii="宋体" w:hAnsi="宋体" w:eastAsia="宋体"/>
          <w:color w:val="auto"/>
          <w:highlight w:val="none"/>
        </w:rPr>
        <w:t>法定代表人身份证明</w:t>
      </w:r>
      <w:bookmarkEnd w:id="54"/>
      <w:bookmarkEnd w:id="55"/>
    </w:p>
    <w:p>
      <w:pPr>
        <w:spacing w:line="360" w:lineRule="auto"/>
        <w:ind w:firstLine="420" w:firstLineChars="200"/>
        <w:rPr>
          <w:rFonts w:hint="eastAsia"/>
          <w:color w:val="auto"/>
          <w:highlight w:val="none"/>
          <w:u w:val="single"/>
        </w:rPr>
      </w:pPr>
      <w:bookmarkStart w:id="58" w:name="_Toc256695502"/>
      <w:bookmarkStart w:id="59" w:name="_Toc256691626"/>
      <w:r>
        <w:rPr>
          <w:rFonts w:hint="eastAsia"/>
          <w:color w:val="auto"/>
          <w:highlight w:val="none"/>
          <w:lang w:eastAsia="zh-CN"/>
        </w:rPr>
        <w:t>承包人</w:t>
      </w:r>
      <w:r>
        <w:rPr>
          <w:rFonts w:hint="eastAsia"/>
          <w:color w:val="auto"/>
          <w:highlight w:val="none"/>
        </w:rPr>
        <w:t>名称：</w:t>
      </w:r>
      <w:bookmarkEnd w:id="58"/>
      <w:bookmarkEnd w:id="59"/>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0" w:name="_Toc256695507"/>
      <w:bookmarkStart w:id="61" w:name="_Toc256691631"/>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0"/>
      <w:bookmarkEnd w:id="61"/>
      <w:bookmarkStart w:id="62" w:name="_Toc256695508"/>
      <w:bookmarkStart w:id="63"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2"/>
      <w:bookmarkEnd w:id="63"/>
    </w:p>
    <w:p>
      <w:pPr>
        <w:spacing w:line="360" w:lineRule="auto"/>
        <w:ind w:firstLine="840" w:firstLineChars="400"/>
        <w:rPr>
          <w:rFonts w:hint="eastAsia"/>
          <w:color w:val="auto"/>
          <w:highlight w:val="none"/>
        </w:rPr>
      </w:pPr>
      <w:bookmarkStart w:id="64" w:name="_Toc256691633"/>
      <w:bookmarkStart w:id="65" w:name="_Toc256695509"/>
      <w:r>
        <w:rPr>
          <w:rFonts w:hint="eastAsia"/>
          <w:color w:val="auto"/>
          <w:highlight w:val="none"/>
        </w:rPr>
        <w:t>特此证明。</w:t>
      </w:r>
      <w:bookmarkEnd w:id="64"/>
      <w:bookmarkEnd w:id="65"/>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66" w:name="_Toc256695510"/>
      <w:bookmarkStart w:id="67"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66"/>
      <w:bookmarkEnd w:id="67"/>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68" w:name="_Toc256695511"/>
      <w:bookmarkStart w:id="69" w:name="_Toc256691635"/>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68"/>
      <w:bookmarkEnd w:id="69"/>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70" w:name="_Toc26907"/>
      <w:r>
        <w:rPr>
          <w:rFonts w:hint="eastAsia" w:ascii="宋体" w:hAnsi="宋体" w:eastAsia="宋体" w:cs="宋体"/>
          <w:color w:val="auto"/>
          <w:sz w:val="21"/>
          <w:szCs w:val="21"/>
        </w:rPr>
        <w:t>附件</w:t>
      </w:r>
      <w:bookmarkEnd w:id="57"/>
      <w:bookmarkEnd w:id="70"/>
      <w:r>
        <w:rPr>
          <w:rFonts w:hint="eastAsia" w:ascii="宋体" w:hAnsi="宋体" w:cs="宋体"/>
          <w:color w:val="auto"/>
          <w:sz w:val="21"/>
          <w:szCs w:val="21"/>
          <w:lang w:eastAsia="zh-CN"/>
        </w:rPr>
        <w:t>三</w:t>
      </w:r>
    </w:p>
    <w:p>
      <w:pPr>
        <w:jc w:val="center"/>
        <w:rPr>
          <w:rFonts w:hint="eastAsia"/>
          <w:b/>
          <w:bCs/>
          <w:color w:val="auto"/>
          <w:sz w:val="28"/>
          <w:szCs w:val="28"/>
        </w:rPr>
      </w:pPr>
      <w:bookmarkStart w:id="71" w:name="_Toc148501698"/>
      <w:bookmarkStart w:id="72" w:name="_Toc3858_WPSOffice_Level1"/>
      <w:bookmarkStart w:id="73" w:name="_Toc516969098"/>
      <w:r>
        <w:rPr>
          <w:rFonts w:hint="eastAsia"/>
          <w:b/>
          <w:bCs/>
          <w:color w:val="auto"/>
          <w:sz w:val="28"/>
          <w:szCs w:val="28"/>
        </w:rPr>
        <w:t>响应函</w:t>
      </w:r>
      <w:bookmarkEnd w:id="71"/>
      <w:bookmarkEnd w:id="72"/>
      <w:bookmarkEnd w:id="73"/>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74" w:name="_Toc417045478"/>
      <w:bookmarkStart w:id="75" w:name="_Toc30711"/>
      <w:bookmarkStart w:id="76" w:name="_Toc471299106"/>
      <w:r>
        <w:rPr>
          <w:rFonts w:hint="eastAsia" w:ascii="宋体" w:hAnsi="宋体" w:eastAsia="宋体" w:cs="宋体"/>
          <w:color w:val="auto"/>
          <w:sz w:val="21"/>
          <w:szCs w:val="21"/>
        </w:rPr>
        <w:t>附件</w:t>
      </w:r>
      <w:bookmarkEnd w:id="74"/>
      <w:bookmarkEnd w:id="75"/>
      <w:bookmarkEnd w:id="76"/>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7" w:name="_Toc1513_WPSOffice_Level1"/>
      <w:r>
        <w:rPr>
          <w:rFonts w:hint="eastAsia"/>
          <w:b/>
          <w:bCs/>
          <w:color w:val="auto"/>
          <w:sz w:val="28"/>
          <w:szCs w:val="28"/>
          <w:lang w:val="zh-CN"/>
        </w:rPr>
        <w:t>无重大违法记录声明函</w:t>
      </w:r>
      <w:bookmarkEnd w:id="7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78" w:name="_Toc29566_WPSOffice_Level1"/>
      <w:r>
        <w:rPr>
          <w:rFonts w:hint="eastAsia"/>
          <w:b/>
          <w:bCs/>
          <w:color w:val="auto"/>
          <w:sz w:val="28"/>
          <w:szCs w:val="28"/>
          <w:lang w:val="zh-CN"/>
        </w:rPr>
        <w:t>无不良信用记录承诺函</w:t>
      </w:r>
      <w:bookmarkEnd w:id="7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9"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0" w:name="_Toc471299107"/>
      <w:r>
        <w:rPr>
          <w:rFonts w:hint="eastAsia"/>
          <w:color w:val="auto"/>
          <w:sz w:val="24"/>
          <w:szCs w:val="24"/>
        </w:rPr>
        <w:br w:type="page"/>
      </w:r>
      <w:bookmarkStart w:id="81" w:name="_Toc3574"/>
      <w:r>
        <w:rPr>
          <w:rFonts w:hint="eastAsia" w:ascii="宋体" w:hAnsi="宋体" w:eastAsia="宋体" w:cs="宋体"/>
          <w:color w:val="auto"/>
          <w:sz w:val="21"/>
          <w:szCs w:val="21"/>
        </w:rPr>
        <w:t>附件</w:t>
      </w:r>
      <w:bookmarkEnd w:id="79"/>
      <w:bookmarkEnd w:id="80"/>
      <w:bookmarkEnd w:id="81"/>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2" w:name="_Toc24671_WPSOffice_Level1"/>
      <w:r>
        <w:rPr>
          <w:rFonts w:hint="eastAsia"/>
          <w:b/>
          <w:bCs/>
          <w:color w:val="auto"/>
          <w:sz w:val="28"/>
          <w:szCs w:val="28"/>
          <w:lang w:val="zh-CN"/>
        </w:rPr>
        <w:t>询价响应表</w:t>
      </w:r>
      <w:bookmarkEnd w:id="82"/>
    </w:p>
    <w:tbl>
      <w:tblPr>
        <w:tblStyle w:val="17"/>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912"/>
        <w:gridCol w:w="680"/>
        <w:gridCol w:w="475"/>
        <w:gridCol w:w="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68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47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219" w:leftChars="0" w:right="1258" w:rightChars="599" w:hanging="219" w:hangingChars="104"/>
              <w:jc w:val="both"/>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219" w:leftChars="0" w:right="1258" w:rightChars="599" w:hanging="219" w:hangingChars="104"/>
              <w:jc w:val="both"/>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8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47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7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8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47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7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8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47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7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68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47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7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pStyle w:val="2"/>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3" w:name="_Toc27567"/>
      <w:bookmarkStart w:id="84" w:name="_Toc471299110"/>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ind w:left="0" w:leftChars="0" w:firstLine="0" w:firstLineChars="0"/>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3"/>
      <w:bookmarkEnd w:id="84"/>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5"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5"/>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6"/>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ind w:left="0" w:leftChars="0" w:firstLine="0" w:firstLineChars="0"/>
        <w:rPr>
          <w:rFonts w:hint="eastAsia" w:ascii="宋体" w:hAnsi="宋体" w:cs="宋体"/>
          <w:color w:val="auto"/>
          <w:szCs w:val="21"/>
        </w:rPr>
      </w:pPr>
    </w:p>
    <w:p>
      <w:pPr>
        <w:numPr>
          <w:ilvl w:val="0"/>
          <w:numId w:val="3"/>
        </w:numPr>
        <w:adjustRightInd w:val="0"/>
        <w:snapToGrid w:val="0"/>
        <w:spacing w:line="320" w:lineRule="auto"/>
        <w:ind w:left="2870" w:leftChars="0" w:firstLine="0" w:firstLineChars="0"/>
        <w:rPr>
          <w:rFonts w:hint="eastAsia"/>
          <w:b/>
          <w:bCs/>
          <w:color w:val="auto"/>
          <w:sz w:val="28"/>
          <w:szCs w:val="28"/>
          <w:lang w:val="en-US"/>
        </w:rPr>
      </w:pPr>
      <w:bookmarkStart w:id="86"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86"/>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7" w:name="_Toc32017"/>
      <w:r>
        <w:rPr>
          <w:rFonts w:hint="eastAsia" w:ascii="宋体" w:hAnsi="宋体" w:eastAsia="宋体" w:cs="宋体"/>
          <w:color w:val="auto"/>
          <w:sz w:val="21"/>
          <w:szCs w:val="21"/>
        </w:rPr>
        <w:t>附件</w:t>
      </w:r>
      <w:bookmarkEnd w:id="87"/>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8" w:name="_Toc12025_WPSOffice_Level1"/>
      <w:r>
        <w:rPr>
          <w:rFonts w:hint="eastAsia"/>
          <w:b/>
          <w:bCs/>
          <w:color w:val="auto"/>
          <w:sz w:val="28"/>
          <w:szCs w:val="28"/>
          <w:lang w:val="zh-CN"/>
        </w:rPr>
        <w:t>供货、安装、售后服务承诺</w:t>
      </w:r>
      <w:bookmarkEnd w:id="8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9" w:name="_Toc27705"/>
      <w:r>
        <w:rPr>
          <w:rFonts w:hint="eastAsia" w:ascii="宋体" w:hAnsi="宋体" w:eastAsia="宋体" w:cs="宋体"/>
          <w:color w:val="auto"/>
          <w:sz w:val="21"/>
          <w:szCs w:val="21"/>
        </w:rPr>
        <w:t>附件</w:t>
      </w:r>
      <w:bookmarkEnd w:id="89"/>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0" w:name="_Toc1950_WPSOffice_Level1"/>
      <w:r>
        <w:rPr>
          <w:rFonts w:hint="eastAsia"/>
          <w:b/>
          <w:bCs/>
          <w:color w:val="auto"/>
          <w:sz w:val="28"/>
          <w:szCs w:val="28"/>
          <w:lang w:val="zh-CN"/>
        </w:rPr>
        <w:t>询价文件要求和供应商认为需要提供的其它说明和资料</w:t>
      </w:r>
      <w:bookmarkEnd w:id="90"/>
    </w:p>
    <w:p>
      <w:pPr>
        <w:jc w:val="both"/>
        <w:rPr>
          <w:rFonts w:hint="eastAsia" w:ascii="宋体" w:hAnsi="宋体" w:cs="宋体"/>
          <w:b/>
          <w:bCs/>
          <w:color w:val="auto"/>
          <w:sz w:val="32"/>
          <w:szCs w:val="32"/>
        </w:rPr>
      </w:pPr>
      <w:bookmarkStart w:id="91" w:name="_Toc3085"/>
      <w:bookmarkStart w:id="92" w:name="_Toc19844_WPSOffice_Level1"/>
      <w:r>
        <w:rPr>
          <w:rStyle w:val="37"/>
          <w:rFonts w:hint="eastAsia"/>
          <w:color w:val="auto"/>
          <w:sz w:val="21"/>
          <w:szCs w:val="21"/>
          <w:lang w:val="en-US" w:eastAsia="zh-CN"/>
        </w:rPr>
        <w:t>附件九</w:t>
      </w:r>
      <w:r>
        <w:rPr>
          <w:rStyle w:val="37"/>
          <w:rFonts w:hint="eastAsia"/>
          <w:color w:val="auto"/>
          <w:sz w:val="21"/>
          <w:szCs w:val="21"/>
        </w:rPr>
        <w:t xml:space="preserve"> </w:t>
      </w:r>
      <w:bookmarkEnd w:id="91"/>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2"/>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3" w:name="_Toc10947_WPSOffice_Level1"/>
      <w:r>
        <w:rPr>
          <w:rFonts w:hint="eastAsia" w:ascii="宋体" w:hAnsi="宋体" w:cs="宋体"/>
          <w:b/>
          <w:bCs/>
          <w:color w:val="auto"/>
          <w:sz w:val="24"/>
        </w:rPr>
        <w:t>注：</w:t>
      </w:r>
      <w:bookmarkEnd w:id="93"/>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4" w:name="_Toc27363_WPSOffice_Level1"/>
      <w:r>
        <w:rPr>
          <w:rFonts w:hint="eastAsia" w:ascii="宋体" w:hAnsi="宋体" w:cs="宋体"/>
          <w:b/>
          <w:bCs/>
          <w:color w:val="auto"/>
          <w:sz w:val="24"/>
        </w:rPr>
        <w:t>注：</w:t>
      </w:r>
      <w:bookmarkEnd w:id="94"/>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5" w:name="_Toc13534_WPSOffice_Level1"/>
      <w:r>
        <w:rPr>
          <w:rFonts w:hint="eastAsia" w:ascii="宋体" w:hAnsi="宋体" w:cs="宋体"/>
          <w:b/>
          <w:bCs/>
          <w:color w:val="auto"/>
          <w:sz w:val="24"/>
        </w:rPr>
        <w:t>注：</w:t>
      </w:r>
      <w:bookmarkEnd w:id="95"/>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96"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7" w:name="_Toc11536"/>
      <w:r>
        <w:rPr>
          <w:rFonts w:hint="eastAsia" w:ascii="宋体" w:hAnsi="宋体"/>
          <w:b/>
          <w:color w:val="auto"/>
          <w:sz w:val="24"/>
          <w:szCs w:val="28"/>
          <w:lang w:val="en-US" w:eastAsia="zh-CN"/>
        </w:rPr>
        <w:t>附件十</w:t>
      </w:r>
      <w:bookmarkEnd w:id="97"/>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0"/>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96"/>
    </w:p>
    <w:p>
      <w:pPr>
        <w:spacing w:line="400" w:lineRule="exact"/>
        <w:jc w:val="center"/>
        <w:rPr>
          <w:rFonts w:hint="eastAsia" w:ascii="宋体" w:hAnsi="宋体" w:cs="宋体"/>
          <w:b/>
          <w:color w:val="auto"/>
          <w:sz w:val="28"/>
          <w:szCs w:val="28"/>
          <w:shd w:val="clear" w:color="auto" w:fill="FFFFFF"/>
        </w:rPr>
      </w:pPr>
      <w:bookmarkStart w:id="98"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8"/>
    </w:p>
    <w:p>
      <w:pPr>
        <w:adjustRightInd w:val="0"/>
        <w:snapToGrid w:val="0"/>
        <w:spacing w:line="360" w:lineRule="exact"/>
        <w:ind w:right="15" w:rightChars="7"/>
        <w:rPr>
          <w:rFonts w:hint="eastAsia" w:ascii="宋体" w:hAnsi="宋体" w:cs="宋体"/>
          <w:bCs/>
          <w:color w:val="auto"/>
          <w:shd w:val="clear" w:color="auto" w:fill="FFFFFF"/>
        </w:rPr>
      </w:pPr>
      <w:bookmarkStart w:id="99" w:name="_Toc3059_WPSOffice_Level1"/>
      <w:r>
        <w:rPr>
          <w:rFonts w:hint="eastAsia" w:ascii="宋体" w:hAnsi="宋体" w:cs="宋体"/>
          <w:bCs/>
          <w:color w:val="auto"/>
          <w:shd w:val="clear" w:color="auto" w:fill="FFFFFF"/>
        </w:rPr>
        <w:t>一、项目相关情况</w:t>
      </w:r>
      <w:bookmarkEnd w:id="99"/>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政府采购办公室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0" w:name="_Toc21327_WPSOffice_Level1"/>
      <w:r>
        <w:rPr>
          <w:rFonts w:hint="eastAsia" w:ascii="宋体" w:hAnsi="宋体" w:cs="宋体"/>
          <w:bCs/>
          <w:color w:val="auto"/>
          <w:shd w:val="clear" w:color="auto" w:fill="FFFFFF"/>
        </w:rPr>
        <w:t>二、质疑提起的条件及不予受理的情形</w:t>
      </w:r>
      <w:bookmarkEnd w:id="100"/>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1" w:name="_Toc17685_WPSOffice_Level1"/>
      <w:r>
        <w:rPr>
          <w:rFonts w:hint="eastAsia" w:ascii="宋体" w:hAnsi="宋体" w:cs="宋体"/>
          <w:bCs/>
          <w:color w:val="auto"/>
          <w:shd w:val="clear" w:color="auto" w:fill="FFFFFF"/>
        </w:rPr>
        <w:t>三、其他</w:t>
      </w:r>
      <w:bookmarkEnd w:id="101"/>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color w:val="auto"/>
        </w:rPr>
      </w:pPr>
    </w:p>
    <w:p>
      <w:pPr>
        <w:rPr>
          <w:color w:val="auto"/>
        </w:rPr>
      </w:pPr>
    </w:p>
    <w:p>
      <w:pPr>
        <w:rPr>
          <w:color w:val="auto"/>
        </w:rPr>
      </w:pPr>
    </w:p>
    <w:p>
      <w:pPr>
        <w:bidi w:val="0"/>
        <w:rPr>
          <w:rFonts w:ascii="Times New Roman" w:hAnsi="Times New Roman" w:eastAsia="宋体" w:cs="Times New Roman"/>
          <w:kern w:val="2"/>
          <w:sz w:val="21"/>
          <w:lang w:val="en-US" w:eastAsia="zh-CN" w:bidi="ar-SA"/>
        </w:rPr>
      </w:pPr>
    </w:p>
    <w:p>
      <w:pPr>
        <w:bidi w:val="0"/>
        <w:rPr>
          <w:lang w:val="en-US" w:eastAsia="zh-CN"/>
        </w:rPr>
      </w:pPr>
    </w:p>
    <w:p>
      <w:pPr>
        <w:bidi w:val="0"/>
        <w:rPr>
          <w:lang w:val="en-US" w:eastAsia="zh-CN"/>
        </w:rPr>
      </w:pPr>
    </w:p>
    <w:p>
      <w:pPr>
        <w:bidi w:val="0"/>
        <w:rPr>
          <w:lang w:val="en-US" w:eastAsia="zh-CN"/>
        </w:rPr>
      </w:pPr>
    </w:p>
    <w:p>
      <w:pPr>
        <w:bidi w:val="0"/>
        <w:jc w:val="right"/>
        <w:rPr>
          <w:lang w:val="en-US" w:eastAsia="zh-CN"/>
        </w:rPr>
      </w:pP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lqd70rIB&#10;AABZAwAADgAAAAAAAAABACAAAAAeAQAAZHJzL2Uyb0RvYy54bWxQSwUGAAAAAAYABgBZAQAAQgUA&#10;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left="0" w:leftChars="0" w:firstLine="0" w:firstLineChars="0"/>
      <w:jc w:val="both"/>
      <w:rPr>
        <w:rFonts w:hint="default"/>
        <w:sz w:val="21"/>
        <w:szCs w:val="20"/>
        <w:lang w:val="en-US"/>
      </w:rPr>
    </w:pPr>
    <w:r>
      <w:rPr>
        <w:rFonts w:hint="eastAsia" w:ascii="Times New Roman" w:hAnsi="Times New Roman" w:eastAsia="宋体" w:cs="Times New Roman"/>
        <w:b w:val="0"/>
        <w:kern w:val="2"/>
        <w:sz w:val="18"/>
        <w:szCs w:val="16"/>
        <w:u w:val="single"/>
        <w:lang w:val="en-US" w:eastAsia="zh-CN" w:bidi="ar-SA"/>
      </w:rPr>
      <w:t>霍山县矿产资源开发有限责任公司废弃砂石处置利用点地磅及监控询价文件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3C15FB6A"/>
    <w:multiLevelType w:val="singleLevel"/>
    <w:tmpl w:val="3C15FB6A"/>
    <w:lvl w:ilvl="0" w:tentative="0">
      <w:start w:val="1"/>
      <w:numFmt w:val="chineseCounting"/>
      <w:suff w:val="nothing"/>
      <w:lvlText w:val="%1、"/>
      <w:lvlJc w:val="left"/>
      <w:pPr>
        <w:ind w:left="398" w:leftChars="0" w:firstLine="0" w:firstLineChars="0"/>
      </w:pPr>
      <w:rPr>
        <w:rFonts w:hint="eastAsia"/>
      </w:rPr>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17BC8"/>
    <w:rsid w:val="02AA1EE6"/>
    <w:rsid w:val="03150F8F"/>
    <w:rsid w:val="04777FAA"/>
    <w:rsid w:val="059C0CBD"/>
    <w:rsid w:val="0644344B"/>
    <w:rsid w:val="065734CB"/>
    <w:rsid w:val="06BE48F4"/>
    <w:rsid w:val="07500CD8"/>
    <w:rsid w:val="07E42C56"/>
    <w:rsid w:val="094825C0"/>
    <w:rsid w:val="09F429FB"/>
    <w:rsid w:val="0A967446"/>
    <w:rsid w:val="0ADA7309"/>
    <w:rsid w:val="0C061911"/>
    <w:rsid w:val="0C8B3F0F"/>
    <w:rsid w:val="0D162B03"/>
    <w:rsid w:val="0D4A538B"/>
    <w:rsid w:val="0E7B6D74"/>
    <w:rsid w:val="13592465"/>
    <w:rsid w:val="13611A2A"/>
    <w:rsid w:val="1414601F"/>
    <w:rsid w:val="14633700"/>
    <w:rsid w:val="147737A7"/>
    <w:rsid w:val="14827BCA"/>
    <w:rsid w:val="15081ED3"/>
    <w:rsid w:val="1556562C"/>
    <w:rsid w:val="156D56CE"/>
    <w:rsid w:val="159267B6"/>
    <w:rsid w:val="161D1882"/>
    <w:rsid w:val="16C41FE1"/>
    <w:rsid w:val="16E90795"/>
    <w:rsid w:val="174F1F7C"/>
    <w:rsid w:val="18B06CB8"/>
    <w:rsid w:val="18FB5F6E"/>
    <w:rsid w:val="19750DD6"/>
    <w:rsid w:val="1A1D00D5"/>
    <w:rsid w:val="1A331B52"/>
    <w:rsid w:val="1BD82076"/>
    <w:rsid w:val="1BED2EA5"/>
    <w:rsid w:val="1C230B2D"/>
    <w:rsid w:val="1C996F6B"/>
    <w:rsid w:val="1D217AE8"/>
    <w:rsid w:val="1DC0444F"/>
    <w:rsid w:val="1F5D6BC7"/>
    <w:rsid w:val="2134647A"/>
    <w:rsid w:val="215167E4"/>
    <w:rsid w:val="22067FA4"/>
    <w:rsid w:val="221B322D"/>
    <w:rsid w:val="234A74A5"/>
    <w:rsid w:val="249C4D10"/>
    <w:rsid w:val="25273C28"/>
    <w:rsid w:val="25656A25"/>
    <w:rsid w:val="25991012"/>
    <w:rsid w:val="260D2BCC"/>
    <w:rsid w:val="26943C3F"/>
    <w:rsid w:val="2756117E"/>
    <w:rsid w:val="28B95567"/>
    <w:rsid w:val="2A987BB9"/>
    <w:rsid w:val="2B1C14C3"/>
    <w:rsid w:val="2BAE2C9D"/>
    <w:rsid w:val="2BD3447D"/>
    <w:rsid w:val="2D254D25"/>
    <w:rsid w:val="2DD57ECD"/>
    <w:rsid w:val="2ED51A6E"/>
    <w:rsid w:val="2F1C57A5"/>
    <w:rsid w:val="2FA7707A"/>
    <w:rsid w:val="30091271"/>
    <w:rsid w:val="31F9233C"/>
    <w:rsid w:val="32661595"/>
    <w:rsid w:val="33E1101F"/>
    <w:rsid w:val="340E6C58"/>
    <w:rsid w:val="34324321"/>
    <w:rsid w:val="349D31D8"/>
    <w:rsid w:val="34D536C4"/>
    <w:rsid w:val="36DF7A21"/>
    <w:rsid w:val="37DF419C"/>
    <w:rsid w:val="38B45EFC"/>
    <w:rsid w:val="38D036A4"/>
    <w:rsid w:val="39792C93"/>
    <w:rsid w:val="3AAE5E82"/>
    <w:rsid w:val="3AE97D6B"/>
    <w:rsid w:val="3B8E3C6C"/>
    <w:rsid w:val="3C1C5FDB"/>
    <w:rsid w:val="3C967255"/>
    <w:rsid w:val="3D457CC8"/>
    <w:rsid w:val="3D5C50E1"/>
    <w:rsid w:val="3E046DF3"/>
    <w:rsid w:val="3E50419B"/>
    <w:rsid w:val="3E9D780F"/>
    <w:rsid w:val="3F570499"/>
    <w:rsid w:val="408F2C22"/>
    <w:rsid w:val="40B4502A"/>
    <w:rsid w:val="41DD49C0"/>
    <w:rsid w:val="431D644D"/>
    <w:rsid w:val="44A83992"/>
    <w:rsid w:val="45FC1F89"/>
    <w:rsid w:val="46447AD0"/>
    <w:rsid w:val="4667667C"/>
    <w:rsid w:val="46FE1966"/>
    <w:rsid w:val="47AD1197"/>
    <w:rsid w:val="47ED349E"/>
    <w:rsid w:val="48D30C8F"/>
    <w:rsid w:val="48EE5384"/>
    <w:rsid w:val="48F93679"/>
    <w:rsid w:val="493E0515"/>
    <w:rsid w:val="49665DCB"/>
    <w:rsid w:val="498C5E4B"/>
    <w:rsid w:val="49974E74"/>
    <w:rsid w:val="4A4D2829"/>
    <w:rsid w:val="4D18297E"/>
    <w:rsid w:val="4D757618"/>
    <w:rsid w:val="4F9010E9"/>
    <w:rsid w:val="50345C2D"/>
    <w:rsid w:val="50677BFC"/>
    <w:rsid w:val="51373F3D"/>
    <w:rsid w:val="54A309A3"/>
    <w:rsid w:val="54B56A54"/>
    <w:rsid w:val="558001AF"/>
    <w:rsid w:val="558D66D2"/>
    <w:rsid w:val="55FB7588"/>
    <w:rsid w:val="56530A5B"/>
    <w:rsid w:val="57562B24"/>
    <w:rsid w:val="581B40F7"/>
    <w:rsid w:val="58565344"/>
    <w:rsid w:val="58695F8B"/>
    <w:rsid w:val="589543F5"/>
    <w:rsid w:val="59423AF1"/>
    <w:rsid w:val="5A9864B3"/>
    <w:rsid w:val="5BA07BB6"/>
    <w:rsid w:val="5BBE35F6"/>
    <w:rsid w:val="5C3E5A4E"/>
    <w:rsid w:val="5CFB63ED"/>
    <w:rsid w:val="5D1E4502"/>
    <w:rsid w:val="5D273630"/>
    <w:rsid w:val="5D603CFB"/>
    <w:rsid w:val="5E812F4F"/>
    <w:rsid w:val="5EB3743D"/>
    <w:rsid w:val="5ED30E67"/>
    <w:rsid w:val="5EFB6C0F"/>
    <w:rsid w:val="5F2B66BC"/>
    <w:rsid w:val="615E5718"/>
    <w:rsid w:val="618D0E1A"/>
    <w:rsid w:val="619C1CA6"/>
    <w:rsid w:val="61FF653E"/>
    <w:rsid w:val="629D1B22"/>
    <w:rsid w:val="63637DD7"/>
    <w:rsid w:val="639C65AB"/>
    <w:rsid w:val="63CE30A4"/>
    <w:rsid w:val="65502555"/>
    <w:rsid w:val="65771F5A"/>
    <w:rsid w:val="66F918C9"/>
    <w:rsid w:val="678154B0"/>
    <w:rsid w:val="68560087"/>
    <w:rsid w:val="68BA3798"/>
    <w:rsid w:val="690D0368"/>
    <w:rsid w:val="69F4791E"/>
    <w:rsid w:val="6A47529D"/>
    <w:rsid w:val="6AF61310"/>
    <w:rsid w:val="6B225547"/>
    <w:rsid w:val="6B413A50"/>
    <w:rsid w:val="6C0040EC"/>
    <w:rsid w:val="6C0A4B24"/>
    <w:rsid w:val="6C640C01"/>
    <w:rsid w:val="6CD771B7"/>
    <w:rsid w:val="6DA52666"/>
    <w:rsid w:val="6DB0368A"/>
    <w:rsid w:val="6F5632F9"/>
    <w:rsid w:val="6F593876"/>
    <w:rsid w:val="6F643911"/>
    <w:rsid w:val="6FB45A58"/>
    <w:rsid w:val="6FB71515"/>
    <w:rsid w:val="707E77DD"/>
    <w:rsid w:val="72815C13"/>
    <w:rsid w:val="73D81B5D"/>
    <w:rsid w:val="776D2CC4"/>
    <w:rsid w:val="78397A44"/>
    <w:rsid w:val="789C2226"/>
    <w:rsid w:val="78F92F7D"/>
    <w:rsid w:val="79B832CB"/>
    <w:rsid w:val="79F628A4"/>
    <w:rsid w:val="7A1A522E"/>
    <w:rsid w:val="7A686D7F"/>
    <w:rsid w:val="7A9E561B"/>
    <w:rsid w:val="7C7C0782"/>
    <w:rsid w:val="7D196BB9"/>
    <w:rsid w:val="7D6A6C42"/>
    <w:rsid w:val="7DFA334B"/>
    <w:rsid w:val="7E456548"/>
    <w:rsid w:val="7EF1633B"/>
    <w:rsid w:val="7F8B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37"/>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w:basedOn w:val="1"/>
    <w:next w:val="10"/>
    <w:qFormat/>
    <w:uiPriority w:val="99"/>
    <w:pPr>
      <w:spacing w:after="120"/>
    </w:pPr>
    <w:rPr>
      <w:szCs w:val="24"/>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w:basedOn w:val="9"/>
    <w:qFormat/>
    <w:uiPriority w:val="0"/>
    <w:pPr>
      <w:spacing w:line="400" w:lineRule="atLeast"/>
      <w:ind w:firstLine="426"/>
    </w:pPr>
    <w:rPr>
      <w:rFonts w:ascii="Times New Roman" w:hAnsi="Times New Roman"/>
      <w:sz w:val="24"/>
      <w:szCs w:val="20"/>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FollowedHyperlink"/>
    <w:basedOn w:val="19"/>
    <w:qFormat/>
    <w:uiPriority w:val="0"/>
    <w:rPr>
      <w:color w:val="4C4C4C"/>
      <w:u w:val="none"/>
    </w:rPr>
  </w:style>
  <w:style w:type="character" w:styleId="23">
    <w:name w:val="Emphasis"/>
    <w:basedOn w:val="19"/>
    <w:qFormat/>
    <w:uiPriority w:val="0"/>
  </w:style>
  <w:style w:type="character" w:styleId="24">
    <w:name w:val="HTML Definition"/>
    <w:basedOn w:val="19"/>
    <w:qFormat/>
    <w:uiPriority w:val="0"/>
  </w:style>
  <w:style w:type="character" w:styleId="25">
    <w:name w:val="HTML Variable"/>
    <w:basedOn w:val="19"/>
    <w:qFormat/>
    <w:uiPriority w:val="0"/>
  </w:style>
  <w:style w:type="character" w:styleId="26">
    <w:name w:val="Hyperlink"/>
    <w:qFormat/>
    <w:uiPriority w:val="0"/>
    <w:rPr>
      <w:color w:val="0000FF"/>
      <w:u w:val="single"/>
    </w:rPr>
  </w:style>
  <w:style w:type="character" w:styleId="27">
    <w:name w:val="HTML Code"/>
    <w:basedOn w:val="19"/>
    <w:qFormat/>
    <w:uiPriority w:val="0"/>
    <w:rPr>
      <w:rFonts w:hint="default" w:ascii="serif" w:hAnsi="serif" w:eastAsia="serif" w:cs="serif"/>
      <w:sz w:val="21"/>
      <w:szCs w:val="21"/>
    </w:rPr>
  </w:style>
  <w:style w:type="character" w:styleId="28">
    <w:name w:val="HTML Cite"/>
    <w:basedOn w:val="19"/>
    <w:qFormat/>
    <w:uiPriority w:val="0"/>
  </w:style>
  <w:style w:type="character" w:styleId="29">
    <w:name w:val="HTML Keyboard"/>
    <w:basedOn w:val="19"/>
    <w:qFormat/>
    <w:uiPriority w:val="0"/>
    <w:rPr>
      <w:rFonts w:ascii="serif" w:hAnsi="serif" w:eastAsia="serif" w:cs="serif"/>
      <w:sz w:val="21"/>
      <w:szCs w:val="21"/>
    </w:rPr>
  </w:style>
  <w:style w:type="character" w:styleId="30">
    <w:name w:val="HTML Sample"/>
    <w:basedOn w:val="19"/>
    <w:qFormat/>
    <w:uiPriority w:val="0"/>
    <w:rPr>
      <w:rFonts w:hint="default" w:ascii="serif" w:hAnsi="serif" w:eastAsia="serif" w:cs="serif"/>
      <w:sz w:val="21"/>
      <w:szCs w:val="21"/>
    </w:rPr>
  </w:style>
  <w:style w:type="paragraph" w:customStyle="1" w:styleId="31">
    <w:name w:val="WPSOffice手动目录 1"/>
    <w:qFormat/>
    <w:uiPriority w:val="0"/>
    <w:pPr>
      <w:ind w:leftChars="0"/>
    </w:pPr>
    <w:rPr>
      <w:rFonts w:ascii="Times New Roman" w:hAnsi="Times New Roman" w:eastAsia="宋体" w:cs="Times New Roman"/>
      <w:sz w:val="20"/>
      <w:szCs w:val="20"/>
    </w:rPr>
  </w:style>
  <w:style w:type="paragraph" w:customStyle="1" w:styleId="32">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3">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4">
    <w:name w:val="Char"/>
    <w:basedOn w:val="1"/>
    <w:qFormat/>
    <w:uiPriority w:val="99"/>
    <w:rPr>
      <w:rFonts w:ascii="Tahoma" w:hAnsi="Tahoma"/>
      <w:sz w:val="24"/>
    </w:rPr>
  </w:style>
  <w:style w:type="paragraph" w:customStyle="1" w:styleId="35">
    <w:name w:val="样式 标题 2 + 宋体 五号 行距: 单倍行距"/>
    <w:basedOn w:val="6"/>
    <w:qFormat/>
    <w:uiPriority w:val="99"/>
    <w:pPr>
      <w:spacing w:line="240" w:lineRule="auto"/>
    </w:pPr>
    <w:rPr>
      <w:rFonts w:ascii="宋体" w:hAnsi="宋体" w:eastAsia="宋体"/>
      <w:sz w:val="21"/>
    </w:rPr>
  </w:style>
  <w:style w:type="paragraph" w:customStyle="1" w:styleId="36">
    <w:name w:val="Char Char Char Char Char Char Char1 Char"/>
    <w:basedOn w:val="1"/>
    <w:qFormat/>
    <w:uiPriority w:val="99"/>
    <w:rPr>
      <w:rFonts w:ascii="Tahoma" w:hAnsi="Tahoma"/>
      <w:sz w:val="24"/>
    </w:rPr>
  </w:style>
  <w:style w:type="character" w:customStyle="1" w:styleId="37">
    <w:name w:val="标题 3 Char"/>
    <w:basedOn w:val="19"/>
    <w:link w:val="7"/>
    <w:qFormat/>
    <w:locked/>
    <w:uiPriority w:val="99"/>
    <w:rPr>
      <w:b/>
      <w:bCs/>
      <w:sz w:val="32"/>
      <w:szCs w:val="32"/>
    </w:rPr>
  </w:style>
  <w:style w:type="paragraph" w:customStyle="1" w:styleId="38">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List Paragraph"/>
    <w:basedOn w:val="1"/>
    <w:unhideWhenUsed/>
    <w:qFormat/>
    <w:uiPriority w:val="99"/>
    <w:pPr>
      <w:ind w:firstLine="420" w:firstLineChars="200"/>
    </w:pPr>
    <w:rPr>
      <w:rFonts w:ascii="Calibri" w:hAnsi="Calibri"/>
      <w:szCs w:val="22"/>
    </w:rPr>
  </w:style>
  <w:style w:type="paragraph" w:customStyle="1" w:styleId="40">
    <w:name w:val="Table Paragraph"/>
    <w:basedOn w:val="1"/>
    <w:qFormat/>
    <w:uiPriority w:val="1"/>
  </w:style>
  <w:style w:type="paragraph" w:customStyle="1" w:styleId="41">
    <w:name w:val="_Style 1"/>
    <w:basedOn w:val="1"/>
    <w:qFormat/>
    <w:uiPriority w:val="0"/>
    <w:pPr>
      <w:ind w:firstLine="420" w:firstLineChars="200"/>
    </w:pPr>
    <w:rPr>
      <w:rFonts w:ascii="Calibri" w:hAnsi="Calibri"/>
      <w:szCs w:val="22"/>
    </w:rPr>
  </w:style>
  <w:style w:type="character" w:customStyle="1" w:styleId="42">
    <w:name w:val="fontborder"/>
    <w:basedOn w:val="19"/>
    <w:qFormat/>
    <w:uiPriority w:val="0"/>
    <w:rPr>
      <w:bdr w:val="single" w:color="000000" w:sz="6" w:space="0"/>
    </w:rPr>
  </w:style>
  <w:style w:type="character" w:customStyle="1" w:styleId="43">
    <w:name w:val="fontstrikethrough"/>
    <w:basedOn w:val="19"/>
    <w:qFormat/>
    <w:uiPriority w:val="0"/>
    <w:rPr>
      <w:strike/>
    </w:rPr>
  </w:style>
  <w:style w:type="character" w:customStyle="1" w:styleId="44">
    <w:name w:val="font11"/>
    <w:basedOn w:val="19"/>
    <w:uiPriority w:val="0"/>
    <w:rPr>
      <w:rFonts w:hint="eastAsia" w:ascii="宋体" w:hAnsi="宋体" w:eastAsia="宋体" w:cs="宋体"/>
      <w:b/>
      <w:color w:val="000000"/>
      <w:sz w:val="18"/>
      <w:szCs w:val="18"/>
      <w:u w:val="none"/>
    </w:rPr>
  </w:style>
  <w:style w:type="character" w:customStyle="1" w:styleId="45">
    <w:name w:val="font61"/>
    <w:basedOn w:val="19"/>
    <w:uiPriority w:val="0"/>
    <w:rPr>
      <w:rFonts w:hint="eastAsia" w:ascii="宋体" w:hAnsi="宋体" w:eastAsia="宋体" w:cs="宋体"/>
      <w:color w:val="000000"/>
      <w:sz w:val="18"/>
      <w:szCs w:val="18"/>
      <w:u w:val="none"/>
    </w:rPr>
  </w:style>
  <w:style w:type="character" w:customStyle="1" w:styleId="46">
    <w:name w:val="font01"/>
    <w:basedOn w:val="19"/>
    <w:uiPriority w:val="0"/>
    <w:rPr>
      <w:rFonts w:hint="eastAsia" w:ascii="宋体" w:hAnsi="宋体" w:eastAsia="宋体" w:cs="宋体"/>
      <w:b/>
      <w:color w:val="000000"/>
      <w:sz w:val="18"/>
      <w:szCs w:val="18"/>
      <w:u w:val="none"/>
    </w:rPr>
  </w:style>
  <w:style w:type="character" w:customStyle="1" w:styleId="47">
    <w:name w:val="font51"/>
    <w:basedOn w:val="19"/>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311</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Administrator</cp:lastModifiedBy>
  <cp:lastPrinted>2020-04-16T06:30:00Z</cp:lastPrinted>
  <dcterms:modified xsi:type="dcterms:W3CDTF">2020-04-16T09:18:33Z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