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jc w:val="center"/>
        <w:rPr>
          <w:rFonts w:hint="eastAsia" w:ascii="宋体" w:hAnsi="宋体"/>
          <w:b/>
          <w:bCs/>
          <w:color w:val="auto"/>
          <w:sz w:val="52"/>
          <w:szCs w:val="52"/>
          <w:lang w:val="en-US" w:eastAsia="zh-CN"/>
        </w:rPr>
      </w:pPr>
    </w:p>
    <w:p>
      <w:pPr>
        <w:pStyle w:val="16"/>
        <w:ind w:left="0" w:leftChars="0" w:firstLine="0" w:firstLineChars="0"/>
        <w:jc w:val="center"/>
        <w:rPr>
          <w:rFonts w:hint="eastAsia" w:ascii="宋体" w:hAnsi="宋体"/>
          <w:b/>
          <w:bCs/>
          <w:color w:val="auto"/>
          <w:sz w:val="52"/>
          <w:szCs w:val="52"/>
          <w:lang w:eastAsia="zh-CN"/>
        </w:rPr>
      </w:pPr>
      <w:r>
        <w:rPr>
          <w:rFonts w:hint="eastAsia" w:ascii="宋体" w:hAnsi="宋体"/>
          <w:b/>
          <w:bCs/>
          <w:color w:val="auto"/>
          <w:sz w:val="52"/>
          <w:szCs w:val="52"/>
          <w:lang w:val="en-US" w:eastAsia="zh-CN"/>
        </w:rPr>
        <w:t>霍山县矿产资源开发有限责任公司废弃砂石处置利用点地磅及监控采购项目</w:t>
      </w: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询</w:t>
      </w: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价</w:t>
      </w:r>
    </w:p>
    <w:p>
      <w:pPr>
        <w:pStyle w:val="16"/>
        <w:jc w:val="center"/>
        <w:rPr>
          <w:rFonts w:hint="eastAsia" w:ascii="宋体" w:hAnsi="宋体"/>
          <w:b/>
          <w:bCs/>
          <w:color w:val="auto"/>
          <w:sz w:val="52"/>
          <w:szCs w:val="52"/>
        </w:rPr>
      </w:pPr>
      <w:r>
        <w:rPr>
          <w:rFonts w:hint="eastAsia" w:ascii="宋体" w:hAnsi="宋体"/>
          <w:b/>
          <w:bCs/>
          <w:color w:val="auto"/>
          <w:sz w:val="52"/>
          <w:szCs w:val="52"/>
        </w:rPr>
        <w:t>文</w:t>
      </w: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rPr>
        <w:t>件</w:t>
      </w:r>
    </w:p>
    <w:p>
      <w:pPr>
        <w:pStyle w:val="2"/>
        <w:ind w:left="0" w:leftChars="0" w:firstLine="0" w:firstLineChars="0"/>
        <w:jc w:val="both"/>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w:t>
      </w:r>
      <w:r>
        <w:rPr>
          <w:rFonts w:hint="eastAsia" w:ascii="宋体" w:hAnsi="等线" w:cs="Times New Roman"/>
          <w:b/>
          <w:bCs/>
          <w:color w:val="auto"/>
          <w:spacing w:val="20"/>
          <w:kern w:val="0"/>
          <w:sz w:val="32"/>
          <w:szCs w:val="32"/>
          <w:lang w:val="en-US" w:eastAsia="zh-CN"/>
        </w:rPr>
        <w:t>013</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30"/>
          <w:kern w:val="0"/>
          <w:sz w:val="32"/>
          <w:szCs w:val="32"/>
          <w:lang w:val="en-US" w:eastAsia="zh-CN"/>
        </w:rPr>
      </w:pPr>
      <w:r>
        <w:rPr>
          <w:rFonts w:hint="eastAsia" w:ascii="宋体" w:hAnsi="宋体" w:cs="宋体"/>
          <w:b/>
          <w:color w:val="auto"/>
          <w:spacing w:val="130"/>
          <w:kern w:val="0"/>
          <w:sz w:val="32"/>
          <w:szCs w:val="32"/>
          <w:lang w:val="en-US" w:eastAsia="zh-CN"/>
        </w:rPr>
        <w:t xml:space="preserve">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3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51"/>
          <w:kern w:val="0"/>
          <w:sz w:val="32"/>
          <w:szCs w:val="32"/>
          <w:lang w:val="en-US" w:eastAsia="zh-CN"/>
        </w:rPr>
        <w:t>:霍山县矿产资源开发有限责任公司</w:t>
      </w: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rPr>
      </w:pP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val="en-US" w:eastAsia="zh-CN"/>
        </w:rPr>
        <w:t>四</w:t>
      </w:r>
      <w:r>
        <w:rPr>
          <w:rFonts w:hint="eastAsia" w:ascii="宋体" w:hAnsi="宋体" w:eastAsia="宋体" w:cs="宋体"/>
          <w:b/>
          <w:color w:val="auto"/>
          <w:spacing w:val="164"/>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31"/>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DBSCG-2020-013霍山县矿产资源开发有限责任公司废弃砂石处置利用点地磅及监控采购项目</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DBSCG-2020- 013霍山县矿产资源开发有限责任公司废弃砂石处置利用点地磅及监控采购项目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霍山县矿产资源开发有限责任公司申请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霍山县矿产资源开发有限责任公司废弃砂石处置利用点地磅及监控采购项目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霍山县矿产资源开发有限责任公司废弃砂石处置利用点地磅及监控采购项目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DBSCG-2020-013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88万元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7、最高限价：88万元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9、项目概况：霍山县矿产资源开发有限责任公司废弃砂石处置利用点地磅及监控采购项目，主要采购内容有：3M*16M SCS-150T地磅（四节），4台；3M*16M SCS-150T地磅（三节），4台；3M*12M SCS-150T可移动式地磅（含钢构基础），1台， 采购预算约88万元。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1、符合《中华人民共和国政府采购法》第二十二条要求；</w:t>
      </w:r>
      <w:bookmarkStart w:id="90" w:name="_GoBack"/>
      <w:bookmarkEnd w:id="90"/>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olor w:val="000000"/>
          <w:sz w:val="21"/>
          <w:szCs w:val="21"/>
          <w:lang w:val="en-US" w:eastAsia="zh-CN"/>
        </w:rPr>
        <w:t>3、供应商存在以下不良信用记录情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1  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7 日9时30分。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 xml:space="preserve"> 7  </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30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霍山县衡山镇南岳西路8号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13856430620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20033，15955919757</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壹万伍仟元整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1 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2"/>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lang w:val="en-US" w:eastAsia="zh-CN"/>
              </w:rPr>
              <w:t>霍山县矿产资源开发有限责任公司</w:t>
            </w:r>
          </w:p>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地</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址：</w:t>
            </w:r>
            <w:r>
              <w:rPr>
                <w:rFonts w:hint="eastAsia" w:ascii="宋体" w:hAnsi="宋体" w:eastAsia="宋体" w:cs="宋体"/>
                <w:color w:val="auto"/>
                <w:szCs w:val="21"/>
                <w:highlight w:val="none"/>
                <w:u w:val="none"/>
                <w:lang w:val="en-US" w:eastAsia="zh-CN"/>
              </w:rPr>
              <w:t>霍山县衡山镇南岳西路8号</w:t>
            </w:r>
          </w:p>
          <w:p>
            <w:pPr>
              <w:adjustRightInd w:val="0"/>
              <w:snapToGrid w:val="0"/>
              <w:spacing w:line="320" w:lineRule="exact"/>
              <w:rPr>
                <w:rFonts w:hint="default"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联系人：</w:t>
            </w:r>
            <w:r>
              <w:rPr>
                <w:rFonts w:hint="eastAsia" w:ascii="宋体" w:hAnsi="宋体" w:eastAsia="宋体" w:cs="宋体"/>
                <w:color w:val="auto"/>
                <w:szCs w:val="21"/>
                <w:highlight w:val="none"/>
                <w:u w:val="none"/>
                <w:lang w:val="en-US" w:eastAsia="zh-CN"/>
              </w:rPr>
              <w:t>刘</w:t>
            </w:r>
            <w:r>
              <w:rPr>
                <w:rFonts w:hint="eastAsia" w:ascii="宋体" w:hAnsi="宋体" w:cs="宋体"/>
                <w:color w:val="auto"/>
                <w:szCs w:val="21"/>
                <w:highlight w:val="none"/>
                <w:u w:val="none"/>
                <w:lang w:val="en-US" w:eastAsia="zh-CN"/>
              </w:rPr>
              <w:t>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color w:val="auto"/>
                <w:szCs w:val="21"/>
                <w:highlight w:val="none"/>
                <w:u w:val="none"/>
              </w:rPr>
              <w:t>电</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话：</w:t>
            </w:r>
            <w:r>
              <w:rPr>
                <w:rFonts w:hint="eastAsia" w:ascii="宋体" w:hAnsi="宋体" w:cs="宋体"/>
                <w:i w:val="0"/>
                <w:caps w:val="0"/>
                <w:color w:val="auto"/>
                <w:spacing w:val="0"/>
                <w:sz w:val="21"/>
                <w:szCs w:val="21"/>
                <w:shd w:val="clear" w:color="auto" w:fill="FFFFFF"/>
                <w:lang w:val="en-US" w:eastAsia="zh-CN"/>
              </w:rPr>
              <w:t>13856430620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20033  15955919757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霍山县矿产资源开发有限责任公司废弃砂石处置利用点地磅及监控采购项目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33"/>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DBSCG-2020-01</w:t>
            </w:r>
            <w:r>
              <w:rPr>
                <w:rFonts w:hint="eastAsia" w:cs="宋体"/>
                <w:b/>
                <w:bCs w:val="0"/>
                <w:color w:val="auto"/>
                <w:kern w:val="2"/>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捌拾捌万元整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880000.00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45</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b/>
                <w:bCs/>
                <w:color w:val="000000"/>
                <w:sz w:val="24"/>
                <w:szCs w:val="24"/>
                <w:u w:val="none"/>
                <w:lang w:eastAsia="zh-CN"/>
              </w:rPr>
              <w:t>设备安装调试完成并经验收合格后一次性支付</w:t>
            </w:r>
            <w:r>
              <w:rPr>
                <w:rFonts w:hint="eastAsia" w:ascii="宋体" w:hAnsi="宋体"/>
                <w:b/>
                <w:bCs/>
                <w:color w:val="000000"/>
                <w:sz w:val="24"/>
                <w:szCs w:val="24"/>
                <w:u w:val="none"/>
                <w:lang w:val="en-US" w:eastAsia="zh-CN"/>
              </w:rPr>
              <w:t>80%（以实际安装数量结算），剩余20%作为质保金在一年质保期满且运行正常后支付。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霍山县矿产资源开发有限责任公司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成交签订合同后7天内完成供货</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zh-CN"/>
              </w:rPr>
              <w:t>验收合格之日起</w:t>
            </w:r>
            <w:r>
              <w:rPr>
                <w:rFonts w:hint="eastAsia" w:ascii="宋体" w:hAnsi="宋体"/>
                <w:b/>
                <w:bCs/>
                <w:color w:val="auto"/>
                <w:sz w:val="24"/>
                <w:szCs w:val="24"/>
                <w:lang w:val="en-US" w:eastAsia="zh-CN"/>
              </w:rPr>
              <w:t>一年</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4月7 日9时30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i w:val="0"/>
                <w:caps w:val="0"/>
                <w:color w:val="auto"/>
                <w:spacing w:val="0"/>
                <w:sz w:val="21"/>
                <w:szCs w:val="21"/>
                <w:shd w:val="clear" w:color="auto" w:fill="FFFFFF"/>
                <w:lang w:val="en-US" w:eastAsia="zh-CN"/>
              </w:rPr>
              <w:t>壹万伍仟元整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w:t>
            </w:r>
            <w:r>
              <w:rPr>
                <w:rFonts w:hint="eastAsia" w:ascii="宋体" w:hAnsi="宋体" w:eastAsia="宋体" w:cs="宋体"/>
                <w:bCs/>
                <w:color w:val="auto"/>
                <w:spacing w:val="-12"/>
                <w:szCs w:val="21"/>
                <w:highlight w:val="none"/>
                <w:lang w:val="zh-CN"/>
              </w:rPr>
              <w:t>间为：</w:t>
            </w:r>
            <w:r>
              <w:rPr>
                <w:rFonts w:hint="eastAsia" w:ascii="宋体" w:hAnsi="宋体" w:eastAsia="宋体" w:cs="宋体"/>
                <w:b/>
                <w:color w:val="auto"/>
                <w:spacing w:val="-12"/>
                <w:szCs w:val="21"/>
                <w:highlight w:val="none"/>
                <w:lang w:val="zh-CN"/>
              </w:rPr>
              <w:t>20</w:t>
            </w:r>
            <w:r>
              <w:rPr>
                <w:rFonts w:hint="eastAsia" w:ascii="宋体" w:hAnsi="宋体" w:cs="宋体"/>
                <w:b/>
                <w:color w:val="auto"/>
                <w:spacing w:val="-12"/>
                <w:szCs w:val="21"/>
                <w:highlight w:val="none"/>
                <w:lang w:val="en-US" w:eastAsia="zh-CN"/>
              </w:rPr>
              <w:t>20</w:t>
            </w:r>
            <w:r>
              <w:rPr>
                <w:rFonts w:hint="eastAsia" w:ascii="宋体" w:hAnsi="宋体" w:eastAsia="宋体" w:cs="宋体"/>
                <w:b/>
                <w:color w:val="auto"/>
                <w:spacing w:val="-12"/>
                <w:szCs w:val="21"/>
                <w:highlight w:val="none"/>
                <w:lang w:val="zh-CN"/>
              </w:rPr>
              <w:t>年</w:t>
            </w:r>
            <w:r>
              <w:rPr>
                <w:rFonts w:hint="eastAsia" w:ascii="宋体" w:hAnsi="宋体" w:cs="宋体"/>
                <w:b/>
                <w:color w:val="auto"/>
                <w:spacing w:val="-12"/>
                <w:szCs w:val="21"/>
                <w:highlight w:val="none"/>
                <w:lang w:val="en-US" w:eastAsia="zh-CN"/>
              </w:rPr>
              <w:t>4月 7 日9时30分</w:t>
            </w:r>
            <w:r>
              <w:rPr>
                <w:rFonts w:hint="eastAsia" w:ascii="宋体" w:hAnsi="宋体" w:eastAsia="宋体" w:cs="宋体"/>
                <w:b/>
                <w:color w:val="auto"/>
                <w:spacing w:val="-12"/>
                <w:szCs w:val="21"/>
                <w:highlight w:val="none"/>
                <w:lang w:val="zh-CN"/>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DBSCG-2020-01</w:t>
            </w:r>
            <w:r>
              <w:rPr>
                <w:rFonts w:hint="eastAsia" w:ascii="宋体" w:hAnsi="宋体" w:cs="宋体"/>
                <w:b/>
                <w:bCs w:val="0"/>
                <w:color w:val="auto"/>
                <w:kern w:val="2"/>
                <w:sz w:val="21"/>
                <w:szCs w:val="21"/>
                <w:highlight w:val="none"/>
                <w:lang w:val="en-US" w:eastAsia="zh-CN"/>
              </w:rPr>
              <w:t>3</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4"/>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34"/>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34"/>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4"/>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备注三</w:t>
            </w:r>
          </w:p>
        </w:tc>
        <w:tc>
          <w:tcPr>
            <w:tcW w:w="7568" w:type="dxa"/>
            <w:vAlign w:val="center"/>
          </w:tcPr>
          <w:p>
            <w:pPr>
              <w:pStyle w:val="34"/>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cs="宋体"/>
              </w:rPr>
              <w:t>参加开标会时应携带以下资料</w:t>
            </w:r>
            <w:r>
              <w:rPr>
                <w:rFonts w:hint="eastAsia" w:ascii="宋体" w:hAnsi="宋体" w:cs="宋体"/>
                <w:b/>
                <w:bCs/>
              </w:rPr>
              <w:t>原件现场查验</w:t>
            </w:r>
            <w:r>
              <w:rPr>
                <w:rFonts w:hint="eastAsia" w:ascii="宋体" w:hAnsi="宋体" w:cs="宋体"/>
              </w:rPr>
              <w:t>：授权委托代理人身份证和授权委托书原件</w:t>
            </w:r>
            <w:r>
              <w:rPr>
                <w:rFonts w:hint="eastAsia" w:ascii="宋体" w:hAnsi="宋体" w:cs="宋体"/>
                <w:b/>
              </w:rPr>
              <w:t>、</w:t>
            </w:r>
            <w:r>
              <w:rPr>
                <w:rFonts w:hint="eastAsia" w:ascii="宋体" w:hAnsi="宋体" w:cs="宋体"/>
                <w:b/>
                <w:lang w:val="en-US" w:eastAsia="zh-CN"/>
              </w:rPr>
              <w:t>保证金进账单</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35"/>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438648662"/>
      <w:bookmarkStart w:id="15" w:name="_Toc216158625"/>
      <w:bookmarkStart w:id="16" w:name="_Toc1280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5"/>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6"/>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Style w:val="17"/>
        <w:tblW w:w="9804" w:type="dxa"/>
        <w:tblInd w:w="0" w:type="dxa"/>
        <w:shd w:val="clear" w:color="auto" w:fill="auto"/>
        <w:tblLayout w:type="fixed"/>
        <w:tblCellMar>
          <w:top w:w="0" w:type="dxa"/>
          <w:left w:w="0" w:type="dxa"/>
          <w:bottom w:w="0" w:type="dxa"/>
          <w:right w:w="0" w:type="dxa"/>
        </w:tblCellMar>
      </w:tblPr>
      <w:tblGrid>
        <w:gridCol w:w="450"/>
        <w:gridCol w:w="1697"/>
        <w:gridCol w:w="6742"/>
        <w:gridCol w:w="375"/>
        <w:gridCol w:w="540"/>
      </w:tblGrid>
      <w:tr>
        <w:tblPrEx>
          <w:shd w:val="clear" w:color="auto" w:fill="auto"/>
          <w:tblCellMar>
            <w:top w:w="0" w:type="dxa"/>
            <w:left w:w="0" w:type="dxa"/>
            <w:bottom w:w="0" w:type="dxa"/>
            <w:right w:w="0"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序号</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项目名称</w:t>
            </w:r>
          </w:p>
        </w:tc>
        <w:tc>
          <w:tcPr>
            <w:tcW w:w="67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项目特征描述</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单位</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数量</w:t>
            </w:r>
          </w:p>
        </w:tc>
      </w:tr>
      <w:tr>
        <w:tblPrEx>
          <w:shd w:val="clear" w:color="auto" w:fill="auto"/>
          <w:tblCellMar>
            <w:top w:w="0" w:type="dxa"/>
            <w:left w:w="0" w:type="dxa"/>
            <w:bottom w:w="0" w:type="dxa"/>
            <w:right w:w="0" w:type="dxa"/>
          </w:tblCellMar>
        </w:tblPrEx>
        <w:trPr>
          <w:trHeight w:val="578"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一、地磅项目（4节 16米地磅）</w:t>
            </w:r>
          </w:p>
        </w:tc>
      </w:tr>
      <w:tr>
        <w:tblPrEx>
          <w:shd w:val="clear" w:color="auto" w:fill="auto"/>
          <w:tblCellMar>
            <w:top w:w="0" w:type="dxa"/>
            <w:left w:w="0" w:type="dxa"/>
            <w:bottom w:w="0" w:type="dxa"/>
            <w:right w:w="0" w:type="dxa"/>
          </w:tblCellMar>
        </w:tblPrEx>
        <w:trPr>
          <w:trHeight w:val="28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秤台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（面板14mm）</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right="1264" w:rightChars="602"/>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规格型号Specifications Model 3米* 16米 4节SCS-150t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最大称量The Largest Weighing 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检定分度Test Index 20kg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实际分度值Test Index 10kg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安全过载 Save Overloaded 120%FS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极限过载 Ultimate Overloaded 150%FS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台面厚度 Surface Thickness 14mm</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秤体结构 Said Structure U型结构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主梁规格 Main Specification 340U型槽6道，碳钢Q235材质，封底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地基形式 Basic Form 浅基坑、无基坑</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精度等级 Accuracy Class C3, OIML III级   （精度高、灵敏度强）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 Power Supply 220VAC(－15％～＋10％),50HZ±2％</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13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柯力PL-D40T传感器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数字产品，精度高，优于C3；</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材质可分为优质合金钢、不锈钢，密封等级可达到IP68；</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双航空插拔式接口，可串联组秤，免接线盒，整套秤体系统防护等级IP68；防雷击浪涌能力强，可达80KA；承载钢球配橡胶防尘罩，可在泥沙、油污等恶劣环境下长期使用；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采用双屏蔽防鼠咬导线，防啮齿动物撕咬破坏导线； 产品现场安装快捷方便。质保一年。</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11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c>
          <w:tcPr>
            <w:tcW w:w="169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柯力D2008防作弊仪表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配备RS-232C（RS422/RS485选配）通讯口，配备电流环大屏幕通讯口；配备标准并行打印接口。连接方式Connection mode RS485方式通讯距离Communication distance 约1000米接传感器个数Then the number of sensors 10个通讯协议Communication protocol 宁波柯力， 传感器电源Sensor power supply  DC 10V，0.8A（Max）</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显示范围Display range －325000～325000（d=10）</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柯力J6防雷接线盒</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连接所有数字传感器，经过AD转换通过信号线把数据传输给数字仪表，不锈钢材质密封处理，防护等级IP68</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30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7寸大屏</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远距离观察称重结果，可作为称重装置的辅助显示器。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与计算机连接，作为系统的辅助显示器。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称重仪表须配置相应的通讯接口.</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基本功能: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动态扫描锁存技术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高亮度数码块，特制的光学滤波薄膜，视角范围大；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显示系统或仪表输出的毛重</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技术参数: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显示字符：6位LED字高125mm数码管；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电源：AC 187～242V；49～51Hz；</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通讯接口：RS232方式/电流环方式；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使用环境温度：0～40℃；</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使用环境湿度：≤85％RH；</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72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697"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网络版智能称重软件</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对日常过磅常用信息进行预存，集成销售、进料、车牌识别、抓拍、客户管理、财务管理、合同管理等模块 如车号，货号收货单位，发货单位，规格等输入时直接点鼠标选择即可，减少人工输入汉字的麻烦，可按时间段进行查询统计汇总称重数据，重量不能手工输入，设置司磅员登陆密码。(可定制功能)</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运输费用及安装</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tabs>
                <w:tab w:val="left" w:pos="6930"/>
              </w:tabs>
              <w:ind w:right="527" w:rightChars="251"/>
              <w:rPr>
                <w:rFonts w:hint="eastAsia" w:ascii="宋体" w:hAnsi="宋体" w:eastAsia="宋体" w:cs="宋体"/>
                <w:i w:val="0"/>
                <w:color w:val="000000"/>
                <w:sz w:val="16"/>
                <w:szCs w:val="16"/>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3045"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8</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车牌自动识别系统</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摄像机类型：1/1.8" 逐行扫描CMOS，200万像素彩色逐行扫描CMOS高清智能摄像机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接口检查：1路RJ45 10M/100M/1000M自适应以太网口，1路RS-485 接口，1路RS-232接口，4路IO输入接口，1路IO输出接口，2路继电器输出，1个SYNC接口，1路BNC输出接口，1路音频输入，1路音频输出，1路TF卡插槽，1路USB接口，3颗LED补光灯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★最小照度：彩色0.002Lux@(F1.2,AGC ON)，黑白0.0002Lux @(F1.2,AGC ON)</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视频压缩标准：H.265、H.264（Main Profile，High Profile,Baseline Profile)、M=JPEG、MPEG4</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Smart 264编码：在静止场景下，图片质量无明显劣化得条件下，设备开启Smart264功能后，码流可降低至1/3；帧率：1-25帧/秒可设置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音频编码：支持G.711a、G.711u、AAC、ADPCM音频编码标准，可根据需要扩展。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图像分辨率：包含OSD，最大为1920*1592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视频亮度自适应：对准光源并调节光源亮度从暗到亮，监视画面能根据光源亮度变化进行自动调节至正常显示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宽动态范围：120db；信噪比≥60dB</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三码输出：可同时输出主码流、子码流及第三路码流三种不同分辨率的视频图像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视频压缩格式设置：可设置视频压缩格式为H.265（默认）或者MJPEG格式。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TF卡存储功能：可在网络连接失效情况下，将抓拍的图片存储至设备自带的TF卡中，支持自动识别格式化，并支持图片检索，自动覆盖，自动上传功能。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网络数据存储功能：可将数据直接存储在通过网络连接的存储设备中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断网续传功能：在正常工作情况下，当网络断开时，可将抓拍图片和录像文件存储于样机内置TF卡内，当网络恢复时，可继续上传图片和录像文件到客户端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15、 ★新能源车牌识别功能：在天气晴朗无雾，号牌无遮挡，无污损的条件进行测试，白天测试时的环境光照度不低于200lux，晚上不高于30lux。可对车道内的新能源车车牌进行识别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16、 抗干扰功能：视频模式下，设备具备一定的抗干扰功能，支持空拍和同一辆车重复抓拍的过滤。</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车牌识别范围：支持对车牌宽度范围从80*25到1200*300像素、水平倾斜角度范围从0到40度的车牌进行识别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18、 支持TCP/IP、HTTPS、FTP、DSN、RTP、RTSP、RTC、NTP、UpnP、IPv6、DHCP、802.1x等网络协议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19、 ★倾斜车牌识别功能：在倾斜的情况下可对车辆的特征信息进行识别，包括车牌号码、车身颜色、车辆类型、车辆品牌以及车辆子品牌等功能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20、 车流量统计功能：支持对通过车辆进行车流量统计功能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21、 ★车辆子品牌识别功能：可识别常见3000种车辆子品牌种类，识别准确率白天≥97%，夜间≥95%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22、 黑白名单上传功能：支持黑白名单上传功能，1S内同步128条数据；黑白名单控制功能：可根据存储的黑白名单自动控制外接道闸开/管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23、 浪涌（冲击）抗扰度：符合GB/T 17626.5-2008中规定的，AC电源端口：线-线等级2、线-地6KV；其他电\信号线端口：线-地等级2.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24、 泄漏电流≤5mA；绝缘电阻：受潮处理后，≥2MΩ；抗电强度：1.5KV 1min，无飞弧和击穿现象。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25、 外壳防护等级：IP67；工作温度：-40℃~80℃；功耗&lt;15w；电源：AC220V +/-25%的供电条件下正常工作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二、补光设备：1、 16颗原装进口大功率（暖光）LED常亮灯；（带N为暖光灯）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三车道环境补光灯，最佳补光距离16m～25m；最大功率30W</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★补光灯自带光敏控制，在低照度下自动开启，低照度阀值可设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支持自闪、跟随、自动频闪（外部摄像机触发）模式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★频率0-250HZ可调；支持通过调整占空比1%~39%进行亮度调节</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支持在频率≥250HZ或占空比≥39%时进行自我保护，自动熄灭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★支持爆闪功能，爆闪持续时间、延迟时间及最小间隔时间可设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支持通过同步输出端口级联</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可远程显示补光灯故障、正常、开启、关闭等工作状态</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电源电压在AC80V~264V范围内变化时，设备能正常工作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工作环境-40℃~85℃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防护等级IP66</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可外配光栅可有效减少周边光污染</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left" w:pos="1260"/>
              </w:tabs>
              <w:ind w:right="779" w:rightChars="371"/>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680" w:hRule="atLeast"/>
        </w:trPr>
        <w:tc>
          <w:tcPr>
            <w:tcW w:w="4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w:t>
            </w:r>
          </w:p>
        </w:tc>
        <w:tc>
          <w:tcPr>
            <w:tcW w:w="169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主信号线缆</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采用6芯双屏蔽信号线，材质为铜</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760"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二、地磅项目（3节 16米地磅）</w:t>
            </w:r>
          </w:p>
        </w:tc>
      </w:tr>
      <w:tr>
        <w:tblPrEx>
          <w:shd w:val="clear" w:color="auto" w:fill="auto"/>
          <w:tblCellMar>
            <w:top w:w="0" w:type="dxa"/>
            <w:left w:w="0" w:type="dxa"/>
            <w:bottom w:w="0" w:type="dxa"/>
            <w:right w:w="0" w:type="dxa"/>
          </w:tblCellMar>
        </w:tblPrEx>
        <w:trPr>
          <w:trHeight w:val="28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秤台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（面板14mm）</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规格型号Specifications Model 3米* 16米 3节SCS-150t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最大称量The Largest Weighing 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检定分度Test Index 20kg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实际分度值Test Index 10kg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安全过载 Save Overloaded 120%FS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极限过载 Ultimate Overloaded 150%FS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台面厚度 Surface Thickness 14mm</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秤体结构 Said Structure U型结构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主梁规格 Main Specification 360U型槽6道，碳钢Q235材质，封底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地基形式 Basic Form 浅基坑、无基坑</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精度等级 Accuracy Class C3, OIML III级   （精度高、灵敏度强）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 Power Supply 220VAC(－15％～＋10％),50HZ±2％</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12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柯力PL-D40T传感器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数字产品，精度高，优于C3；</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材质可分为优质合金钢、不锈钢，密封等级可达到IP68；</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双航空插拔式接口，可串联组秤，免接线盒，整套秤体系统防护等级IP68；防雷击浪涌能力强，可达80KA；承载钢球配橡胶防尘罩，可在泥沙、油污等恶劣环境下长期使用；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采用双屏蔽防鼠咬导线，防啮齿动物撕咬破坏导线； 产品现场安装快捷方便。质保一年。</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455"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c>
          <w:tcPr>
            <w:tcW w:w="169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柯力D2008防作弊仪表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配备RS-232C（RS422/RS485选配）通讯口，配备电流环大屏幕通讯口；配备标准并行打印接口。连接方式Connection mode RS485方式通讯距离Communication distance 约1000米接传感器个数Then the number of sensors 10个通讯协议Communication protocol 宁波柯力， 传感器电源Sensor power supply  DC 10V，0.8A（Max）</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显示范围Display range －325000～325000（d=10）</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柯力J6防雷接线盒</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连接所有数字传感器，经过AD转换通过信号线把数据传输给数字仪表，不锈钢材质密封处理，防护等级IP68</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32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7寸大屏</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远距离观察称重结果，可作为称重装置的辅助显示器。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与计算机连接，作为系统的辅助显示器。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称重仪表须配置相应的通讯接口.</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基本功能: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动态扫描锁存技术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高亮度数码块，特制的光学滤波薄膜，视角范围大；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显示系统或仪表输出的毛重</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技术参数: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显示字符：6位LED字高125mm数码管；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电源：AC 187～242V；49～51Hz；</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通讯接口：RS232方式/电流环方式；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使用环境温度：0～40℃；</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使用环境湿度：≤85％RH；</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7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697"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网络版智能称重软件</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对日常过磅常用信息进行预存，集成销售、进料、车牌识别、抓拍、客户管理、财务管理、合同管理等模块 如车号，货号收货单位，发货单位，规格等输入时直接点鼠标选择即可，减少人工输入汉字的麻烦，可按时间段进行查询统计汇总称重数据，重量不能手工输入，设置司磅员登陆密码。(可定制功能)</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6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运输费用及安装</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4495"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8</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车牌自动识别系统</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摄像机类型：1/1.8" 逐行扫描CMOS，200万像素彩色逐行扫描CMOS高清智能摄像机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接口检查：1路RJ45 10M/100M/1000M自适应以太网口，1路RS-485 接口，1路RS-232接口，4路IO输入接口，1路IO输出接口，2路继电器输出，1个SYNC接口，1路BNC输出接口，1路音频输入，1路音频输出，1路TF卡插槽，1路USB接口，3颗LED补光灯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★最小照度：彩色0.002Lux@(F1.2,AGC ON)，黑白0.0002Lux @(F1.2,AGC ON)</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视频压缩标准：H.265、H.264（Main Profile，High Profile,Baseline Profile)、M=JPEG、MPEG4</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Smart 264编码：在静止场景下，图片质量无明显劣化得条件下，设备开启Smart264功能后，码流可降低至1/3；帧率：1-25帧/秒可设置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音频编码：支持G.711a、G.711u、AAC、ADPCM音频编码标准，可根据需要扩展。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图像分辨率：包含OSD，最大为1920*1592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视频亮度自适应：对准光源并调节光源亮度从暗到亮，监视画面能根据光源亮度变化进行自动调节至正常显示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宽动态范围：120db；信噪比≥60dB</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三码输出：可同时输出主码流、子码流及第三路码流三种不同分辨率的视频图像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视频压缩格式设置：可设置视频压缩格式为H.265（默认）或者MJPEG格式。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TF卡存储功能：可在网络连接失效情况下，将抓拍的图片存储至设备自带的TF卡中，支持自动识别格式化，并支持图片检索，自动覆盖，自动上传功能。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网络数据存储功能：可将数据直接存储在通过网络连接的存储设备中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断网续传功能：在正常工作情况下，当网络断开时，可将抓拍图片和录像文件存储于样机内置TF卡内，当网络恢复时，可继续上传图片和录像文件到客户端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15、 ★新能源车牌识别功能：在天气晴朗无雾，号牌无遮挡，无污损的条件进行测试，白天测试时的环境光照度不低于200lux，晚上不高于30lux。可对车道内的新能源车车牌进行识别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16、 抗干扰功能：视频模式下，设备具备一定的抗干扰功能，支持空拍和同一辆车重复抓拍的过滤。</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车牌识别范围：支持对车牌宽度范围从80*25到1200*300像素、水平倾斜角度范围从0到40度的车牌进行识别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18、 支持TCP/IP、HTTPS、FTP、DSN、RTP、RTSP、RTC、NTP、UpnP、IPv6、DHCP、802.1x等网络协议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19、 ★倾斜车牌识别功能：在倾斜的情况下可对车辆的特征信息进行识别，包括车牌号码、车身颜色、车辆类型、车辆品牌以及车辆子品牌等功能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20、 车流量统计功能：支持对通过车辆进行车流量统计功能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21、 ★车辆子品牌识别功能：可识别常见3000种车辆子品牌种类，识别准确率白天≥97%，夜间≥95%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22、 黑白名单上传功能：支持黑白名单上传功能，1S内同步128条数据；黑白名单控制功能：可根据存储的黑白名单自动控制外接道闸开/管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23、 浪涌（冲击）抗扰度：符合GB/T 17626.5-2008中规定的，AC电源端口：线-线等级2、线-地6KV；其他电\信号线端口：线-地等级2.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24、 泄漏电流≤5mA；绝缘电阻：受潮处理后，≥2MΩ；抗电强度：1.5KV 1min，无飞弧和击穿现象。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25、 外壳防护等级：IP67；工作温度：-40℃~80℃；功耗&lt;15w；电源：AC220V +/-25%的供电条件下正常工作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二、补光设备：1、 16颗原装进口大功率（暖光）LED常亮灯；（带N为暖光灯）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三车道环境补光灯，最佳补光距离16m～25m；最大功率30W</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★补光灯自带光敏控制，在低照度下自动开启，低照度阀值可设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支持自闪、跟随、自动频闪（外部摄像机触发）模式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★频率0-250HZ可调；支持通过调整占空比1%~39%进行亮度调节</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支持在频率≥250HZ或占空比≥39%时进行自我保护，自动熄灭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★支持爆闪功能，爆闪持续时间、延迟时间及最小间隔时间可设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支持通过同步输出端口级联</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可远程显示补光灯故障、正常、开启、关闭等工作状态</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电源电压在AC80V~264V范围内变化时，设备能正常工作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工作环境-40℃~85℃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防护等级IP66</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可外配光栅可有效减少周边光污染</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60" w:hRule="atLeast"/>
        </w:trPr>
        <w:tc>
          <w:tcPr>
            <w:tcW w:w="4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w:t>
            </w:r>
          </w:p>
        </w:tc>
        <w:tc>
          <w:tcPr>
            <w:tcW w:w="169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主信号线缆</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采用6芯双屏蔽信号线，材质为铜</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r>
      <w:tr>
        <w:tblPrEx>
          <w:shd w:val="clear" w:color="auto" w:fill="auto"/>
          <w:tblCellMar>
            <w:top w:w="0" w:type="dxa"/>
            <w:left w:w="0" w:type="dxa"/>
            <w:bottom w:w="0" w:type="dxa"/>
            <w:right w:w="0" w:type="dxa"/>
          </w:tblCellMar>
        </w:tblPrEx>
        <w:trPr>
          <w:trHeight w:val="500"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三、地磅项目（3节 12米地磅）</w:t>
            </w:r>
          </w:p>
        </w:tc>
      </w:tr>
      <w:tr>
        <w:tblPrEx>
          <w:shd w:val="clear" w:color="auto" w:fill="auto"/>
          <w:tblCellMar>
            <w:top w:w="0" w:type="dxa"/>
            <w:left w:w="0" w:type="dxa"/>
            <w:bottom w:w="0" w:type="dxa"/>
            <w:right w:w="0" w:type="dxa"/>
          </w:tblCellMar>
        </w:tblPrEx>
        <w:trPr>
          <w:trHeight w:val="1155"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秤台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（面板14mm）</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right="2325" w:rightChars="1107"/>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规格型号Specifications Model 3米 *12米 3节SCS-150t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最大称量The Largest Weighing 150t</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检定分度Test Index 20kg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实际分度值Test Index 10kg</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安全过载 Save Overloaded 120%FS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极限过载 Ultimate Overloaded 150%FS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台面厚度 Surface Thickness 14mm</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秤体结构 Said Structure U型结构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主梁规格 Main Specification 360U型槽6道，碳钢Q235材质，封底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地基形式 Basic Form 浅基坑、无基坑</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精度等级 Accuracy Class C3, OIML III级   （精度高、灵敏度强）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 Power Supply 220VAC(－15％～＋10％),50HZ±2％</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1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柯力PL-D40T传感器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数字产品，精度高，优于C3；</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材质可分为优质合金钢、不锈钢，密封等级可达到IP68；</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双航空插拔式接口，可串联组秤，免接线盒，整套秤体系统防护等级IP68；防雷击浪涌能力强，可达80KA；承载钢球配橡胶防尘罩，可在泥沙、油污等恶劣环境下长期使用；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采用双屏蔽防鼠咬导线，防啮齿动物撕咬破坏导线； 产品现场安装快捷方便。质保一年。</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112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c>
          <w:tcPr>
            <w:tcW w:w="169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柯力D2008防作弊仪表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配备RS-232C（RS422/RS485选配）通讯口，配备电流环大屏幕通讯口；配备标准并行打印接口。连接方式Connection mode RS485方式通讯距离Communication distance 约1000米接传感器个数Then the number of sensors 10个通讯协议Communication protocol 宁波柯力， 传感器电源Sensor power supply  DC 10V，0.8A（Max）</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显示范围Display range －325000～325000（d=10）</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56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柯力J6防雷接线盒</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连接所有数字传感器，经过AD转换通过信号线把数据传输给数字仪表，不锈钢材质密封处理，防护等级IP68</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306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7寸大屏</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远距离观察称重结果，可作为称重装置的辅助显示器。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与计算机连接，作为系统的辅助显示器。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称重仪表须配置相应的通讯接口.</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基本功能: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动态扫描锁存技术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高亮度数码块，特制的光学滤波薄膜，视角范围大；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显示系统或仪表输出的毛重</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技术参数:</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显示字符：6位LED字高125mm数码管；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电源：AC 187～242V；49～51Hz；</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通讯接口：RS232方式/电流环方式；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使用环境温度：0～40℃；</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使用环境湿度：≤85％RH；</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个</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72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697"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网络版智能称重软件</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对日常过磅常用信息进行预存，集成销售、进料、车牌识别、抓拍、客户管理、财务管理、合同管理等模块 如车号，货号收货单位，发货单位，规格等输入时直接点鼠标选择即可，减少人工输入汉字的麻烦，可按时间段进行查询统计汇总称重数据，重量不能手工输入，设置司磅员登陆密码。(可定制功能)</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5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运输费用及安装</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792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8</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车牌自动识别系统</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tabs>
                <w:tab w:val="left" w:pos="630"/>
              </w:tabs>
              <w:ind w:right="1905" w:rightChars="907"/>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摄像机类型：1/1.8" 逐行扫描CMOS，200万像素彩色逐行扫描CMOS高清智能摄像机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接口检查：1路RJ45 10M/100M/1000M自适应以太网口，1路RS-485 接口，1路RS-232接口，4路IO输入接口，1路IO输出接口，2路继电器输出，1个SYNC接口，1路BNC输出接口，1路音频输入，1路音频输出，1路TF卡插槽，1路USB接口，3颗LED补光灯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★最小照度：彩色0.002Lux@(F1.2,AGC ON)，黑白0.0002Lux @(F1.2,AGC ON)</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视频压缩标准：H.265、H.264（Main Profile，High Profile,Baseline Profile)、M=JPEG、MPEG4</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Smart 264编码：在静止场景下，图片质量无明显劣化得条件下，设备开启Smart264功能后，码流可降低至1/3；帧率：1-25帧/秒可设置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音频编码：支持G.711a、G.711u、AAC、ADPCM音频编码标准，可根据需要扩展。</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图像分辨率：包含OSD，最大为1920*1592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视频亮度自适应：对准光源并调节光源亮度从暗到亮，监视画面能根据光源亮度变化进行自动调节至正常显示</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宽动态范围：120db；信噪比≥60dB</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三码输出：可同时输出主码流、子码流及第三路码流三种不同分辨率的视频图像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视频压缩格式设置：可设置视频压缩格式为H.265（默认）或者MJPEG格式。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TF卡存储功能：可在网络连接失效情况下，将抓拍的图片存储至设备自带的TF卡中，支持自动识别格式化，并支持图片检索，自动覆盖，自动上传功能。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网络数据存储功能：可将数据直接存储在通过网络连接的存储设备中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断网续传功能：在正常工作情况下，当网络断开时，可将抓拍图片和录像文件存储于样机内置TF卡内，当网络恢复时，可继续上传图片和录像文件到客户端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15、 ★新能源车牌识别功能：在天气晴朗无雾，号牌无遮挡，无污损的条件进行测试，白天测试时的环境光照度不低于200lux，晚上不高于30lux。可对车道内的新能源车车牌进行识别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16、 抗干扰功能：视频模式下，设备具备一定的抗干扰功能，支持空拍和同一辆车重复抓拍的过滤。</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车牌识别范围：支持对车牌宽度范围从80*25到1200*300像素、水平倾斜角度范围从0到40度的车牌进行识别</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18、 支持TCP/IP、HTTPS、FTP、DSN、RTP、RTSP、RTC、NTP、UpnP、IPv6、DHCP、802.1x等网络协议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19、 ★倾斜车牌识别功能：在倾斜的情况下可对车辆的特征信息进行识别，包括车牌号码、车身颜色、车辆类型、车辆品牌以及车辆子品牌等功能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20、 车流量统计功能：支持对通过车辆进行车流量统计功能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21、 ★车辆子品牌识别功能：可识别常见3000种车辆子品牌种类，识别准确率白天≥97%，夜间≥95%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22、 黑白名单上传功能：支持黑白名单上传功能，1S内同步128条数据；黑白名单控制功能：可根据存储的黑白名单自动控制外接道闸开/管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23、 浪涌（冲击）抗扰度：符合GB/T 17626.5-2008中规定的，AC电源端口：线-线等级2、线-地6KV；其他电\信号线端口：线-地等级2.</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24、 泄漏电流≤5mA；绝缘电阻：受潮处理后，≥2MΩ；抗电强度：1.5KV 1min，无飞弧和击穿现象。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25、 外壳防护等级：IP67；工作温度：-40℃~80℃；功耗&lt;15w；电源：AC220V +/-25%的供电条件下正常工作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二、补光设备：1、 16颗原装进口大功率（暖光）LED常亮灯；（带N为暖光灯）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三车道环境补光灯，最佳补光距离16m～25m；最大功率30W</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★补光灯自带光敏控制，在低照度下自动开启，低照度阀值可设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支持自闪、跟随、自动频闪（外部摄像机触发）模式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★频率0-250HZ可调；支持通过调整占空比1%~39%进行亮度调节</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支持在频率≥250HZ或占空比≥39%时进行自我保护，自动熄灭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★支持爆闪功能，爆闪持续时间、延迟时间及最小间隔时间可设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支持通过同步输出端口级联</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可远程显示补光灯故障、正常、开启、关闭等工作状态</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电源电压在AC80V~264V范围内变化时，设备能正常工作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工作环境-40℃~85℃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防护等级IP66</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可外配光栅可有效减少周边光污染</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680" w:hRule="atLeast"/>
        </w:trPr>
        <w:tc>
          <w:tcPr>
            <w:tcW w:w="4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w:t>
            </w:r>
          </w:p>
        </w:tc>
        <w:tc>
          <w:tcPr>
            <w:tcW w:w="1697"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主信号线缆</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采用6芯双屏蔽信号线，材质为铜</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440"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四、监控项目</w:t>
            </w:r>
          </w:p>
        </w:tc>
      </w:tr>
      <w:tr>
        <w:tblPrEx>
          <w:shd w:val="clear" w:color="auto" w:fill="auto"/>
          <w:tblCellMar>
            <w:top w:w="0" w:type="dxa"/>
            <w:left w:w="0" w:type="dxa"/>
            <w:bottom w:w="0" w:type="dxa"/>
            <w:right w:w="0" w:type="dxa"/>
          </w:tblCellMar>
        </w:tblPrEx>
        <w:trPr>
          <w:trHeight w:val="58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摄像头（枪机）</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具有不小于1/2.8 inch逐行扫描200万像素CMOS图像传感器；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焦距：4.mm/6.0mm/8.0mm/12.0mm可选；</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图像分辨力不小于1100线，亮度等级不小于11级；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★最低照度：≤0.0005lx（彩色）、≤0.0001lx（黑白），提供公安部权威机构出具的报告加盖原厂公章复印件；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支持H.265、H.264视频编码，支持数字降噪、透雾功能、区域遮盖、走廊模式；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★具备宽动态能力，宽动态能力综合评分得分不低于136，支持宽动态条纹抑制，提供公安部权威机构出具的报告加盖原厂公章复印件；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★具有字符叠加（OSD）功能，字体颜色、描边、背景、空心可设置，可在视频图像叠加图片，叠加的OSD可在屏幕中滚动显示，提供公安部权威机构出具的报告加盖原厂公章复印件；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★支持智能红外功能，可根据被摄物的距离自动调节红外光功率密度，红外作用距离可达250m，提供公安部权威机构出具的报告加盖原厂公章复印件；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支持区域入侵、越界入侵、移动侦测等智能行为分析；</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★为了保证前端设备接入访问的安全性，支持密码复杂度提示、故障报警功能，支持认证模式设置，设置选项包括无、basic、和digest三种，提供公安部权威机构出具的报告加盖原厂公章复印件；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支持网关ARP绑定功能，摄像机可通过IE浏览器添加并绑定所在网段网关的MAC地址，当其它终端设备访问摄像机时，在使用正确网关MAC地址时可正常访问摄像机，当使用错误网关的MAC地址时不能访问摄像机，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支持TCP/IP、HTTP、HTTPS、RTSP、SNMP、组播网络协议；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★支持安全接入功能，当摄像机在管理平台软件注册并上线后，只能通过管理平台软件配置和管理摄像机，不能通过其他方式登录、配置和管理摄像机，提供公安部权威机构出具的报告加盖原厂公章复印件；；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支持友好密码功能，启用该策略时与摄像机处于同一网段的地址可以使用摄像机出厂密码登录和访问，跨网段的地址只能使用复杂度为高的密码登录和访问摄像机，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15. ★电源电压在DC12V±35%范围内变化时，摄像机可正常工作，当直流电源接口正负反接时，摄像机可正常工作，提供公安部权威机构出具的报告盖章复印件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16. 支持不低于IP66防护等级；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★符合GA/T1127-2013安全防范视频监控摄像机通用技术要求，提供公安部权威机构出具的报告加盖原厂公章复印件；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r>
      <w:tr>
        <w:tblPrEx>
          <w:shd w:val="clear" w:color="auto" w:fill="auto"/>
          <w:tblCellMar>
            <w:top w:w="0" w:type="dxa"/>
            <w:left w:w="0" w:type="dxa"/>
            <w:bottom w:w="0" w:type="dxa"/>
            <w:right w:w="0" w:type="dxa"/>
          </w:tblCellMar>
        </w:tblPrEx>
        <w:trPr>
          <w:trHeight w:val="46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摄像头（半球）</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1.具有不小于1/2.7英寸逐行扫描200万像素CMOS图像传感器；</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2.焦距：2.8mm/4mm/6mm，焦距可选；</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3.支持H.265、H.264视频编码；分辨率1920*1080；最低照度：≤0.005lx（彩色）、≤0.0005lx（黑白）；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4.★支持OSD显示功能，字体颜色、描边、背景、空心可设置，叠加的OSD可以在屏幕中滚动显示, 可以叠加图片格式的OSD，提供公安部权威机构出具的报告加盖原厂公章复印件；；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5.支持数字降噪、透雾功能、区域遮盖、走廊模式、宽动态功能；支持区域入侵、越界入侵、快速移动智能行为分析；</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6.★具有多种场景设置供选择，可手动切换或根据时间、光照范围和仰角实现自动切换功能，提供公安部权威机构出具的报告加盖原厂公章复印件；；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7.★静止场景，相同图像质量下，使用H.265/H.254编码格式开启智能编码高级模式与基础模式相比，码流可节省码流85%，提供公安部权威机构出具的报告加盖原厂公章复印件；；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8.★支持密码复杂度提示、非法登陆、telnet访问方式默认关闭、认证模式支持（无、basic、digest）三种，网关ARP绑定功能，视频水印功能，提供公安部权威机构出具的报告加盖原厂公章复印件；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9.支持TCP/IP、HTTP、HTTPS、RTSP、DHCP、NTP网络协议；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10.支持不低于IP66防护等级；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11.★支持智能红外功能，红外灯开启时，摄像机可根据被摄物的距离自动调节红外光功率密度，提供公安部权威机构出具的报告加盖原厂公章复印件；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12.支持DC12V±25%供电；</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13.★支持电源备份功能，摄像机可同时采用DC12V和POE供电，当一路电源停止供电后，摄像机可正常工作，提供公安部权威机构出具的报告加盖原厂公章复印件；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14.符合GA/T1127-2013安全防范视频监控摄像机通用技术要求。</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shd w:val="clear" w:color="auto" w:fill="auto"/>
          <w:tblCellMar>
            <w:top w:w="0" w:type="dxa"/>
            <w:left w:w="0" w:type="dxa"/>
            <w:bottom w:w="0" w:type="dxa"/>
            <w:right w:w="0" w:type="dxa"/>
          </w:tblCellMar>
        </w:tblPrEx>
        <w:trPr>
          <w:trHeight w:val="2305"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16路硬盘录像机</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2盘位硬盘录像机，可接入不少于16路的1080P高清网络视频；</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★具有不少于2个RJ45 10M/100M/1000M自适应以太网口、1个HDMI接口、1个VGA接口、1个CVBS视频输出接口、1对音频输入/输出接口、2个USB2.0、1个USB3.0接口、8路报警输入/2路报警输出接口、1个RS232、1个RS485接口、2个SATA3.0接口，提供公安部检测机构产品专业认证测试报告；</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★具有1个硬盘指示灯（HD）、运行指示灯（RUN）、网络运行状态指示灯（NET）、云状态指示灯、电源指示灯，提供公安部检测机构产品专业认证测试报告复印件加盖原厂公章；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支持4路12MP视频图像同时输出，或4路4K视频图像同时解码，或16路1920×1080分辨率的H265/264格式的IPC视频同时解码；</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★支持指定网段搜索添加IPC，支持一键添加局域网内IPC出图像，自动修改IPC的IP地址，提供公安部权威机构出具的报告复印件加盖原厂公章；；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支持HDMI1与VGA接口之间输出相同的视频画面，支持HDMI2与VGA接口之间输出不同的视频画面；</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支持标准GB/T28181协议、标准ONVIF协议、RSTP、自定义等协议的网络摄像机接入；</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支持对接入的IPC进行带宽检测，可查看IPC的总带宽；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支持1/4/6/8/9/16分屏预览模式，支持多屏同时预览，同时轮切，支持预览界面拖动窗格进行图像位置互换；</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★支持1/2/3画面的走廊模式回放，支持对IPC进行图像镜像配置，提供公安部检测机构产品专业认证测试报告复印件加盖原厂公章；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★支持自动开启摄像机智能编码和H.265，提供公安部检测机构产品专业认证测试报告；</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★支持对前端IPC直接开启音频及语音对讲，并在预览界面叠加图标OSD，提供公安部检测机构产品专业认证测试报告复印件加盖原厂公章；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13. 支持配额存储配置，可对摄像机分配不同的存储空间，支持硬盘SMART信息检测，支持前端摄像机断网恢复后，自动接收摄像机SD卡存储的视频图像；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支持多种基本回放模式：标签回放、事件回放、外部文件回放、日志回放，支持回放断电、断网前一秒的录像；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15. 支持16路人机同步回放，支持1/8、1/4、1/2、1、2、4、8、16、32、64、128、256倍速正放；1、2、4、8、16、32、64、128、256倍速倒放；</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16. ★支持录像剪辑，并用不同颜色标记处剪辑的录像时间范围，提供公安部检测机构产品专业认证测试报告；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支持运动检测、视频丢失、音频检测、遮挡检测、开关量等多种告警上报；</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18. ★支持配置运动检测物体大小、告警持续时长、灵敏度，提供公安部检测机构产品专业认证测试报告；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19. 支持告警联动动作，包括：声音报警、发送邮件、联动存储、联动报警输出、预置位、抓图、报警弹窗、联动预览等；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20. 支持将设备MAC地址和指定的网关绑定，只有通过绑定的网关才可以远程访问设备；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21. 支持不低于3种语音对讲：可通过NVR客户端和本机下的IPC进行双向语音对讲；可通过NVR本机和本机下的IPC之间语音对讲功能；可通过NVR客户端和本机进行双向语音对讲；</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22. 支持IPC离线状态原因说明，包括设备连接中、用户名密码错误、网络不通、请求媒体流失败、媒体流中断、带宽不足、弱密码拒绝访问；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23. ★支持4路人脸识别功能，支持添加黑/白名单人脸库，支持实时比对人脸功能。对符合设置条件的人脸触发报警或者联动功能，提供公安部检测机构产品专业认证测试报告；</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24. 支持人数统计功能功能，根据绊线检测告警，快速统计进入区域人数、离开区域人数以及该区域总人数，支持单个通道或多个通道按照日、月、年的方式以柱状图或列表的方式生成统计的报表，并可通过U盘或移动硬盘等外置设备导出统计的报表数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25. ★支持对NVR进行云升级，支持对NVR接入的IPC进行单个或批量云升级；提供公安部检测机构产品专业认证测试报告复印件加盖原厂公章；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26. 支持手机APP客户端（兼容安卓和苹果系统）、IPAD客户端、PC客户端远程访问。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27.★与公司视频监控平台进行无缝对接，所产生的费用由中标公司自行承担，提供无缝对接承诺书。</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r>
      <w:tr>
        <w:tblPrEx>
          <w:shd w:val="clear" w:color="auto" w:fill="auto"/>
          <w:tblCellMar>
            <w:top w:w="0" w:type="dxa"/>
            <w:left w:w="0" w:type="dxa"/>
            <w:bottom w:w="0" w:type="dxa"/>
            <w:right w:w="0" w:type="dxa"/>
          </w:tblCellMar>
        </w:tblPrEx>
        <w:trPr>
          <w:trHeight w:val="3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32路硬盘录像机</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 4盘位硬盘录像机，可接入不少于32路的1080P高清网络视频；</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 ★应支持不低于2个RJ45网络接口、1个VGA接口、2个HDMI接口、3个USB接口、1路BNC视频输出接口、1路音频输入接口、1路音频输出接口、1路RS232接口、1路RS485接口、4个SATA接口、1个eSATA接口、16路报警输入、4路报警输出，提供公安部检测机构产品专业认证测试报告；</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 ★支持不低于4个硬盘状态指示灯、1个运行状态指示灯、1个网络状态指示灯、1个报警指示灯，提供公安部检测机构产品专业认证测试报告复印件加盖原厂公章；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 支持标准GB/T28181协议、标准ONVIF协议、RTSP协议、IPV6协议；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 支持H.265、H.264编码格式的IPC接入，支持H.265编码格式的第三方IPC接入并进行预览、录像和回放操作；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 ★支持3/4/5/7/9/16/32走廊分屏预览模式；支持1/2/3画面的走廊模式回放，提供公安部检测机构产品专业认证测试报告复印件加盖原厂公章；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 ★支持通道互换功能，可通过本机解绑通道顺序，并根据需要互换通道后重新绑定通道顺序，提供公安部检测机构产品专业认证测试报告复印件加盖原厂公章；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 支持多址设定：可将两个网口设置成不同网段的IP地址，接入不同网段的IPC设备；支持网络容错：当其中任意一个网口发生故障，样机仍能正常工作；</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 支持指定网段所搜添加IPC、支持自动搜索并一键添加IPC，支持自动修改IPC的IP地址，支持查看接入IPC的带宽，支持自动开启IPC智能编码和H.265编码功能；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 支持IPC离线状态原因说明，包括设备连接中、用户名密码错误、网络断开、带宽不足、弱密码拒绝访问；</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11. ★支持HDMI1和VGA接口之间输出相同的视频画面、HDMI2接口输出另一视频画面，可在3个输出屏幕之间进行视频切换；提供公安部检测机构产品专业认证测试报告复印件加盖原厂公章；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12. ★支持即时回放：可设置回放时间长度1~60min，预览状态下，可直接回放任一通道的录像文件，提供公安部检测机构产品专业认证测试报告复印件加盖原厂公章；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13. 支持字符叠加，可在视频图像上叠加8行字符，每行可输入60个字符或者22个汉字；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14. 支持接入500G/1T/2T/3T/4T/5T/6T/8T/10T容量的SATA硬盘，128GB固态SSD硬盘；</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15. 支持鱼眼矫正功能，支持对不同分辨率的鱼眼摄像机进行矫正；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16. ★支持录像续传功能，当摄像机与NVR之间网络中断并恢复后，可自动接收摄像机内存储的录像，提供公安部检测机构产品专业认证测试报告复印件加盖原厂公章；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17. 支持数据备份，可对重要的数据进行备份；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18. 支持录像回时双进度条显示，支持1/8、1/4、1/2、1、2、4、8、16、32、64、128、256等倍数速正放录像；1、2、4、8、16、32、64、128、256等倍速倒放录像；</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19. ★支持录像剪辑，并用不同颜色标记处剪辑的录像时间范围，提供公安部检测机构产品专业认证测试报告；</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20. ★支持添加黑/白名单人脸库。并进行4路人脸识别，当识别的人脸和黑/白名单人脸库中的人脸比对成功后，发出报警提示信息，提供公安部检测机构产品专业认证测试报告复印件加盖原厂公章；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21. 支持整机热备功能，当主机发生故障不工作时，热备机可替换主机进行录像存储，当主机正常时，热备机可回传录像文件至主机；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22. 支持通过U盘、远程客户端或远程服务器对样机进行升级；</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23. 支持媒体流组播功能，可对样机输入的码流进行组播。</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27.★与公司视频监控平台进行无缝对接，所产生的费用由中标公司自行承担，提供无缝对接承诺书。</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★提供售后服务承诺函原件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3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24口网络交换机</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★固化千兆电接口≥24个，千兆光接口≥4个，千兆复用电接口≥2个；</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2.交换容量≥192Gbps，包转发率≥42Mpps；</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3.MAC地址表大小≥8K；</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4.★为保证设备稳定运行，接口防浪涌能力≥10kv，提供第三方权威机构测试报告复印件证明，并加盖厂商公章或投标专用章；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5.所投设备具有节能设计，满载工作情况下功耗≤22W；</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6.工作温度：-5-55°</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7.支持快速检测链路的通断和光纤链路的单向性，并支持端口下的环路检测功能</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8.符合国家低碳环保等政策要求，支持IEEE 802.3az标准的EEE节能技术；</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9.支持SNMP、CLI(Telnet/Console)、Syslog、NTP、TFTP、Web；</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资质要求：</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1.提供国家强制性3C认证证书复印件；</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2.提供3年免费质保函原件。</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r>
      <w:tr>
        <w:tblPrEx>
          <w:shd w:val="clear" w:color="auto" w:fill="auto"/>
          <w:tblCellMar>
            <w:top w:w="0" w:type="dxa"/>
            <w:left w:w="0" w:type="dxa"/>
            <w:bottom w:w="0" w:type="dxa"/>
            <w:right w:w="0" w:type="dxa"/>
          </w:tblCellMar>
        </w:tblPrEx>
        <w:trPr>
          <w:trHeight w:val="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WD监控硬盘</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WD4000G监控级硬盘</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r>
      <w:tr>
        <w:tblPrEx>
          <w:shd w:val="clear" w:color="auto" w:fill="auto"/>
          <w:tblCellMar>
            <w:top w:w="0" w:type="dxa"/>
            <w:left w:w="0" w:type="dxa"/>
            <w:bottom w:w="0" w:type="dxa"/>
            <w:right w:w="0" w:type="dxa"/>
          </w:tblCellMar>
        </w:tblPrEx>
        <w:trPr>
          <w:trHeight w:val="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支架</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三层万向节/钢/白 喷塑/100×100×92.5mm</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付</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r>
      <w:tr>
        <w:tblPrEx>
          <w:shd w:val="clear" w:color="auto" w:fill="auto"/>
          <w:tblCellMar>
            <w:top w:w="0" w:type="dxa"/>
            <w:left w:w="0" w:type="dxa"/>
            <w:bottom w:w="0" w:type="dxa"/>
            <w:right w:w="0" w:type="dxa"/>
          </w:tblCellMar>
        </w:tblPrEx>
        <w:trPr>
          <w:trHeight w:val="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配件</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通用型抱杆支架,加长型 、三维可调安装支架电源线、网线、监控电源、等配套</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r>
      <w:tr>
        <w:tblPrEx>
          <w:shd w:val="clear" w:color="auto" w:fill="auto"/>
          <w:tblCellMar>
            <w:top w:w="0" w:type="dxa"/>
            <w:left w:w="0" w:type="dxa"/>
            <w:bottom w:w="0" w:type="dxa"/>
            <w:right w:w="0" w:type="dxa"/>
          </w:tblCellMar>
        </w:tblPrEx>
        <w:trPr>
          <w:trHeight w:val="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网络机柜</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供交换机、硬盘录像机使用。1米</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r>
      <w:tr>
        <w:tblPrEx>
          <w:shd w:val="clear" w:color="auto" w:fill="auto"/>
          <w:tblCellMar>
            <w:top w:w="0" w:type="dxa"/>
            <w:left w:w="0" w:type="dxa"/>
            <w:bottom w:w="0" w:type="dxa"/>
            <w:right w:w="0" w:type="dxa"/>
          </w:tblCellMar>
        </w:tblPrEx>
        <w:trPr>
          <w:trHeight w:val="4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w:t>
            </w:r>
          </w:p>
        </w:tc>
        <w:tc>
          <w:tcPr>
            <w:tcW w:w="16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监控显示器</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23寸显示器用于观看监控实时视频</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台</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r>
      <w:tr>
        <w:tblPrEx>
          <w:shd w:val="clear" w:color="auto" w:fill="auto"/>
          <w:tblCellMar>
            <w:top w:w="0" w:type="dxa"/>
            <w:left w:w="0" w:type="dxa"/>
            <w:bottom w:w="0" w:type="dxa"/>
            <w:right w:w="0" w:type="dxa"/>
          </w:tblCellMar>
        </w:tblPrEx>
        <w:trPr>
          <w:trHeight w:val="480"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五、活动钢构基础项目</w:t>
            </w:r>
          </w:p>
        </w:tc>
      </w:tr>
      <w:tr>
        <w:tblPrEx>
          <w:shd w:val="clear" w:color="auto" w:fill="auto"/>
          <w:tblCellMar>
            <w:top w:w="0" w:type="dxa"/>
            <w:left w:w="0" w:type="dxa"/>
            <w:bottom w:w="0" w:type="dxa"/>
            <w:right w:w="0" w:type="dxa"/>
          </w:tblCellMar>
        </w:tblPrEx>
        <w:trPr>
          <w:trHeight w:val="132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钢构基础</w:t>
            </w:r>
          </w:p>
        </w:tc>
        <w:tc>
          <w:tcPr>
            <w:tcW w:w="67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用于3节12米地磅，基础采用20槽钢焊接，共用4块基础板，中间两块宽度为1.25米三道横梁两道纵梁；传感器受力点用20*20 2公分钢板叠加焊接。上下用钢板封面；两头基础采用1.5米宽。1米处焊接1cm*400cm*46站板,50cm处采用14块50CM*46CM三角拉与站板进行焊接固定。地磅安装完成后，每块基础之间用槽钢进行链接，防止移位。</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套</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r>
      <w:tr>
        <w:tblPrEx>
          <w:shd w:val="clear" w:color="auto" w:fill="auto"/>
          <w:tblCellMar>
            <w:top w:w="0" w:type="dxa"/>
            <w:left w:w="0" w:type="dxa"/>
            <w:bottom w:w="0" w:type="dxa"/>
            <w:right w:w="0" w:type="dxa"/>
          </w:tblCellMar>
        </w:tblPrEx>
        <w:trPr>
          <w:trHeight w:val="2400" w:hRule="atLeast"/>
        </w:trPr>
        <w:tc>
          <w:tcPr>
            <w:tcW w:w="980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备注：1、说明：货物或服务需求如有参考品牌，仅作为说明，没有限制性，投标人在投标中可以选用替代标准，但这些替代标准要优于或相当于采购单位要求的标准并提供证明材料，以满足采购人的需要。</w:t>
            </w:r>
            <w:r>
              <w:rPr>
                <w:rFonts w:hint="eastAsia" w:ascii="宋体" w:hAnsi="宋体" w:eastAsia="宋体" w:cs="宋体"/>
                <w:b/>
                <w:i w:val="0"/>
                <w:color w:val="000000"/>
                <w:kern w:val="0"/>
                <w:sz w:val="16"/>
                <w:szCs w:val="16"/>
                <w:u w:val="none"/>
                <w:lang w:val="en-US" w:eastAsia="zh-CN" w:bidi="ar"/>
              </w:rPr>
              <w:br w:type="textWrapping"/>
            </w:r>
            <w:r>
              <w:rPr>
                <w:rFonts w:hint="eastAsia" w:ascii="宋体" w:hAnsi="宋体" w:eastAsia="宋体" w:cs="宋体"/>
                <w:b/>
                <w:i w:val="0"/>
                <w:color w:val="000000"/>
                <w:kern w:val="0"/>
                <w:sz w:val="16"/>
                <w:szCs w:val="16"/>
                <w:u w:val="none"/>
                <w:lang w:val="en-US" w:eastAsia="zh-CN" w:bidi="ar"/>
              </w:rPr>
              <w:t xml:space="preserve">     2、要求标有“★”参数必须满足，如不满足作废标处理。</w:t>
            </w:r>
            <w:r>
              <w:rPr>
                <w:rFonts w:hint="eastAsia" w:ascii="宋体" w:hAnsi="宋体" w:eastAsia="宋体" w:cs="宋体"/>
                <w:b/>
                <w:i w:val="0"/>
                <w:color w:val="000000"/>
                <w:kern w:val="0"/>
                <w:sz w:val="16"/>
                <w:szCs w:val="16"/>
                <w:u w:val="none"/>
                <w:lang w:val="en-US" w:eastAsia="zh-CN" w:bidi="ar"/>
              </w:rPr>
              <w:br w:type="textWrapping"/>
            </w:r>
            <w:r>
              <w:rPr>
                <w:rFonts w:hint="eastAsia" w:ascii="宋体" w:hAnsi="宋体" w:eastAsia="宋体" w:cs="宋体"/>
                <w:b/>
                <w:i w:val="0"/>
                <w:color w:val="000000"/>
                <w:kern w:val="0"/>
                <w:sz w:val="16"/>
                <w:szCs w:val="16"/>
                <w:u w:val="none"/>
                <w:lang w:val="en-US" w:eastAsia="zh-CN" w:bidi="ar"/>
              </w:rPr>
              <w:t xml:space="preserve">     3、项目完成且验收合格后，付合同总价的80%，余款20%留作质保金，质保期一年期满且无质量问题一次性付清（无息）。</w:t>
            </w:r>
            <w:r>
              <w:rPr>
                <w:rFonts w:hint="eastAsia" w:ascii="宋体" w:hAnsi="宋体" w:eastAsia="宋体" w:cs="宋体"/>
                <w:b/>
                <w:i w:val="0"/>
                <w:color w:val="000000"/>
                <w:kern w:val="0"/>
                <w:sz w:val="16"/>
                <w:szCs w:val="16"/>
                <w:u w:val="none"/>
                <w:lang w:val="en-US" w:eastAsia="zh-CN" w:bidi="ar"/>
              </w:rPr>
              <w:br w:type="textWrapping"/>
            </w:r>
            <w:r>
              <w:rPr>
                <w:rFonts w:hint="eastAsia" w:ascii="宋体" w:hAnsi="宋体" w:eastAsia="宋体" w:cs="宋体"/>
                <w:b/>
                <w:i w:val="0"/>
                <w:color w:val="000000"/>
                <w:kern w:val="0"/>
                <w:sz w:val="16"/>
                <w:szCs w:val="16"/>
                <w:u w:val="none"/>
                <w:lang w:val="en-US" w:eastAsia="zh-CN" w:bidi="ar"/>
              </w:rPr>
              <w:t xml:space="preserve">     4、合同签订完成后7天内完成供货安装；</w:t>
            </w:r>
            <w:r>
              <w:rPr>
                <w:rFonts w:hint="eastAsia" w:ascii="宋体" w:hAnsi="宋体" w:eastAsia="宋体" w:cs="宋体"/>
                <w:b/>
                <w:i w:val="0"/>
                <w:color w:val="000000"/>
                <w:kern w:val="0"/>
                <w:sz w:val="16"/>
                <w:szCs w:val="16"/>
                <w:u w:val="none"/>
                <w:lang w:val="en-US" w:eastAsia="zh-CN" w:bidi="ar"/>
              </w:rPr>
              <w:br w:type="textWrapping"/>
            </w:r>
            <w:r>
              <w:rPr>
                <w:rFonts w:hint="eastAsia" w:ascii="宋体" w:hAnsi="宋体" w:eastAsia="宋体" w:cs="宋体"/>
                <w:b/>
                <w:i w:val="0"/>
                <w:color w:val="000000"/>
                <w:kern w:val="0"/>
                <w:sz w:val="16"/>
                <w:szCs w:val="16"/>
                <w:u w:val="none"/>
                <w:lang w:val="en-US" w:eastAsia="zh-CN" w:bidi="ar"/>
              </w:rPr>
              <w:t xml:space="preserve">     5、设备在使用过程中若遇到故障，中标单位需立即响应，城区半小时到达维修现场进行维修，偏远地区1小时到达现场维修，7*24小时提供售后服务。标书中提供服务承诺函。</w:t>
            </w:r>
          </w:p>
        </w:tc>
      </w:tr>
    </w:tbl>
    <w:p>
      <w:pPr>
        <w:pStyle w:val="2"/>
        <w:rPr>
          <w:rFonts w:hint="eastAsia"/>
          <w:lang w:eastAsia="zh-CN"/>
        </w:rPr>
      </w:pPr>
    </w:p>
    <w:p>
      <w:pPr>
        <w:pStyle w:val="35"/>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11297"/>
      <w:bookmarkStart w:id="38"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9"/>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6"/>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6"/>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0" w:name="_Toc5932"/>
      <w:bookmarkStart w:id="51" w:name="_Toc471299103"/>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3858_WPSOffice_Level1"/>
      <w:bookmarkStart w:id="60" w:name="_Toc516969098"/>
      <w:bookmarkStart w:id="61" w:name="_Toc148501698"/>
      <w:r>
        <w:rPr>
          <w:rFonts w:hint="eastAsia"/>
          <w:b/>
          <w:bCs/>
          <w:color w:val="auto"/>
          <w:sz w:val="28"/>
          <w:szCs w:val="28"/>
        </w:rPr>
        <w:t>响应函</w:t>
      </w:r>
      <w:bookmarkEnd w:id="59"/>
      <w:bookmarkEnd w:id="60"/>
      <w:bookmarkEnd w:id="61"/>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2" w:name="_Toc30711"/>
      <w:bookmarkStart w:id="63" w:name="_Toc471299106"/>
      <w:bookmarkStart w:id="64" w:name="_Toc417045478"/>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5" w:name="_Toc32017"/>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供货、安装、售后服务承诺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37"/>
          <w:rFonts w:hint="eastAsia"/>
          <w:color w:val="auto"/>
          <w:sz w:val="21"/>
          <w:szCs w:val="21"/>
          <w:lang w:val="en-US" w:eastAsia="zh-CN"/>
        </w:rPr>
        <w:t>附件九</w:t>
      </w:r>
      <w:r>
        <w:rPr>
          <w:rStyle w:val="37"/>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4"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85" w:name="_Toc11536"/>
      <w:r>
        <w:rPr>
          <w:rFonts w:hint="eastAsia" w:ascii="宋体" w:hAnsi="宋体"/>
          <w:b/>
          <w:color w:val="auto"/>
          <w:sz w:val="24"/>
          <w:szCs w:val="28"/>
          <w:lang w:val="en-US" w:eastAsia="zh-CN"/>
        </w:rPr>
        <w:t>附件十</w:t>
      </w:r>
      <w:bookmarkEnd w:id="85"/>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4"/>
    </w:p>
    <w:p>
      <w:pPr>
        <w:spacing w:line="400" w:lineRule="exact"/>
        <w:jc w:val="center"/>
        <w:rPr>
          <w:rFonts w:hint="eastAsia" w:ascii="宋体" w:hAnsi="宋体" w:cs="宋体"/>
          <w:b/>
          <w:color w:val="auto"/>
          <w:sz w:val="28"/>
          <w:szCs w:val="28"/>
          <w:shd w:val="clear" w:color="auto" w:fill="FFFFFF"/>
        </w:rPr>
      </w:pPr>
      <w:bookmarkStart w:id="86"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6"/>
    </w:p>
    <w:p>
      <w:pPr>
        <w:adjustRightInd w:val="0"/>
        <w:snapToGrid w:val="0"/>
        <w:spacing w:line="360" w:lineRule="exact"/>
        <w:ind w:right="15" w:rightChars="7"/>
        <w:rPr>
          <w:rFonts w:hint="eastAsia" w:ascii="宋体" w:hAnsi="宋体" w:cs="宋体"/>
          <w:bCs/>
          <w:color w:val="auto"/>
          <w:shd w:val="clear" w:color="auto" w:fill="FFFFFF"/>
        </w:rPr>
      </w:pPr>
      <w:bookmarkStart w:id="87" w:name="_Toc3059_WPSOffice_Level1"/>
      <w:r>
        <w:rPr>
          <w:rFonts w:hint="eastAsia" w:ascii="宋体" w:hAnsi="宋体" w:cs="宋体"/>
          <w:bCs/>
          <w:color w:val="auto"/>
          <w:shd w:val="clear" w:color="auto" w:fill="FFFFFF"/>
        </w:rPr>
        <w:t>一、项目相关情况</w:t>
      </w:r>
      <w:bookmarkEnd w:id="87"/>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8" w:name="_Toc21327_WPSOffice_Level1"/>
      <w:r>
        <w:rPr>
          <w:rFonts w:hint="eastAsia" w:ascii="宋体" w:hAnsi="宋体" w:cs="宋体"/>
          <w:bCs/>
          <w:color w:val="auto"/>
          <w:shd w:val="clear" w:color="auto" w:fill="FFFFFF"/>
        </w:rPr>
        <w:t>二、质疑提起的条件及不予受理的情形</w:t>
      </w:r>
      <w:bookmarkEnd w:id="88"/>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9" w:name="_Toc17685_WPSOffice_Level1"/>
      <w:r>
        <w:rPr>
          <w:rFonts w:hint="eastAsia" w:ascii="宋体" w:hAnsi="宋体" w:cs="宋体"/>
          <w:bCs/>
          <w:color w:val="auto"/>
          <w:shd w:val="clear" w:color="auto" w:fill="FFFFFF"/>
        </w:rPr>
        <w:t>三、其他</w:t>
      </w:r>
      <w:bookmarkEnd w:id="89"/>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0" w:leftChars="0" w:firstLine="0" w:firstLineChars="0"/>
      <w:jc w:val="both"/>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霍山县矿产资源开发有限责任公司废弃砂石处置利用点地磅及监控询价文件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A1EE6"/>
    <w:rsid w:val="03150F8F"/>
    <w:rsid w:val="04777FAA"/>
    <w:rsid w:val="059C0CBD"/>
    <w:rsid w:val="0644344B"/>
    <w:rsid w:val="065734CB"/>
    <w:rsid w:val="06BE48F4"/>
    <w:rsid w:val="07500CD8"/>
    <w:rsid w:val="094825C0"/>
    <w:rsid w:val="09F429FB"/>
    <w:rsid w:val="0A967446"/>
    <w:rsid w:val="0ADA7309"/>
    <w:rsid w:val="0C8B3F0F"/>
    <w:rsid w:val="0D4A538B"/>
    <w:rsid w:val="0E7B6D74"/>
    <w:rsid w:val="13592465"/>
    <w:rsid w:val="13611A2A"/>
    <w:rsid w:val="1414601F"/>
    <w:rsid w:val="14633700"/>
    <w:rsid w:val="147737A7"/>
    <w:rsid w:val="14827BCA"/>
    <w:rsid w:val="15081ED3"/>
    <w:rsid w:val="1556562C"/>
    <w:rsid w:val="156D56CE"/>
    <w:rsid w:val="159267B6"/>
    <w:rsid w:val="161D1882"/>
    <w:rsid w:val="16C41FE1"/>
    <w:rsid w:val="16E90795"/>
    <w:rsid w:val="174F1F7C"/>
    <w:rsid w:val="17526D94"/>
    <w:rsid w:val="18B06CB8"/>
    <w:rsid w:val="18FB5F6E"/>
    <w:rsid w:val="1A1D00D5"/>
    <w:rsid w:val="1A331B52"/>
    <w:rsid w:val="1BD82076"/>
    <w:rsid w:val="1BED2EA5"/>
    <w:rsid w:val="1C230B2D"/>
    <w:rsid w:val="1C996F6B"/>
    <w:rsid w:val="1D217AE8"/>
    <w:rsid w:val="1DC0444F"/>
    <w:rsid w:val="215167E4"/>
    <w:rsid w:val="221B322D"/>
    <w:rsid w:val="234A74A5"/>
    <w:rsid w:val="249C4D10"/>
    <w:rsid w:val="25273C28"/>
    <w:rsid w:val="25656A25"/>
    <w:rsid w:val="25991012"/>
    <w:rsid w:val="260D2BCC"/>
    <w:rsid w:val="2756117E"/>
    <w:rsid w:val="28B95567"/>
    <w:rsid w:val="2A987BB9"/>
    <w:rsid w:val="2B1C14C3"/>
    <w:rsid w:val="2BD3447D"/>
    <w:rsid w:val="2D254D25"/>
    <w:rsid w:val="2DD57ECD"/>
    <w:rsid w:val="2ED51A6E"/>
    <w:rsid w:val="2F1C57A5"/>
    <w:rsid w:val="2FA7707A"/>
    <w:rsid w:val="30091271"/>
    <w:rsid w:val="31F9233C"/>
    <w:rsid w:val="32661595"/>
    <w:rsid w:val="340E6C58"/>
    <w:rsid w:val="34324321"/>
    <w:rsid w:val="349D31D8"/>
    <w:rsid w:val="34D536C4"/>
    <w:rsid w:val="36DF7A21"/>
    <w:rsid w:val="37DF419C"/>
    <w:rsid w:val="38B45EFC"/>
    <w:rsid w:val="38D036A4"/>
    <w:rsid w:val="39792C93"/>
    <w:rsid w:val="3AAE5E82"/>
    <w:rsid w:val="3AE97D6B"/>
    <w:rsid w:val="3B8E3C6C"/>
    <w:rsid w:val="3C1C5FDB"/>
    <w:rsid w:val="3C967255"/>
    <w:rsid w:val="3D457CC8"/>
    <w:rsid w:val="3D5C50E1"/>
    <w:rsid w:val="3E046DF3"/>
    <w:rsid w:val="3E9D780F"/>
    <w:rsid w:val="3F570499"/>
    <w:rsid w:val="40B4502A"/>
    <w:rsid w:val="41DD49C0"/>
    <w:rsid w:val="431D644D"/>
    <w:rsid w:val="44A83992"/>
    <w:rsid w:val="45FC1F89"/>
    <w:rsid w:val="46447AD0"/>
    <w:rsid w:val="4667667C"/>
    <w:rsid w:val="46FE1966"/>
    <w:rsid w:val="47AD1197"/>
    <w:rsid w:val="47ED349E"/>
    <w:rsid w:val="48D30C8F"/>
    <w:rsid w:val="48F93679"/>
    <w:rsid w:val="493E0515"/>
    <w:rsid w:val="49665DCB"/>
    <w:rsid w:val="498C5E4B"/>
    <w:rsid w:val="49974E74"/>
    <w:rsid w:val="4A4D2829"/>
    <w:rsid w:val="4D18297E"/>
    <w:rsid w:val="4D757618"/>
    <w:rsid w:val="4F9010E9"/>
    <w:rsid w:val="50345C2D"/>
    <w:rsid w:val="51373F3D"/>
    <w:rsid w:val="54A309A3"/>
    <w:rsid w:val="54B56A54"/>
    <w:rsid w:val="558001AF"/>
    <w:rsid w:val="55FB7588"/>
    <w:rsid w:val="57562B24"/>
    <w:rsid w:val="581B40F7"/>
    <w:rsid w:val="58565344"/>
    <w:rsid w:val="58695F8B"/>
    <w:rsid w:val="589543F5"/>
    <w:rsid w:val="5BA07BB6"/>
    <w:rsid w:val="5BBE35F6"/>
    <w:rsid w:val="5C3E5A4E"/>
    <w:rsid w:val="5CFB63ED"/>
    <w:rsid w:val="5D1E4502"/>
    <w:rsid w:val="5D273630"/>
    <w:rsid w:val="5D603CFB"/>
    <w:rsid w:val="5E812F4F"/>
    <w:rsid w:val="5EB3743D"/>
    <w:rsid w:val="5ED30E67"/>
    <w:rsid w:val="5EFB6C0F"/>
    <w:rsid w:val="5F2B66BC"/>
    <w:rsid w:val="615E5718"/>
    <w:rsid w:val="618D0E1A"/>
    <w:rsid w:val="619C1CA6"/>
    <w:rsid w:val="629D1B22"/>
    <w:rsid w:val="63637DD7"/>
    <w:rsid w:val="639C65AB"/>
    <w:rsid w:val="63CE30A4"/>
    <w:rsid w:val="65502555"/>
    <w:rsid w:val="65771F5A"/>
    <w:rsid w:val="66F918C9"/>
    <w:rsid w:val="678154B0"/>
    <w:rsid w:val="68560087"/>
    <w:rsid w:val="68BA3798"/>
    <w:rsid w:val="690D0368"/>
    <w:rsid w:val="69F4791E"/>
    <w:rsid w:val="6A47529D"/>
    <w:rsid w:val="6AF61310"/>
    <w:rsid w:val="6B225547"/>
    <w:rsid w:val="6B413A50"/>
    <w:rsid w:val="6C0040EC"/>
    <w:rsid w:val="6C640C01"/>
    <w:rsid w:val="6CD771B7"/>
    <w:rsid w:val="6DA52666"/>
    <w:rsid w:val="6DB0368A"/>
    <w:rsid w:val="6F5632F9"/>
    <w:rsid w:val="6FB45A58"/>
    <w:rsid w:val="6FB71515"/>
    <w:rsid w:val="707E77DD"/>
    <w:rsid w:val="72815C13"/>
    <w:rsid w:val="73D81B5D"/>
    <w:rsid w:val="78397A44"/>
    <w:rsid w:val="789C2226"/>
    <w:rsid w:val="78F92F7D"/>
    <w:rsid w:val="79F628A4"/>
    <w:rsid w:val="7A1A522E"/>
    <w:rsid w:val="7A686D7F"/>
    <w:rsid w:val="7D196BB9"/>
    <w:rsid w:val="7D6A6C42"/>
    <w:rsid w:val="7DFA334B"/>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7"/>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uiPriority w:val="0"/>
    <w:rPr>
      <w:rFonts w:hint="default" w:ascii="serif" w:hAnsi="serif" w:eastAsia="serif" w:cs="serif"/>
      <w:sz w:val="21"/>
      <w:szCs w:val="21"/>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3">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4">
    <w:name w:val="Char"/>
    <w:basedOn w:val="1"/>
    <w:qFormat/>
    <w:uiPriority w:val="99"/>
    <w:rPr>
      <w:rFonts w:ascii="Tahoma" w:hAnsi="Tahoma"/>
      <w:sz w:val="24"/>
    </w:rPr>
  </w:style>
  <w:style w:type="paragraph" w:customStyle="1" w:styleId="35">
    <w:name w:val="样式 标题 2 + 宋体 五号 行距: 单倍行距"/>
    <w:basedOn w:val="6"/>
    <w:qFormat/>
    <w:uiPriority w:val="99"/>
    <w:pPr>
      <w:spacing w:line="240" w:lineRule="auto"/>
    </w:pPr>
    <w:rPr>
      <w:rFonts w:ascii="宋体" w:hAnsi="宋体" w:eastAsia="宋体"/>
      <w:sz w:val="21"/>
    </w:rPr>
  </w:style>
  <w:style w:type="paragraph" w:customStyle="1" w:styleId="36">
    <w:name w:val="Char Char Char Char Char Char Char1 Char"/>
    <w:basedOn w:val="1"/>
    <w:qFormat/>
    <w:uiPriority w:val="99"/>
    <w:rPr>
      <w:rFonts w:ascii="Tahoma" w:hAnsi="Tahoma"/>
      <w:sz w:val="24"/>
    </w:rPr>
  </w:style>
  <w:style w:type="character" w:customStyle="1" w:styleId="37">
    <w:name w:val="标题 3 Char"/>
    <w:basedOn w:val="19"/>
    <w:link w:val="7"/>
    <w:qFormat/>
    <w:locked/>
    <w:uiPriority w:val="99"/>
    <w:rPr>
      <w:b/>
      <w:bCs/>
      <w:sz w:val="32"/>
      <w:szCs w:val="32"/>
    </w:rPr>
  </w:style>
  <w:style w:type="paragraph" w:customStyle="1" w:styleId="3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List Paragraph"/>
    <w:basedOn w:val="1"/>
    <w:unhideWhenUsed/>
    <w:qFormat/>
    <w:uiPriority w:val="99"/>
    <w:pPr>
      <w:ind w:firstLine="420" w:firstLineChars="200"/>
    </w:pPr>
    <w:rPr>
      <w:rFonts w:ascii="Calibri" w:hAnsi="Calibri"/>
      <w:szCs w:val="22"/>
    </w:rPr>
  </w:style>
  <w:style w:type="paragraph" w:customStyle="1" w:styleId="40">
    <w:name w:val="Table Paragraph"/>
    <w:basedOn w:val="1"/>
    <w:qFormat/>
    <w:uiPriority w:val="1"/>
  </w:style>
  <w:style w:type="paragraph" w:customStyle="1" w:styleId="41">
    <w:name w:val="_Style 1"/>
    <w:basedOn w:val="1"/>
    <w:qFormat/>
    <w:uiPriority w:val="0"/>
    <w:pPr>
      <w:ind w:firstLine="420" w:firstLineChars="200"/>
    </w:pPr>
    <w:rPr>
      <w:rFonts w:ascii="Calibri" w:hAnsi="Calibri"/>
      <w:szCs w:val="22"/>
    </w:rPr>
  </w:style>
  <w:style w:type="character" w:customStyle="1" w:styleId="42">
    <w:name w:val="fontborder"/>
    <w:basedOn w:val="19"/>
    <w:uiPriority w:val="0"/>
    <w:rPr>
      <w:bdr w:val="single" w:color="000000" w:sz="6" w:space="0"/>
    </w:rPr>
  </w:style>
  <w:style w:type="character" w:customStyle="1" w:styleId="43">
    <w:name w:val="fontstrikethrough"/>
    <w:basedOn w:val="19"/>
    <w:uiPriority w:val="0"/>
    <w:rPr>
      <w:strik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2020-04-01T09:57:00Z</cp:lastPrinted>
  <dcterms:modified xsi:type="dcterms:W3CDTF">2020-04-01T23:35:34Z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